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3CA8" w14:textId="41C026C5" w:rsidR="00543AC4" w:rsidRPr="00B543DE" w:rsidRDefault="00543AC4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B543DE">
        <w:rPr>
          <w:rFonts w:ascii="Arial" w:hAnsi="Arial" w:cs="Arial"/>
          <w:b/>
          <w:bCs/>
          <w:sz w:val="16"/>
          <w:szCs w:val="16"/>
        </w:rPr>
        <w:t>ScRNASeq</w:t>
      </w:r>
      <w:proofErr w:type="spellEnd"/>
      <w:r w:rsidRPr="00B543DE">
        <w:rPr>
          <w:rFonts w:ascii="Arial" w:hAnsi="Arial" w:cs="Arial"/>
          <w:b/>
          <w:bCs/>
          <w:sz w:val="16"/>
          <w:szCs w:val="16"/>
        </w:rPr>
        <w:t xml:space="preserve"> studies as reference datasets:</w:t>
      </w:r>
    </w:p>
    <w:p w14:paraId="039C2C5C" w14:textId="77777777" w:rsidR="00543AC4" w:rsidRPr="00B543DE" w:rsidRDefault="00543AC4">
      <w:pPr>
        <w:rPr>
          <w:rFonts w:ascii="Arial" w:hAnsi="Arial" w:cs="Arial"/>
          <w:sz w:val="16"/>
          <w:szCs w:val="16"/>
        </w:rPr>
      </w:pPr>
    </w:p>
    <w:p w14:paraId="5462BF24" w14:textId="77777777" w:rsidR="00C93C4D" w:rsidRPr="00B543DE" w:rsidRDefault="00C93C4D" w:rsidP="00B543DE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70"/>
        <w:gridCol w:w="719"/>
        <w:gridCol w:w="2427"/>
        <w:gridCol w:w="1683"/>
        <w:gridCol w:w="1086"/>
        <w:gridCol w:w="1243"/>
      </w:tblGrid>
      <w:tr w:rsidR="00CF55D9" w:rsidRPr="00B543DE" w14:paraId="4C40B484" w14:textId="77777777" w:rsidTr="00C93C4D">
        <w:tc>
          <w:tcPr>
            <w:tcW w:w="1288" w:type="dxa"/>
          </w:tcPr>
          <w:p w14:paraId="739F34FE" w14:textId="01815566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Category</w:t>
            </w:r>
          </w:p>
        </w:tc>
        <w:tc>
          <w:tcPr>
            <w:tcW w:w="1288" w:type="dxa"/>
          </w:tcPr>
          <w:p w14:paraId="3DC0E989" w14:textId="7F05AAC1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Organism</w:t>
            </w:r>
          </w:p>
        </w:tc>
        <w:tc>
          <w:tcPr>
            <w:tcW w:w="1288" w:type="dxa"/>
          </w:tcPr>
          <w:p w14:paraId="2CCC10F3" w14:textId="264CAE4F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Tissue</w:t>
            </w:r>
          </w:p>
        </w:tc>
        <w:tc>
          <w:tcPr>
            <w:tcW w:w="1288" w:type="dxa"/>
          </w:tcPr>
          <w:p w14:paraId="2BB30E80" w14:textId="267F464A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DOI</w:t>
            </w:r>
          </w:p>
        </w:tc>
        <w:tc>
          <w:tcPr>
            <w:tcW w:w="1288" w:type="dxa"/>
          </w:tcPr>
          <w:p w14:paraId="0F3FFE46" w14:textId="1F185ADF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Title</w:t>
            </w:r>
          </w:p>
        </w:tc>
        <w:tc>
          <w:tcPr>
            <w:tcW w:w="1288" w:type="dxa"/>
          </w:tcPr>
          <w:p w14:paraId="250A78A1" w14:textId="6E0DAA49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Technique</w:t>
            </w:r>
          </w:p>
        </w:tc>
        <w:tc>
          <w:tcPr>
            <w:tcW w:w="1288" w:type="dxa"/>
          </w:tcPr>
          <w:p w14:paraId="1DC290FB" w14:textId="3BA19465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</w:tr>
      <w:tr w:rsidR="00CF55D9" w:rsidRPr="00B543DE" w14:paraId="627290E5" w14:textId="77777777" w:rsidTr="00C93C4D">
        <w:tc>
          <w:tcPr>
            <w:tcW w:w="1288" w:type="dxa"/>
          </w:tcPr>
          <w:p w14:paraId="695A02CB" w14:textId="6EC3FDEB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Age</w:t>
            </w:r>
          </w:p>
        </w:tc>
        <w:tc>
          <w:tcPr>
            <w:tcW w:w="1288" w:type="dxa"/>
          </w:tcPr>
          <w:p w14:paraId="3D2A1397" w14:textId="0BD8A576" w:rsidR="00C93C4D" w:rsidRPr="00B543DE" w:rsidRDefault="00065DD3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123E6CA3" w14:textId="1EEBB762" w:rsidR="00C93C4D" w:rsidRPr="00B543DE" w:rsidRDefault="00065DD3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Spleen</w:t>
            </w:r>
          </w:p>
        </w:tc>
        <w:tc>
          <w:tcPr>
            <w:tcW w:w="1288" w:type="dxa"/>
          </w:tcPr>
          <w:p w14:paraId="7FDA6873" w14:textId="17A5F9D9" w:rsidR="00C93C4D" w:rsidRPr="00B543DE" w:rsidRDefault="00065DD3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10.1126/</w:t>
            </w:r>
            <w:proofErr w:type="gram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science.aah</w:t>
            </w:r>
            <w:proofErr w:type="gram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4115</w:t>
            </w:r>
          </w:p>
        </w:tc>
        <w:tc>
          <w:tcPr>
            <w:tcW w:w="1288" w:type="dxa"/>
          </w:tcPr>
          <w:p w14:paraId="1C72B710" w14:textId="77777777" w:rsidR="00065DD3" w:rsidRPr="00B543DE" w:rsidRDefault="00065DD3" w:rsidP="00065DD3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Aging increases cell-to-cell transcriptional variability upon immune stimulation</w:t>
            </w:r>
          </w:p>
          <w:p w14:paraId="78E60FAA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24A418B" w14:textId="77777777" w:rsidR="00065DD3" w:rsidRPr="00B543DE" w:rsidRDefault="00065DD3" w:rsidP="00065DD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SMARTer</w:t>
            </w:r>
            <w:proofErr w:type="spell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 xml:space="preserve"> (C1)</w:t>
            </w:r>
          </w:p>
          <w:p w14:paraId="2CF3F1C2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7490D36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E-MTAB-4888</w:t>
            </w:r>
          </w:p>
          <w:p w14:paraId="258E62D7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41A8545D" w14:textId="77777777" w:rsidTr="00C93C4D">
        <w:tc>
          <w:tcPr>
            <w:tcW w:w="1288" w:type="dxa"/>
          </w:tcPr>
          <w:p w14:paraId="602D8345" w14:textId="416C58C9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T cell</w:t>
            </w:r>
          </w:p>
        </w:tc>
        <w:tc>
          <w:tcPr>
            <w:tcW w:w="1288" w:type="dxa"/>
          </w:tcPr>
          <w:p w14:paraId="4D11E55A" w14:textId="3B220516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42988E21" w14:textId="3B68F85E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Spleen</w:t>
            </w:r>
          </w:p>
        </w:tc>
        <w:tc>
          <w:tcPr>
            <w:tcW w:w="1288" w:type="dxa"/>
          </w:tcPr>
          <w:p w14:paraId="0BB87ACD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10.1126/</w:t>
            </w:r>
            <w:proofErr w:type="gram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sciadv.aaw</w:t>
            </w:r>
            <w:proofErr w:type="gram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8330</w:t>
            </w:r>
          </w:p>
          <w:p w14:paraId="7191590F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05017CD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Aging promotes reorganization of the CD4 T cell landscape toward extreme regulatory and effector phenotypes</w:t>
            </w:r>
          </w:p>
          <w:p w14:paraId="701282D1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3AF0285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11317B33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AEDCAD1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SCP490</w:t>
            </w:r>
          </w:p>
          <w:p w14:paraId="324FFCF7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5C888D83" w14:textId="77777777" w:rsidTr="00C93C4D">
        <w:tc>
          <w:tcPr>
            <w:tcW w:w="1288" w:type="dxa"/>
          </w:tcPr>
          <w:p w14:paraId="71B95C4F" w14:textId="6CD8E225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MDSCs</w:t>
            </w:r>
          </w:p>
        </w:tc>
        <w:tc>
          <w:tcPr>
            <w:tcW w:w="1288" w:type="dxa"/>
          </w:tcPr>
          <w:p w14:paraId="6F172B72" w14:textId="227002FB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66EAB237" w14:textId="756989AD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Spleen</w:t>
            </w:r>
          </w:p>
        </w:tc>
        <w:tc>
          <w:tcPr>
            <w:tcW w:w="1288" w:type="dxa"/>
          </w:tcPr>
          <w:p w14:paraId="63FC6221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10.1126/</w:t>
            </w:r>
            <w:proofErr w:type="gram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sciimmunol.aay</w:t>
            </w:r>
            <w:proofErr w:type="gram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6017</w:t>
            </w:r>
          </w:p>
          <w:p w14:paraId="54C3E748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C324CBE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Defining the emergence of myeloid-derived suppressor cells in breast cancer using single-cell transcriptomics</w:t>
            </w:r>
          </w:p>
          <w:p w14:paraId="7A8CA64B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FB64789" w14:textId="77777777" w:rsidR="00E13F7F" w:rsidRPr="00B543DE" w:rsidRDefault="00E13F7F" w:rsidP="00E13F7F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00D49618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68EBA28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05DCAEE2" w14:textId="77777777" w:rsidTr="00C93C4D">
        <w:tc>
          <w:tcPr>
            <w:tcW w:w="1288" w:type="dxa"/>
          </w:tcPr>
          <w:p w14:paraId="7DA9BF11" w14:textId="461B599B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B cell/Plasma Cell</w:t>
            </w:r>
          </w:p>
        </w:tc>
        <w:tc>
          <w:tcPr>
            <w:tcW w:w="1288" w:type="dxa"/>
          </w:tcPr>
          <w:p w14:paraId="7413DF44" w14:textId="46CEC2B9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396929B7" w14:textId="44E6EB76" w:rsidR="00C93C4D" w:rsidRPr="00B543DE" w:rsidRDefault="00E13F7F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Spleen</w:t>
            </w:r>
          </w:p>
        </w:tc>
        <w:tc>
          <w:tcPr>
            <w:tcW w:w="1288" w:type="dxa"/>
          </w:tcPr>
          <w:p w14:paraId="7D514945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10.1016/j.celrep.2020.03.034</w:t>
            </w:r>
          </w:p>
          <w:p w14:paraId="12722E9F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FE3419B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Plasma Cell Fate Is Orchestrated by Elaborate Changes in Genome Compartmentalization and Inter-chromosomal Hubs</w:t>
            </w:r>
          </w:p>
          <w:p w14:paraId="417334C5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D9E89F6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7BBC4D71" w14:textId="7090E36C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1F3ED21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139D4371" w14:textId="77777777" w:rsidTr="00C93C4D">
        <w:tc>
          <w:tcPr>
            <w:tcW w:w="1288" w:type="dxa"/>
          </w:tcPr>
          <w:p w14:paraId="7E2DC7CD" w14:textId="5BF0E0A7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T cells</w:t>
            </w:r>
          </w:p>
        </w:tc>
        <w:tc>
          <w:tcPr>
            <w:tcW w:w="1288" w:type="dxa"/>
          </w:tcPr>
          <w:p w14:paraId="3D57010B" w14:textId="05CD6BF8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4DCFDE2F" w14:textId="4E79C3B6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Spleen</w:t>
            </w:r>
          </w:p>
        </w:tc>
        <w:tc>
          <w:tcPr>
            <w:tcW w:w="1288" w:type="dxa"/>
          </w:tcPr>
          <w:p w14:paraId="12788E7A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10.1038/s41590-019-0403-4</w:t>
            </w:r>
          </w:p>
          <w:p w14:paraId="3A8B8D16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6D6AE67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Single-cell RNA-</w:t>
            </w: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seq</w:t>
            </w:r>
            <w:proofErr w:type="spell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 xml:space="preserve"> reveals TOX as a key regulator of CD8+ T cell persistence in chronic infection</w:t>
            </w:r>
          </w:p>
          <w:p w14:paraId="16B060EF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104B445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07835F6F" w14:textId="7B6A27D2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E9FC2A1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GSE119943</w:t>
            </w:r>
          </w:p>
          <w:p w14:paraId="55F0D80D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4E70ABC3" w14:textId="77777777" w:rsidTr="00C93C4D">
        <w:tc>
          <w:tcPr>
            <w:tcW w:w="1288" w:type="dxa"/>
          </w:tcPr>
          <w:p w14:paraId="1330FBED" w14:textId="1A4B97DE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DCs</w:t>
            </w:r>
          </w:p>
        </w:tc>
        <w:tc>
          <w:tcPr>
            <w:tcW w:w="1288" w:type="dxa"/>
          </w:tcPr>
          <w:p w14:paraId="593D7D93" w14:textId="66CF75FF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 + Human</w:t>
            </w:r>
          </w:p>
        </w:tc>
        <w:tc>
          <w:tcPr>
            <w:tcW w:w="1288" w:type="dxa"/>
          </w:tcPr>
          <w:p w14:paraId="27075F5F" w14:textId="4B478904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Spleen</w:t>
            </w:r>
          </w:p>
        </w:tc>
        <w:tc>
          <w:tcPr>
            <w:tcW w:w="1288" w:type="dxa"/>
          </w:tcPr>
          <w:p w14:paraId="66C0AC68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10.1016/j.cell.2019.09.035</w:t>
            </w:r>
          </w:p>
          <w:p w14:paraId="60E299B9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42611F2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Transcriptional Basis of Mouse and Human Dendritic Cell Heterogeneity</w:t>
            </w:r>
          </w:p>
          <w:p w14:paraId="703042B8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7B5A318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067C77FF" w14:textId="4D247BB5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9A6AC66" w14:textId="77777777" w:rsidR="006149B9" w:rsidRPr="00B543DE" w:rsidRDefault="006149B9" w:rsidP="006149B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GSE137710</w:t>
            </w:r>
          </w:p>
          <w:p w14:paraId="70141B85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6935C8E7" w14:textId="77777777" w:rsidTr="00C93C4D">
        <w:tc>
          <w:tcPr>
            <w:tcW w:w="1288" w:type="dxa"/>
          </w:tcPr>
          <w:p w14:paraId="537A27CA" w14:textId="25542416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B-ALL</w:t>
            </w:r>
          </w:p>
        </w:tc>
        <w:tc>
          <w:tcPr>
            <w:tcW w:w="1288" w:type="dxa"/>
          </w:tcPr>
          <w:p w14:paraId="105542F5" w14:textId="7468EED0" w:rsidR="00C93C4D" w:rsidRPr="00B543DE" w:rsidRDefault="006149B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6180255B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Blood, Bone marrow</w:t>
            </w:r>
          </w:p>
          <w:p w14:paraId="31F66AED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C8722C8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10.1016/j.ccell.2020.04.015</w:t>
            </w:r>
          </w:p>
          <w:p w14:paraId="5570C93C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CE1EE3F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 xml:space="preserve">Extensive </w:t>
            </w: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Remodeling</w:t>
            </w:r>
            <w:proofErr w:type="spell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Immune Microenvironment in B Cell Acute Lymphoblastic </w:t>
            </w: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Leukemia</w:t>
            </w:r>
            <w:proofErr w:type="spellEnd"/>
          </w:p>
          <w:p w14:paraId="62E4D30B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B074286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7F813B70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A2771AD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GSE134759</w:t>
            </w:r>
          </w:p>
          <w:p w14:paraId="1BD22DDA" w14:textId="77777777" w:rsidR="00C93C4D" w:rsidRPr="00B543DE" w:rsidRDefault="00C93C4D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1A96BA55" w14:textId="77777777" w:rsidTr="00C93C4D">
        <w:tc>
          <w:tcPr>
            <w:tcW w:w="1288" w:type="dxa"/>
          </w:tcPr>
          <w:p w14:paraId="7BAF1CB0" w14:textId="3A2EC429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B cell</w:t>
            </w:r>
          </w:p>
        </w:tc>
        <w:tc>
          <w:tcPr>
            <w:tcW w:w="1288" w:type="dxa"/>
          </w:tcPr>
          <w:p w14:paraId="07EC8A92" w14:textId="262F662A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0E4C3796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Blood, Heart</w:t>
            </w:r>
          </w:p>
          <w:p w14:paraId="188CB59E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B18BC60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10.1172/jci.insight.134700</w:t>
            </w:r>
          </w:p>
          <w:p w14:paraId="6920392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0F0C206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Myocardial B cells are a subset of circulating lymphocytes with delayed transit through the heart</w:t>
            </w:r>
          </w:p>
          <w:p w14:paraId="143E57D4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EF84C9A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Chromium</w:t>
            </w:r>
          </w:p>
          <w:p w14:paraId="36BC29BF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B9A5408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55D9" w:rsidRPr="00B543DE" w14:paraId="6D2F59A9" w14:textId="77777777" w:rsidTr="00C93C4D">
        <w:tc>
          <w:tcPr>
            <w:tcW w:w="1288" w:type="dxa"/>
          </w:tcPr>
          <w:p w14:paraId="0BCF3FEE" w14:textId="7664FD76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B cell</w:t>
            </w:r>
          </w:p>
        </w:tc>
        <w:tc>
          <w:tcPr>
            <w:tcW w:w="1288" w:type="dxa"/>
          </w:tcPr>
          <w:p w14:paraId="28D4552B" w14:textId="529233F5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36585A98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Bone marrow</w:t>
            </w:r>
          </w:p>
          <w:p w14:paraId="74D425F0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AEF5C5A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10.1101/2020.06.30.178301</w:t>
            </w:r>
          </w:p>
          <w:p w14:paraId="09C067CB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166B551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Single-cell analysis of developing B cells reveals dynamic gene expression networks that govern B cell development and transformation</w:t>
            </w:r>
          </w:p>
          <w:p w14:paraId="355A971C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0258D6B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CITE-</w:t>
            </w: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seq</w:t>
            </w:r>
            <w:proofErr w:type="spellEnd"/>
          </w:p>
          <w:p w14:paraId="6F63E822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6CD4DD2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55D9" w:rsidRPr="00B543DE" w14:paraId="24586162" w14:textId="77777777" w:rsidTr="00C93C4D">
        <w:tc>
          <w:tcPr>
            <w:tcW w:w="1288" w:type="dxa"/>
          </w:tcPr>
          <w:p w14:paraId="140EE0D5" w14:textId="3CD08B8D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B cell</w:t>
            </w:r>
          </w:p>
        </w:tc>
        <w:tc>
          <w:tcPr>
            <w:tcW w:w="1288" w:type="dxa"/>
          </w:tcPr>
          <w:p w14:paraId="19D3F9E9" w14:textId="59C9A63F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742731C3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EF1ACBA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10.1084/jem.20161056</w:t>
            </w:r>
          </w:p>
          <w:p w14:paraId="1EAD090B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D43B713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 xml:space="preserve">Intrinsic transcriptional heterogeneity in B cells controls early </w:t>
            </w: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class switching to </w:t>
            </w: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IgE</w:t>
            </w:r>
            <w:proofErr w:type="spellEnd"/>
          </w:p>
          <w:p w14:paraId="6F40A091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898A18F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SMARTer</w:t>
            </w:r>
            <w:proofErr w:type="spellEnd"/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 xml:space="preserve"> (C1) &amp; Smart-seq2</w:t>
            </w:r>
          </w:p>
          <w:p w14:paraId="1D5CD603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B15C878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AC6EB6B" w14:textId="77777777" w:rsidR="00CF55D9" w:rsidRPr="00B543DE" w:rsidRDefault="00CF55D9" w:rsidP="00CF55D9">
            <w:pPr>
              <w:rPr>
                <w:rFonts w:ascii="Arial" w:hAnsi="Arial" w:cs="Arial"/>
                <w:sz w:val="16"/>
                <w:szCs w:val="16"/>
              </w:rPr>
            </w:pPr>
            <w:r w:rsidRPr="00B543DE">
              <w:rPr>
                <w:rFonts w:ascii="Arial" w:hAnsi="Arial" w:cs="Arial"/>
                <w:sz w:val="16"/>
                <w:szCs w:val="16"/>
              </w:rPr>
              <w:tab/>
            </w:r>
            <w:r w:rsidRPr="00B543DE">
              <w:rPr>
                <w:rFonts w:ascii="Arial" w:hAnsi="Arial" w:cs="Arial"/>
                <w:color w:val="000000"/>
                <w:sz w:val="16"/>
                <w:szCs w:val="16"/>
              </w:rPr>
              <w:t>E-MTAB-4825</w:t>
            </w:r>
          </w:p>
          <w:p w14:paraId="0D8AE3F8" w14:textId="3C4254D1" w:rsidR="00CF55D9" w:rsidRPr="00B543DE" w:rsidRDefault="00CF55D9" w:rsidP="00CF55D9">
            <w:pPr>
              <w:tabs>
                <w:tab w:val="left" w:pos="4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5D9" w:rsidRPr="00B543DE" w14:paraId="0362C902" w14:textId="77777777" w:rsidTr="00C93C4D">
        <w:tc>
          <w:tcPr>
            <w:tcW w:w="1288" w:type="dxa"/>
          </w:tcPr>
          <w:p w14:paraId="2BC2A3C0" w14:textId="1DCE9119" w:rsidR="00CF55D9" w:rsidRPr="00B543DE" w:rsidRDefault="003860DF" w:rsidP="00C93C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Atlas</w:t>
            </w:r>
          </w:p>
        </w:tc>
        <w:tc>
          <w:tcPr>
            <w:tcW w:w="1288" w:type="dxa"/>
          </w:tcPr>
          <w:p w14:paraId="6510C521" w14:textId="116E61B9" w:rsidR="00CF55D9" w:rsidRPr="00B543DE" w:rsidRDefault="003860DF" w:rsidP="00C93C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4F676EA9" w14:textId="39AEF47A" w:rsidR="00CF55D9" w:rsidRPr="00B543DE" w:rsidRDefault="003860DF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288" w:type="dxa"/>
          </w:tcPr>
          <w:p w14:paraId="5987AF3E" w14:textId="77777777" w:rsidR="003860DF" w:rsidRDefault="003860DF" w:rsidP="003860DF">
            <w:r>
              <w:rPr>
                <w:rFonts w:ascii="Arial" w:hAnsi="Arial" w:cs="Arial"/>
                <w:color w:val="000000"/>
                <w:sz w:val="20"/>
                <w:szCs w:val="20"/>
              </w:rPr>
              <w:t>10.1016/j.cell.2018.02.001</w:t>
            </w:r>
          </w:p>
          <w:p w14:paraId="4E0D23E8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C47D0A5" w14:textId="77777777" w:rsidR="003860DF" w:rsidRDefault="003860DF" w:rsidP="003860DF">
            <w:r>
              <w:rPr>
                <w:rFonts w:ascii="Arial" w:hAnsi="Arial" w:cs="Arial"/>
                <w:color w:val="000000"/>
                <w:sz w:val="20"/>
                <w:szCs w:val="20"/>
              </w:rPr>
              <w:t>Mapping the Mouse Cell Atlas by Microwell-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Seq</w:t>
            </w:r>
            <w:proofErr w:type="spellEnd"/>
          </w:p>
          <w:p w14:paraId="6927654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29191EF" w14:textId="77777777" w:rsidR="003860DF" w:rsidRDefault="003860DF" w:rsidP="003860DF">
            <w:r>
              <w:rPr>
                <w:rFonts w:ascii="Arial" w:hAnsi="Arial" w:cs="Arial"/>
                <w:color w:val="000000"/>
                <w:sz w:val="20"/>
                <w:szCs w:val="20"/>
              </w:rPr>
              <w:t>Microwell-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seq</w:t>
            </w:r>
            <w:proofErr w:type="spellEnd"/>
          </w:p>
          <w:p w14:paraId="27663C00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8465808" w14:textId="77777777" w:rsidR="003860DF" w:rsidRDefault="003860DF" w:rsidP="003860DF">
            <w:r>
              <w:rPr>
                <w:rFonts w:ascii="Arial" w:hAnsi="Arial" w:cs="Arial"/>
                <w:color w:val="000000"/>
                <w:sz w:val="20"/>
                <w:szCs w:val="20"/>
              </w:rPr>
              <w:t>GSE108097</w:t>
            </w:r>
          </w:p>
          <w:p w14:paraId="18189D9A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55D9" w:rsidRPr="00B543DE" w14:paraId="3A1F8CA9" w14:textId="77777777" w:rsidTr="00C93C4D">
        <w:tc>
          <w:tcPr>
            <w:tcW w:w="1288" w:type="dxa"/>
          </w:tcPr>
          <w:p w14:paraId="0BBD2112" w14:textId="0BAF1CC5" w:rsidR="00CF55D9" w:rsidRPr="00B543DE" w:rsidRDefault="003860DF" w:rsidP="00C93C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Atlas</w:t>
            </w:r>
          </w:p>
        </w:tc>
        <w:tc>
          <w:tcPr>
            <w:tcW w:w="1288" w:type="dxa"/>
          </w:tcPr>
          <w:p w14:paraId="71AA6F27" w14:textId="6149FC1D" w:rsidR="00CF55D9" w:rsidRPr="00B543DE" w:rsidRDefault="003860DF" w:rsidP="00C93C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88" w:type="dxa"/>
          </w:tcPr>
          <w:p w14:paraId="32770D2D" w14:textId="47A463B1" w:rsidR="00CF55D9" w:rsidRPr="00B543DE" w:rsidRDefault="00B35613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288" w:type="dxa"/>
          </w:tcPr>
          <w:p w14:paraId="2730E297" w14:textId="77777777" w:rsidR="00B35613" w:rsidRDefault="00B35613" w:rsidP="00B35613">
            <w:r>
              <w:rPr>
                <w:rFonts w:ascii="Arial" w:hAnsi="Arial" w:cs="Arial"/>
                <w:color w:val="000000"/>
                <w:sz w:val="20"/>
                <w:szCs w:val="20"/>
              </w:rPr>
              <w:t>10.1038/s41586-020-2496-1</w:t>
            </w:r>
          </w:p>
          <w:p w14:paraId="1C41414E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BDC3350" w14:textId="77777777" w:rsidR="00B35613" w:rsidRDefault="00B35613" w:rsidP="00B35613">
            <w:r>
              <w:rPr>
                <w:rFonts w:ascii="Arial" w:hAnsi="Arial" w:cs="Arial"/>
                <w:color w:val="000000"/>
                <w:sz w:val="20"/>
                <w:szCs w:val="20"/>
              </w:rPr>
              <w:t>A single-cell transcriptomic atlas characterizes ageing tissues in the mouse</w:t>
            </w:r>
          </w:p>
          <w:p w14:paraId="0E730B88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B7A188A" w14:textId="77777777" w:rsidR="00B35613" w:rsidRDefault="00B35613" w:rsidP="00B35613">
            <w:r>
              <w:rPr>
                <w:rFonts w:ascii="Arial" w:hAnsi="Arial" w:cs="Arial"/>
                <w:color w:val="000000"/>
                <w:sz w:val="20"/>
                <w:szCs w:val="20"/>
              </w:rPr>
              <w:t>Chromium &amp; Smart-seq2</w:t>
            </w:r>
          </w:p>
          <w:p w14:paraId="6E8E0ABD" w14:textId="09A945C8" w:rsidR="00B35613" w:rsidRPr="00B35613" w:rsidRDefault="00B35613" w:rsidP="00B3561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A6CBA36" w14:textId="77777777" w:rsidR="00B35613" w:rsidRDefault="00B35613" w:rsidP="00B35613">
            <w:r>
              <w:rPr>
                <w:rFonts w:ascii="Arial" w:hAnsi="Arial" w:cs="Arial"/>
                <w:color w:val="000000"/>
                <w:sz w:val="20"/>
                <w:szCs w:val="20"/>
              </w:rPr>
              <w:t>GSE132042</w:t>
            </w:r>
          </w:p>
          <w:p w14:paraId="5A3EE68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55D9" w:rsidRPr="00B543DE" w14:paraId="1BE8056F" w14:textId="77777777" w:rsidTr="00C93C4D">
        <w:tc>
          <w:tcPr>
            <w:tcW w:w="1288" w:type="dxa"/>
          </w:tcPr>
          <w:p w14:paraId="3EB51D37" w14:textId="418765FC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52E9581" w14:textId="77777777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72A5D7E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F516645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0CD2116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87B0F6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40B988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55D9" w:rsidRPr="00B543DE" w14:paraId="71173BA1" w14:textId="77777777" w:rsidTr="00C93C4D">
        <w:tc>
          <w:tcPr>
            <w:tcW w:w="1288" w:type="dxa"/>
          </w:tcPr>
          <w:p w14:paraId="10002081" w14:textId="77777777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FEBA62A" w14:textId="77777777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E528707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F12F56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55E474B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CE1C2EA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BFF6D76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55D9" w:rsidRPr="00B543DE" w14:paraId="1A5468F8" w14:textId="77777777" w:rsidTr="00C93C4D">
        <w:tc>
          <w:tcPr>
            <w:tcW w:w="1288" w:type="dxa"/>
          </w:tcPr>
          <w:p w14:paraId="2FC4F40B" w14:textId="77777777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1D3245C" w14:textId="77777777" w:rsidR="00CF55D9" w:rsidRPr="00B543DE" w:rsidRDefault="00CF55D9" w:rsidP="00C93C4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C26B983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4A79322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BC45032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5458DFD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8651E9E" w14:textId="77777777" w:rsidR="00CF55D9" w:rsidRPr="00B543DE" w:rsidRDefault="00CF55D9" w:rsidP="00CF55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FCBCCA7" w14:textId="1A314EBF" w:rsidR="00C93C4D" w:rsidRPr="00B543DE" w:rsidRDefault="00C93C4D" w:rsidP="00C93C4D">
      <w:pPr>
        <w:rPr>
          <w:rFonts w:ascii="Arial" w:hAnsi="Arial" w:cs="Arial"/>
          <w:sz w:val="16"/>
          <w:szCs w:val="16"/>
        </w:rPr>
      </w:pPr>
    </w:p>
    <w:p w14:paraId="70A6C63B" w14:textId="77777777" w:rsidR="00C93C4D" w:rsidRPr="00B543DE" w:rsidRDefault="00C93C4D" w:rsidP="00C93C4D">
      <w:pPr>
        <w:rPr>
          <w:rFonts w:ascii="Arial" w:hAnsi="Arial" w:cs="Arial"/>
          <w:sz w:val="16"/>
          <w:szCs w:val="16"/>
        </w:rPr>
      </w:pPr>
    </w:p>
    <w:p w14:paraId="4751C35C" w14:textId="77777777" w:rsidR="00543AC4" w:rsidRPr="00B543DE" w:rsidRDefault="00543AC4" w:rsidP="00543AC4">
      <w:pPr>
        <w:pStyle w:val="ListParagraph"/>
        <w:rPr>
          <w:rFonts w:ascii="Arial" w:hAnsi="Arial" w:cs="Arial"/>
          <w:sz w:val="16"/>
          <w:szCs w:val="16"/>
        </w:rPr>
      </w:pPr>
    </w:p>
    <w:p w14:paraId="32F05F57" w14:textId="77777777" w:rsidR="00543AC4" w:rsidRPr="00B543DE" w:rsidRDefault="00543AC4">
      <w:pPr>
        <w:rPr>
          <w:rFonts w:ascii="Arial" w:hAnsi="Arial" w:cs="Arial"/>
          <w:sz w:val="16"/>
          <w:szCs w:val="16"/>
        </w:rPr>
      </w:pPr>
    </w:p>
    <w:p w14:paraId="21FAEABE" w14:textId="2F09F310" w:rsidR="00543AC4" w:rsidRPr="00B543DE" w:rsidRDefault="00543AC4" w:rsidP="00543AC4">
      <w:pPr>
        <w:rPr>
          <w:rFonts w:ascii="Arial" w:hAnsi="Arial" w:cs="Arial"/>
          <w:sz w:val="16"/>
          <w:szCs w:val="16"/>
        </w:rPr>
      </w:pPr>
      <w:r w:rsidRPr="00B543D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543DE">
        <w:rPr>
          <w:rFonts w:ascii="Arial" w:hAnsi="Arial" w:cs="Arial"/>
          <w:sz w:val="16"/>
          <w:szCs w:val="16"/>
        </w:rPr>
        <w:t>ScRNASeq</w:t>
      </w:r>
      <w:proofErr w:type="spellEnd"/>
      <w:r w:rsidRPr="00B543DE">
        <w:rPr>
          <w:rFonts w:ascii="Arial" w:hAnsi="Arial" w:cs="Arial"/>
          <w:sz w:val="16"/>
          <w:szCs w:val="16"/>
        </w:rPr>
        <w:t xml:space="preserve"> studies for data integration:</w:t>
      </w:r>
    </w:p>
    <w:p w14:paraId="41D680DC" w14:textId="1D4FF9A5" w:rsidR="00AE7D23" w:rsidRDefault="00AE7D23">
      <w:pPr>
        <w:rPr>
          <w:rFonts w:ascii="Arial" w:hAnsi="Arial" w:cs="Arial"/>
          <w:sz w:val="16"/>
          <w:szCs w:val="16"/>
        </w:rPr>
      </w:pPr>
    </w:p>
    <w:p w14:paraId="2028FFF1" w14:textId="77777777" w:rsidR="000D0039" w:rsidRPr="00B543DE" w:rsidRDefault="000D0039">
      <w:pPr>
        <w:rPr>
          <w:rFonts w:ascii="Arial" w:hAnsi="Arial" w:cs="Arial"/>
          <w:sz w:val="16"/>
          <w:szCs w:val="16"/>
        </w:rPr>
      </w:pPr>
    </w:p>
    <w:sectPr w:rsidR="000D0039" w:rsidRPr="00B5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431D"/>
    <w:multiLevelType w:val="hybridMultilevel"/>
    <w:tmpl w:val="B42445D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C751A8"/>
    <w:multiLevelType w:val="hybridMultilevel"/>
    <w:tmpl w:val="77489A66"/>
    <w:lvl w:ilvl="0" w:tplc="1E422D8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C4"/>
    <w:rsid w:val="00065DD3"/>
    <w:rsid w:val="000D0039"/>
    <w:rsid w:val="003860DF"/>
    <w:rsid w:val="0038611D"/>
    <w:rsid w:val="00543AC4"/>
    <w:rsid w:val="005A3067"/>
    <w:rsid w:val="006149B9"/>
    <w:rsid w:val="007E5E10"/>
    <w:rsid w:val="008803A8"/>
    <w:rsid w:val="00956D74"/>
    <w:rsid w:val="009A24CE"/>
    <w:rsid w:val="00AE7D23"/>
    <w:rsid w:val="00B35613"/>
    <w:rsid w:val="00B543DE"/>
    <w:rsid w:val="00C93C4D"/>
    <w:rsid w:val="00CF55D9"/>
    <w:rsid w:val="00D939C0"/>
    <w:rsid w:val="00E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72EEB"/>
  <w15:chartTrackingRefBased/>
  <w15:docId w15:val="{A818EE53-E118-CE42-8302-F1E5A75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3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hAnsi="Arial"/>
      <w:b/>
      <w:iCs/>
      <w:color w:val="000000" w:themeColor="text1"/>
      <w:sz w:val="16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43AC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C9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3</cp:revision>
  <dcterms:created xsi:type="dcterms:W3CDTF">2022-01-19T18:29:00Z</dcterms:created>
  <dcterms:modified xsi:type="dcterms:W3CDTF">2022-02-18T13:38:00Z</dcterms:modified>
</cp:coreProperties>
</file>