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nts/HelveticaNeue-bold.ttf" ContentType="application/x-font-ttf"/>
  <Override PartName="/word/fonts/HelveticaNeue-boldItalic.ttf" ContentType="application/x-font-ttf"/>
  <Override PartName="/word/fonts/HelveticaNeue-italic.ttf" ContentType="application/x-font-ttf"/>
  <Override PartName="/word/fonts/HelveticaNeue-regular.ttf" ContentType="application/x-font-ttf"/>
  <Override PartName="/word/fonts/HelveticaNeueLight-bold.ttf" ContentType="application/x-font-ttf"/>
  <Override PartName="/word/fonts/HelveticaNeueLight-boldItalic.ttf" ContentType="application/x-font-ttf"/>
  <Override PartName="/word/fonts/HelveticaNeueLight-italic.ttf" ContentType="application/x-font-ttf"/>
  <Override PartName="/word/fonts/HelveticaNeueLight-regular.ttf" ContentType="application/x-font-ttf"/>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tbl>
      <w:tblPr>
        <w:tblW w:type="auto" w:w="0"/>
        <w:jc w:val="center"/>
        <w:tblLook w:firstColumn="1" w:firstRow="1" w:lastColumn="0" w:lastRow="0" w:noHBand="0" w:noVBand="1" w:val="04A0"/>
      </w:tblPr>
      <w:tblGrid>
        <w:gridCol w:w="10224"/>
      </w:tblGrid>
      <w:tr>
        <w:tc>
          <w:tcPr>
            <w:tcW w:type="dxa" w:w="10224"/>
            <w:shd w:fill="0E3152"/>
            <w:tcMar>
              <w:top w:w="260" w:type="dxa"/>
              <w:start w:w="260" w:type="dxa"/>
              <w:bottom w:w="260" w:type="dxa"/>
              <w:end w:w="260" w:type="dxa"/>
            </w:tcMar>
          </w:tcPr>
          <w:p>
            <w:pPr>
              <w:jc w:val="left"/>
            </w:pPr>
            <w:r>
              <w:rPr>
                <w:b/>
                <w:color w:val="FFFFFF"/>
                <w:sz w:val="22"/>
              </w:rPr>
              <w:t>SYSTEM DESIGN RFC</w:t>
            </w:r>
          </w:p>
        </w:tc>
      </w:tr>
    </w:tbl>
    <w:p>
      <w:pPr>
        <w:spacing w:after="400"/>
      </w:pPr>
    </w:p>
    <w:p>
      <w:pPr>
        <w:pStyle w:val="Title"/>
        <w:spacing w:after="60"/>
      </w:pPr>
      <w:r>
        <w:rPr>
          <w:color w:val="172033"/>
        </w:rPr>
        <w:t>Crypto Intraday Trading System</w:t>
      </w:r>
    </w:p>
    <w:p>
      <w:pPr>
        <w:pStyle w:val="Title"/>
        <w:spacing w:after="360"/>
      </w:pPr>
      <w:r>
        <w:rPr>
          <w:color w:val="2F6FA3"/>
        </w:rPr>
        <w:t>Jev + Multi-Agent LLM</w:t>
      </w:r>
    </w:p>
    <w:p>
      <w:pPr>
        <w:spacing w:after="360"/>
      </w:pPr>
      <w:r>
        <w:rPr>
          <w:color w:val="586980"/>
          <w:sz w:val="20"/>
        </w:rPr>
        <w:t>Paper-only architecture for BTCUSDT perpetual futures · isolated 3x · deterministic risk control</w:t>
      </w:r>
    </w:p>
    <w:tbl>
      <w:tblPr>
        <w:tblW w:type="auto" w:w="0"/>
        <w:jc w:val="center"/>
        <w:tblLook w:firstColumn="1" w:firstRow="1" w:lastColumn="0" w:lastRow="0" w:noHBand="0" w:noVBand="1" w:val="04A0"/>
      </w:tblPr>
      <w:tblGrid>
        <w:gridCol w:w="3408"/>
        <w:gridCol w:w="3408"/>
        <w:gridCol w:w="3408"/>
      </w:tblGrid>
      <w:tr>
        <w:tc>
          <w:tcPr>
            <w:tcW w:type="dxa" w:w="3408"/>
            <w:shd w:fill="EAF1F8"/>
            <w:tcMar>
              <w:top w:w="140" w:type="dxa"/>
              <w:start w:w="150" w:type="dxa"/>
              <w:bottom w:w="140" w:type="dxa"/>
              <w:end w:w="150" w:type="dxa"/>
            </w:tcMar>
          </w:tcPr>
          <w:p>
            <w:r>
              <w:rPr>
                <w:b/>
                <w:color w:val="586980"/>
                <w:sz w:val="15"/>
              </w:rPr>
              <w:t>STATUS</w:t>
              <w:br/>
            </w:r>
            <w:r>
              <w:rPr>
                <w:b/>
                <w:color w:val="172033"/>
                <w:sz w:val="20"/>
              </w:rPr>
              <w:t>M1 foundation</w:t>
            </w:r>
          </w:p>
        </w:tc>
        <w:tc>
          <w:tcPr>
            <w:tcW w:type="dxa" w:w="3408"/>
            <w:shd w:fill="EAF1F8"/>
            <w:tcMar>
              <w:top w:w="140" w:type="dxa"/>
              <w:start w:w="150" w:type="dxa"/>
              <w:bottom w:w="140" w:type="dxa"/>
              <w:end w:w="150" w:type="dxa"/>
            </w:tcMar>
          </w:tcPr>
          <w:p>
            <w:r>
              <w:rPr>
                <w:b/>
                <w:color w:val="586980"/>
                <w:sz w:val="15"/>
              </w:rPr>
              <w:t>OWNER</w:t>
              <w:br/>
            </w:r>
            <w:r>
              <w:rPr>
                <w:b/>
                <w:color w:val="172033"/>
                <w:sz w:val="20"/>
              </w:rPr>
              <w:t>Julius</w:t>
            </w:r>
          </w:p>
        </w:tc>
        <w:tc>
          <w:tcPr>
            <w:tcW w:type="dxa" w:w="3408"/>
            <w:shd w:fill="EAF1F8"/>
            <w:tcMar>
              <w:top w:w="140" w:type="dxa"/>
              <w:start w:w="150" w:type="dxa"/>
              <w:bottom w:w="140" w:type="dxa"/>
              <w:end w:w="150" w:type="dxa"/>
            </w:tcMar>
          </w:tcPr>
          <w:p>
            <w:r>
              <w:rPr>
                <w:b/>
                <w:color w:val="586980"/>
                <w:sz w:val="15"/>
              </w:rPr>
              <w:t>LAST UPDATED</w:t>
              <w:br/>
            </w:r>
            <w:r>
              <w:rPr>
                <w:b/>
                <w:color w:val="172033"/>
                <w:sz w:val="20"/>
              </w:rPr>
              <w:t>September 22, 2026</w:t>
            </w:r>
          </w:p>
        </w:tc>
      </w:tr>
    </w:tbl>
    <w:p>
      <w:pPr>
        <w:spacing w:after="280"/>
      </w:pPr>
    </w:p>
    <w:tbl>
      <w:tblPr>
        <w:tblW w:type="auto" w:w="0"/>
        <w:jc w:val="center"/>
        <w:tblLook w:firstColumn="1" w:firstRow="1" w:lastColumn="0" w:lastRow="0" w:noHBand="0" w:noVBand="1" w:val="04A0"/>
      </w:tblPr>
      <w:tblGrid>
        <w:gridCol w:w="5112"/>
        <w:gridCol w:w="5112"/>
      </w:tblGrid>
      <w:tr>
        <w:trPr>
          <w:cantSplit/>
        </w:trPr>
        <w:tc>
          <w:tcPr>
            <w:tcW w:type="dxa" w:w="1872"/>
            <w:tcMar>
              <w:top w:w="100" w:type="dxa"/>
              <w:start w:w="130" w:type="dxa"/>
              <w:bottom w:w="100" w:type="dxa"/>
              <w:end w:w="130" w:type="dxa"/>
            </w:tcMar>
          </w:tcPr>
          <w:p>
            <w:r>
              <w:rPr>
                <w:b/>
                <w:color w:val="586980"/>
                <w:sz w:val="16"/>
              </w:rPr>
              <w:t>Authors</w:t>
            </w:r>
          </w:p>
        </w:tc>
        <w:tc>
          <w:tcPr>
            <w:tcW w:type="dxa" w:w="5112"/>
            <w:tcMar>
              <w:top w:w="100" w:type="dxa"/>
              <w:start w:w="130" w:type="dxa"/>
              <w:bottom w:w="100" w:type="dxa"/>
              <w:end w:w="130" w:type="dxa"/>
            </w:tcMar>
          </w:tcPr>
          <w:p>
            <w:r>
              <w:rPr>
                <w:color w:val="172033"/>
                <w:sz w:val="17"/>
              </w:rPr>
              <w:t>Julius; OpenAI Codex</w:t>
            </w:r>
          </w:p>
        </w:tc>
      </w:tr>
      <w:tr>
        <w:trPr>
          <w:cantSplit/>
        </w:trPr>
        <w:tc>
          <w:tcPr>
            <w:tcW w:type="dxa" w:w="1872"/>
            <w:tcMar>
              <w:top w:w="100" w:type="dxa"/>
              <w:start w:w="130" w:type="dxa"/>
              <w:bottom w:w="100" w:type="dxa"/>
              <w:end w:w="130" w:type="dxa"/>
            </w:tcMar>
          </w:tcPr>
          <w:p>
            <w:r>
              <w:rPr>
                <w:b/>
                <w:color w:val="586980"/>
                <w:sz w:val="16"/>
              </w:rPr>
              <w:t>Reviewers</w:t>
            </w:r>
          </w:p>
        </w:tc>
        <w:tc>
          <w:tcPr>
            <w:tcW w:type="dxa" w:w="5112"/>
            <w:tcMar>
              <w:top w:w="100" w:type="dxa"/>
              <w:start w:w="130" w:type="dxa"/>
              <w:bottom w:w="100" w:type="dxa"/>
              <w:end w:w="130" w:type="dxa"/>
            </w:tcMar>
          </w:tcPr>
          <w:p>
            <w:r>
              <w:rPr>
                <w:color w:val="172033"/>
                <w:sz w:val="17"/>
              </w:rPr>
              <w:t>Risk, engineering, and operations reviewers before implementation</w:t>
            </w:r>
          </w:p>
        </w:tc>
      </w:tr>
      <w:tr>
        <w:trPr>
          <w:cantSplit/>
        </w:trPr>
        <w:tc>
          <w:tcPr>
            <w:tcW w:type="dxa" w:w="1872"/>
            <w:tcMar>
              <w:top w:w="100" w:type="dxa"/>
              <w:start w:w="130" w:type="dxa"/>
              <w:bottom w:w="100" w:type="dxa"/>
              <w:end w:w="130" w:type="dxa"/>
            </w:tcMar>
          </w:tcPr>
          <w:p>
            <w:r>
              <w:rPr>
                <w:b/>
                <w:color w:val="586980"/>
                <w:sz w:val="16"/>
              </w:rPr>
              <w:t>Related docs</w:t>
            </w:r>
          </w:p>
        </w:tc>
        <w:tc>
          <w:tcPr>
            <w:tcW w:type="dxa" w:w="5112"/>
            <w:tcMar>
              <w:top w:w="100" w:type="dxa"/>
              <w:start w:w="130" w:type="dxa"/>
              <w:bottom w:w="100" w:type="dxa"/>
              <w:end w:w="130" w:type="dxa"/>
            </w:tcMar>
          </w:tcPr>
          <w:p>
            <w:r>
              <w:rPr>
                <w:color w:val="172033"/>
                <w:sz w:val="17"/>
              </w:rPr>
              <w:t>docs/architecture.md · docs/evaluation.md · docs/btc-paper-runbook.md</w:t>
            </w:r>
          </w:p>
        </w:tc>
      </w:tr>
      <w:tr>
        <w:trPr>
          <w:cantSplit/>
        </w:trPr>
        <w:tc>
          <w:tcPr>
            <w:tcW w:type="dxa" w:w="1872"/>
            <w:tcMar>
              <w:top w:w="100" w:type="dxa"/>
              <w:start w:w="130" w:type="dxa"/>
              <w:bottom w:w="100" w:type="dxa"/>
              <w:end w:w="130" w:type="dxa"/>
            </w:tcMar>
          </w:tcPr>
          <w:p>
            <w:r>
              <w:rPr>
                <w:b/>
                <w:color w:val="586980"/>
                <w:sz w:val="16"/>
              </w:rPr>
              <w:t>Scope</w:t>
            </w:r>
          </w:p>
        </w:tc>
        <w:tc>
          <w:tcPr>
            <w:tcW w:type="dxa" w:w="5112"/>
            <w:tcMar>
              <w:top w:w="100" w:type="dxa"/>
              <w:start w:w="130" w:type="dxa"/>
              <w:bottom w:w="100" w:type="dxa"/>
              <w:end w:w="130" w:type="dxa"/>
            </w:tcMar>
          </w:tcPr>
          <w:p>
            <w:r>
              <w:rPr>
                <w:color w:val="172033"/>
                <w:sz w:val="17"/>
              </w:rPr>
              <w:t>Standalone BTCUSDT perpetual paper system; the daily Donchian bot remains unchanged.</w:t>
            </w:r>
          </w:p>
        </w:tc>
      </w:tr>
    </w:tbl>
    <w:p>
      <w:pPr>
        <w:spacing w:after="400"/>
      </w:pPr>
    </w:p>
    <w:p>
      <w:pPr>
        <w:jc w:val="center"/>
      </w:pPr>
      <w:r>
        <w:rPr>
          <w:color w:val="586980"/>
          <w:sz w:val="16"/>
        </w:rPr>
        <w:t>Design artifact · not an authorization for live trading</w:t>
      </w:r>
      <w:r>
        <w:br w:type="page"/>
      </w:r>
    </w:p>
    <w:p>
      <w:pPr>
        <w:pStyle w:val="Heading1"/>
      </w:pPr>
      <w:r>
        <w:rPr>
          <w:color w:val="0E3152"/>
        </w:rPr>
        <w:t>1. Abstract</w:t>
      </w:r>
    </w:p>
    <w:p>
      <w:r>
        <w:t xml:space="preserve">This document proposes a 24/7 crypto intraday paper-trading system for Binance USD-M </w:t>
      </w:r>
      <w:r>
        <w:rPr>
          <w:rFonts w:ascii="Liberation Mono" w:hAnsi="Liberation Mono"/>
          <w:color w:val="172033"/>
          <w:sz w:val="17"/>
        </w:rPr>
        <w:t>BTCUSDT</w:t>
      </w:r>
      <w:r>
        <w:t xml:space="preserve"> perpetual futures. It combines a slow LLM analysis layer, which produces market theses and bounded rule candidates every 60 minutes, with a fast Jev decision layer that evaluates synchronized market features every five seconds. Jev is the primary source of directional decisions, while deterministic code owns validation, position sizing, margin limits, liquidation protection, idempotency, and all hard risk controls.</w:t>
      </w:r>
    </w:p>
    <w:p>
      <w:r>
        <w:t>The system uses isolated margin with leverage fixed at 3x, one-way positions, and at most two entry tranches. Leverage is a buying-power ceiling, not a multiplier for the risk budget. Each tranche risks at most 0.25% of account equity; the complete position risks at most 0.50%, uses at most 50% notional exposure, and reserves no more than 20% of equity as initial margin. A daily loss limit of 1.5% and a high-water-mark drawdown kill switch of 8% remain immutable.</w:t>
      </w:r>
    </w:p>
    <w:p>
      <w:r>
        <w:t>The first release is paper only. It has no exchange trading credentials, no endpoint that can place a live order, and no migration path that silently converts paper orders to live orders. A later live-trading proposal would require a separate design review, new credentials and permissions, exchange reconciliation, and an independent launch gate.</w:t>
      </w:r>
    </w:p>
    <w:p>
      <w:pPr>
        <w:pStyle w:val="Heading1"/>
      </w:pPr>
      <w:r>
        <w:rPr>
          <w:color w:val="0E3152"/>
        </w:rPr>
        <w:t>2. Goals and Non-Goals</w:t>
      </w:r>
    </w:p>
    <w:tbl>
      <w:tblPr>
        <w:tblW w:type="auto" w:w="0"/>
        <w:jc w:val="center"/>
        <w:tblLayout w:type="autofit"/>
        <w:tblLook w:firstColumn="1" w:firstRow="1" w:lastColumn="0" w:lastRow="0" w:noHBand="0" w:noVBand="1" w:val="04A0"/>
      </w:tblPr>
      <w:tblGrid>
        <w:gridCol w:w="5112"/>
        <w:gridCol w:w="5112"/>
      </w:tblGrid>
      <w:tr>
        <w:trPr>
          <w:cantSplit/>
          <w:tblHeader w:val="true"/>
        </w:trPr>
        <w:tc>
          <w:tcPr>
            <w:tcW w:type="dxa" w:w="5112"/>
            <w:vAlign w:val="center"/>
            <w:tcMar>
              <w:top w:w="100" w:type="dxa"/>
              <w:start w:w="120" w:type="dxa"/>
              <w:bottom w:w="100" w:type="dxa"/>
              <w:end w:w="120" w:type="dxa"/>
            </w:tcMar>
            <w:shd w:fill="0E3152"/>
          </w:tcPr>
          <w:p>
            <w:pPr>
              <w:spacing w:after="0" w:line="240" w:lineRule="auto"/>
            </w:pPr>
            <w:r>
              <w:rPr>
                <w:b/>
                <w:color w:val="FFFFFF"/>
                <w:sz w:val="16"/>
              </w:rPr>
              <w:t>Goals</w:t>
            </w:r>
          </w:p>
        </w:tc>
        <w:tc>
          <w:tcPr>
            <w:tcW w:type="dxa" w:w="5112"/>
            <w:vAlign w:val="center"/>
            <w:tcMar>
              <w:top w:w="100" w:type="dxa"/>
              <w:start w:w="120" w:type="dxa"/>
              <w:bottom w:w="100" w:type="dxa"/>
              <w:end w:w="120" w:type="dxa"/>
            </w:tcMar>
            <w:shd w:fill="0E3152"/>
          </w:tcPr>
          <w:p>
            <w:pPr>
              <w:spacing w:after="0" w:line="240" w:lineRule="auto"/>
            </w:pPr>
            <w:r>
              <w:rPr>
                <w:b/>
                <w:color w:val="FFFFFF"/>
                <w:sz w:val="16"/>
              </w:rPr>
              <w:t>Non-goals</w:t>
            </w:r>
          </w:p>
        </w:tc>
      </w:tr>
      <w:tr>
        <w:trPr>
          <w:cantSplit/>
        </w:trPr>
        <w:tc>
          <w:tcPr>
            <w:tcW w:type="dxa" w:w="5112"/>
            <w:vAlign w:val="center"/>
            <w:tcMar>
              <w:top w:w="100" w:type="dxa"/>
              <w:start w:w="120" w:type="dxa"/>
              <w:bottom w:w="100" w:type="dxa"/>
              <w:end w:w="120" w:type="dxa"/>
            </w:tcMar>
          </w:tcPr>
          <w:p>
            <w:pPr>
              <w:spacing w:after="0" w:line="240" w:lineRule="auto"/>
            </w:pPr>
            <w:r>
              <w:rPr>
                <w:color w:val="172033"/>
                <w:sz w:val="16"/>
              </w:rPr>
              <w:t>Produce a fresh, auditable Jev decision every five seconds when required inputs are healthy.</w:t>
            </w:r>
          </w:p>
        </w:tc>
        <w:tc>
          <w:tcPr>
            <w:tcW w:type="dxa" w:w="5112"/>
            <w:vAlign w:val="center"/>
            <w:tcMar>
              <w:top w:w="100" w:type="dxa"/>
              <w:start w:w="120" w:type="dxa"/>
              <w:bottom w:w="100" w:type="dxa"/>
              <w:end w:w="120" w:type="dxa"/>
            </w:tcMar>
          </w:tcPr>
          <w:p>
            <w:pPr>
              <w:spacing w:after="0" w:line="240" w:lineRule="auto"/>
            </w:pPr>
            <w:r>
              <w:rPr>
                <w:color w:val="172033"/>
                <w:sz w:val="16"/>
              </w:rPr>
              <w:t>Execute real-money orders or hold an API key with trading permission.</w:t>
            </w:r>
          </w:p>
        </w:tc>
      </w:tr>
      <w:tr>
        <w:trPr>
          <w:cantSplit/>
        </w:trPr>
        <w:tc>
          <w:tcPr>
            <w:tcW w:type="dxa" w:w="5112"/>
            <w:vAlign w:val="center"/>
            <w:tcMar>
              <w:top w:w="100" w:type="dxa"/>
              <w:start w:w="120" w:type="dxa"/>
              <w:bottom w:w="100" w:type="dxa"/>
              <w:end w:w="120" w:type="dxa"/>
            </w:tcMar>
            <w:shd w:fill="F4F6F8"/>
          </w:tcPr>
          <w:p>
            <w:pPr>
              <w:spacing w:after="0" w:line="240" w:lineRule="auto"/>
            </w:pPr>
            <w:r>
              <w:rPr>
                <w:color w:val="172033"/>
                <w:sz w:val="16"/>
              </w:rPr>
              <w:t>Simulate perpetual-futures fills, fees, funding, margin, and liquidation risk with reproducible accounting.</w:t>
            </w:r>
          </w:p>
        </w:tc>
        <w:tc>
          <w:tcPr>
            <w:tcW w:type="dxa" w:w="5112"/>
            <w:vAlign w:val="center"/>
            <w:tcMar>
              <w:top w:w="100" w:type="dxa"/>
              <w:start w:w="120" w:type="dxa"/>
              <w:bottom w:w="100" w:type="dxa"/>
              <w:end w:w="120" w:type="dxa"/>
            </w:tcMar>
            <w:shd w:fill="F4F6F8"/>
          </w:tcPr>
          <w:p>
            <w:pPr>
              <w:spacing w:after="0" w:line="240" w:lineRule="auto"/>
            </w:pPr>
            <w:r>
              <w:rPr>
                <w:color w:val="172033"/>
                <w:sz w:val="16"/>
              </w:rPr>
              <w:t>Support cross margin, hedge mode, leverage above 3x, options, or spot execution.</w:t>
            </w:r>
          </w:p>
        </w:tc>
      </w:tr>
      <w:tr>
        <w:trPr>
          <w:cantSplit/>
        </w:trPr>
        <w:tc>
          <w:tcPr>
            <w:tcW w:type="dxa" w:w="5112"/>
            <w:vAlign w:val="center"/>
            <w:tcMar>
              <w:top w:w="100" w:type="dxa"/>
              <w:start w:w="120" w:type="dxa"/>
              <w:bottom w:w="100" w:type="dxa"/>
              <w:end w:w="120" w:type="dxa"/>
            </w:tcMar>
          </w:tcPr>
          <w:p>
            <w:pPr>
              <w:spacing w:after="0" w:line="240" w:lineRule="auto"/>
            </w:pPr>
            <w:r>
              <w:rPr>
                <w:color w:val="172033"/>
                <w:sz w:val="16"/>
              </w:rPr>
              <w:t>Let an LLM propose declarative rules without granting it control of hard risk limits.</w:t>
            </w:r>
          </w:p>
        </w:tc>
        <w:tc>
          <w:tcPr>
            <w:tcW w:type="dxa" w:w="5112"/>
            <w:vAlign w:val="center"/>
            <w:tcMar>
              <w:top w:w="100" w:type="dxa"/>
              <w:start w:w="120" w:type="dxa"/>
              <w:bottom w:w="100" w:type="dxa"/>
              <w:end w:w="120" w:type="dxa"/>
            </w:tcMar>
          </w:tcPr>
          <w:p>
            <w:pPr>
              <w:spacing w:after="0" w:line="240" w:lineRule="auto"/>
            </w:pPr>
            <w:r>
              <w:rPr>
                <w:color w:val="172033"/>
                <w:sz w:val="16"/>
              </w:rPr>
              <w:t>Let generated text or code execute directly in the trading process.</w:t>
            </w:r>
          </w:p>
        </w:tc>
      </w:tr>
      <w:tr>
        <w:trPr>
          <w:cantSplit/>
        </w:trPr>
        <w:tc>
          <w:tcPr>
            <w:tcW w:type="dxa" w:w="5112"/>
            <w:vAlign w:val="center"/>
            <w:tcMar>
              <w:top w:w="100" w:type="dxa"/>
              <w:start w:w="120" w:type="dxa"/>
              <w:bottom w:w="100" w:type="dxa"/>
              <w:end w:w="120" w:type="dxa"/>
            </w:tcMar>
            <w:shd w:fill="F4F6F8"/>
          </w:tcPr>
          <w:p>
            <w:pPr>
              <w:spacing w:after="0" w:line="240" w:lineRule="auto"/>
            </w:pPr>
            <w:r>
              <w:rPr>
                <w:color w:val="172033"/>
                <w:sz w:val="16"/>
              </w:rPr>
              <w:t>Promote challenger rules only after replay and a 14-day/30-trade shadow evaluation.</w:t>
            </w:r>
          </w:p>
        </w:tc>
        <w:tc>
          <w:tcPr>
            <w:tcW w:type="dxa" w:w="5112"/>
            <w:vAlign w:val="center"/>
            <w:tcMar>
              <w:top w:w="100" w:type="dxa"/>
              <w:start w:w="120" w:type="dxa"/>
              <w:bottom w:w="100" w:type="dxa"/>
              <w:end w:w="120" w:type="dxa"/>
            </w:tcMar>
            <w:shd w:fill="F4F6F8"/>
          </w:tcPr>
          <w:p>
            <w:pPr>
              <w:spacing w:after="0" w:line="240" w:lineRule="auto"/>
            </w:pPr>
            <w:r>
              <w:rPr>
                <w:color w:val="172033"/>
                <w:sz w:val="16"/>
              </w:rPr>
              <w:t>Optimize a challenger on the same evaluation window used to approve it.</w:t>
            </w:r>
          </w:p>
        </w:tc>
      </w:tr>
      <w:tr>
        <w:trPr>
          <w:cantSplit/>
        </w:trPr>
        <w:tc>
          <w:tcPr>
            <w:tcW w:type="dxa" w:w="5112"/>
            <w:vAlign w:val="center"/>
            <w:tcMar>
              <w:top w:w="100" w:type="dxa"/>
              <w:start w:w="120" w:type="dxa"/>
              <w:bottom w:w="100" w:type="dxa"/>
              <w:end w:w="120" w:type="dxa"/>
            </w:tcMar>
          </w:tcPr>
          <w:p>
            <w:pPr>
              <w:spacing w:after="0" w:line="240" w:lineRule="auto"/>
            </w:pPr>
            <w:r>
              <w:rPr>
                <w:color w:val="172033"/>
                <w:sz w:val="16"/>
              </w:rPr>
              <w:t>Provide a private dashboard, Telegram operations channel, audit trail, and safe operator controls.</w:t>
            </w:r>
          </w:p>
        </w:tc>
        <w:tc>
          <w:tcPr>
            <w:tcW w:type="dxa" w:w="5112"/>
            <w:vAlign w:val="center"/>
            <w:tcMar>
              <w:top w:w="100" w:type="dxa"/>
              <w:start w:w="120" w:type="dxa"/>
              <w:bottom w:w="100" w:type="dxa"/>
              <w:end w:w="120" w:type="dxa"/>
            </w:tcMar>
          </w:tcPr>
          <w:p>
            <w:pPr>
              <w:spacing w:after="0" w:line="240" w:lineRule="auto"/>
            </w:pPr>
            <w:r>
              <w:rPr>
                <w:color w:val="172033"/>
                <w:sz w:val="16"/>
              </w:rPr>
              <w:t>Build a public multi-user SaaS dashboard or a complex SPA.</w:t>
            </w:r>
          </w:p>
        </w:tc>
      </w:tr>
      <w:tr>
        <w:trPr>
          <w:cantSplit/>
        </w:trPr>
        <w:tc>
          <w:tcPr>
            <w:tcW w:type="dxa" w:w="5112"/>
            <w:vAlign w:val="center"/>
            <w:tcMar>
              <w:top w:w="100" w:type="dxa"/>
              <w:start w:w="120" w:type="dxa"/>
              <w:bottom w:w="100" w:type="dxa"/>
              <w:end w:w="120" w:type="dxa"/>
            </w:tcMar>
            <w:shd w:fill="F4F6F8"/>
          </w:tcPr>
          <w:p>
            <w:pPr>
              <w:spacing w:after="0" w:line="240" w:lineRule="auto"/>
            </w:pPr>
            <w:r>
              <w:rPr>
                <w:color w:val="172033"/>
                <w:sz w:val="16"/>
              </w:rPr>
              <w:t>Run continuously on one Linux VPS using Docker Compose and a recoverable SQLite data store.</w:t>
            </w:r>
          </w:p>
        </w:tc>
        <w:tc>
          <w:tcPr>
            <w:tcW w:type="dxa" w:w="5112"/>
            <w:vAlign w:val="center"/>
            <w:tcMar>
              <w:top w:w="100" w:type="dxa"/>
              <w:start w:w="120" w:type="dxa"/>
              <w:bottom w:w="100" w:type="dxa"/>
              <w:end w:w="120" w:type="dxa"/>
            </w:tcMar>
            <w:shd w:fill="F4F6F8"/>
          </w:tcPr>
          <w:p>
            <w:pPr>
              <w:spacing w:after="0" w:line="240" w:lineRule="auto"/>
            </w:pPr>
            <w:r>
              <w:rPr>
                <w:color w:val="172033"/>
                <w:sz w:val="16"/>
              </w:rPr>
              <w:t>Provide active-active availability or multi-region operation in v1.</w:t>
            </w:r>
          </w:p>
        </w:tc>
      </w:tr>
    </w:tbl>
    <w:p>
      <w:pPr>
        <w:spacing w:after="0"/>
      </w:pPr>
    </w:p>
    <w:p>
      <w:pPr>
        <w:pStyle w:val="Heading1"/>
      </w:pPr>
      <w:r>
        <w:rPr>
          <w:color w:val="0E3152"/>
        </w:rPr>
        <w:t>3. Background and Problem Statement</w:t>
      </w:r>
    </w:p>
    <w:p>
      <w:r>
        <w:t>The existing repository contains a deterministic, daily BTC paper-trading campaign based on closed candles and a promoted Donchian strategy. It is intentionally narrow, reproducible, and conservative. An intraday system that changes rules through an LLM, uses order-book and derivatives data, and calls a model every five seconds has a different failure surface and must not mutate the promoted campaign or share its paper account.</w:t>
      </w:r>
    </w:p>
    <w:p>
      <w:r>
        <w:t>The original intraday prompt leaves several safety-critical details underspecified:</w:t>
      </w:r>
    </w:p>
    <w:p>
      <w:pPr>
        <w:spacing w:after="60"/>
        <w:ind w:left="288" w:hanging="187"/>
      </w:pPr>
      <w:r>
        <w:t xml:space="preserve">• A mutable </w:t>
      </w:r>
      <w:r>
        <w:rPr>
          <w:rFonts w:ascii="Liberation Mono" w:hAnsi="Liberation Mono"/>
          <w:color w:val="172033"/>
          <w:sz w:val="17"/>
        </w:rPr>
        <w:t>rules_current.json</w:t>
      </w:r>
      <w:r>
        <w:t xml:space="preserve"> can change behavior mid-decision and cannot provide a</w:t>
      </w:r>
      <w:r>
        <w:t xml:space="preserve"> complete replay trail.</w:t>
      </w:r>
    </w:p>
    <w:p>
      <w:pPr>
        <w:spacing w:after="60"/>
        <w:ind w:left="288" w:hanging="187"/>
      </w:pPr>
      <w:r>
        <w:t>• A 30-minute champion/challenger contest measures noise rather than durable strategy</w:t>
      </w:r>
      <w:r>
        <w:t xml:space="preserve"> quality.</w:t>
      </w:r>
    </w:p>
    <w:p>
      <w:pPr>
        <w:spacing w:after="60"/>
        <w:ind w:left="288" w:hanging="187"/>
      </w:pPr>
      <w:r>
        <w:t>• Repeated REST requests every five seconds produce temporally inconsistent features</w:t>
      </w:r>
      <w:r>
        <w:t xml:space="preserve"> and unnecessary rate-limit pressure.</w:t>
      </w:r>
    </w:p>
    <w:p>
      <w:pPr>
        <w:spacing w:after="60"/>
        <w:ind w:left="288" w:hanging="187"/>
      </w:pPr>
      <w:r>
        <w:t>• A single confidence threshold does not protect against stale data, malformed model</w:t>
      </w:r>
      <w:r>
        <w:t xml:space="preserve"> output, over-sizing, liquidation proximity, or repeated orders.</w:t>
      </w:r>
    </w:p>
    <w:p>
      <w:pPr>
        <w:spacing w:after="60"/>
        <w:ind w:left="288" w:hanging="187"/>
      </w:pPr>
      <w:r>
        <w:t xml:space="preserve">• Editing </w:t>
      </w:r>
      <w:r>
        <w:rPr>
          <w:rFonts w:ascii="Liberation Mono" w:hAnsi="Liberation Mono"/>
          <w:color w:val="172033"/>
          <w:sz w:val="17"/>
        </w:rPr>
        <w:t>.env</w:t>
      </w:r>
      <w:r>
        <w:t xml:space="preserve"> from a remote dashboard creates a secret-exposure and configuration-</w:t>
      </w:r>
      <w:r>
        <w:t xml:space="preserve"> integrity risk.</w:t>
      </w:r>
    </w:p>
    <w:p>
      <w:pPr>
        <w:spacing w:after="60"/>
        <w:ind w:left="288" w:hanging="187"/>
      </w:pPr>
      <w:r>
        <w:t>• Cost assumptions are not credible until actual request counts and input tokens are</w:t>
      </w:r>
      <w:r>
        <w:t xml:space="preserve"> measured. A five-second loop alone can make 17,280 Jev calls per day.</w:t>
      </w:r>
    </w:p>
    <w:p>
      <w:r>
        <w:t>The governing invariant is therefore:</w:t>
      </w:r>
    </w:p>
    <w:p>
      <w:pPr>
        <w:ind w:left="403" w:right="259"/>
        <w:shd w:fill="EAF1F8"/>
      </w:pPr>
      <w:r>
        <w:rPr>
          <w:i/>
          <w:color w:val="172033"/>
        </w:rPr>
        <w:t>Models may recommend exposure, but only deterministic, versioned, and replayable policy may authorize a paper fill.</w:t>
      </w:r>
    </w:p>
    <w:p>
      <w:pPr>
        <w:pStyle w:val="Heading1"/>
      </w:pPr>
      <w:r>
        <w:rPr>
          <w:color w:val="0E3152"/>
        </w:rPr>
        <w:t>4. Proposed Architecture</w:t>
      </w:r>
    </w:p>
    <w:p>
      <w:pPr>
        <w:keepLines/>
        <w:jc w:val="center"/>
      </w:pPr>
      <w:r>
        <w:drawing>
          <wp:inline>
            <wp:extent cx="6400800" cy="1203411"/>
            <wp:docPr id="1" name="Picture 1"/>
            <wp:cNvGraphicFramePr>
              <a:graphicFrameLocks noChangeAspect="1"/>
            </wp:cNvGraphicFramePr>
            <a:graphic>
              <a:graphicData uri="http://schemas.openxmlformats.org/drawingml/2006/picture">
                <pic:pic>
                  <pic:nvPicPr>
                    <pic:cNvPr id="0" name="crypto-intraday-architecture.png"/>
                    <pic:cNvPicPr/>
                  </pic:nvPicPr>
                  <pic:blipFill>
                    <a:blip r:embed="rId7"/>
                    <a:stretch>
                      <a:fillRect/>
                    </a:stretch>
                  </pic:blipFill>
                  <pic:spPr>
                    <a:xfrm>
                      <a:off x="0" y="0"/>
                      <a:ext cx="6400800" cy="1203411"/>
                    </a:xfrm>
                    <a:prstGeom prst="rect"/>
                  </pic:spPr>
                </pic:pic>
              </a:graphicData>
            </a:graphic>
          </wp:inline>
        </w:drawing>
      </w:r>
    </w:p>
    <w:p>
      <w:pPr>
        <w:spacing w:after="160"/>
        <w:jc w:val="center"/>
      </w:pPr>
      <w:r>
        <w:rPr>
          <w:i/>
          <w:color w:val="586980"/>
          <w:sz w:val="15"/>
        </w:rPr>
        <w:t>Figure 1. Proposed system architecture and trust boundaries.</w:t>
      </w:r>
    </w:p>
    <w:p>
      <w:pPr>
        <w:pStyle w:val="Heading3"/>
      </w:pPr>
      <w:r>
        <w:rPr>
          <w:color w:val="0E3152"/>
        </w:rPr>
        <w:t>Core components</w:t>
      </w:r>
    </w:p>
    <w:tbl>
      <w:tblPr>
        <w:tblW w:type="auto" w:w="0"/>
        <w:jc w:val="center"/>
        <w:tblLayout w:type="autofit"/>
        <w:tblLook w:firstColumn="1" w:firstRow="1" w:lastColumn="0" w:lastRow="0" w:noHBand="0" w:noVBand="1" w:val="04A0"/>
      </w:tblPr>
      <w:tblGrid>
        <w:gridCol w:w="2556"/>
        <w:gridCol w:w="2556"/>
        <w:gridCol w:w="2556"/>
        <w:gridCol w:w="2556"/>
      </w:tblGrid>
      <w:tr>
        <w:trPr>
          <w:cantSplit/>
          <w:tblHeader w:val="true"/>
        </w:trPr>
        <w:tc>
          <w:tcPr>
            <w:tcW w:type="dxa" w:w="2556"/>
            <w:vAlign w:val="center"/>
            <w:tcMar>
              <w:top w:w="100" w:type="dxa"/>
              <w:start w:w="120" w:type="dxa"/>
              <w:bottom w:w="100" w:type="dxa"/>
              <w:end w:w="120" w:type="dxa"/>
            </w:tcMar>
            <w:shd w:fill="0E3152"/>
          </w:tcPr>
          <w:p>
            <w:pPr>
              <w:spacing w:after="0" w:line="240" w:lineRule="auto"/>
            </w:pPr>
            <w:r>
              <w:rPr>
                <w:b/>
                <w:color w:val="FFFFFF"/>
                <w:sz w:val="15"/>
              </w:rPr>
              <w:t>Component</w:t>
            </w:r>
          </w:p>
        </w:tc>
        <w:tc>
          <w:tcPr>
            <w:tcW w:type="dxa" w:w="2556"/>
            <w:vAlign w:val="center"/>
            <w:tcMar>
              <w:top w:w="100" w:type="dxa"/>
              <w:start w:w="120" w:type="dxa"/>
              <w:bottom w:w="100" w:type="dxa"/>
              <w:end w:w="120" w:type="dxa"/>
            </w:tcMar>
            <w:shd w:fill="0E3152"/>
          </w:tcPr>
          <w:p>
            <w:pPr>
              <w:spacing w:after="0" w:line="240" w:lineRule="auto"/>
            </w:pPr>
            <w:r>
              <w:rPr>
                <w:b/>
                <w:color w:val="FFFFFF"/>
                <w:sz w:val="15"/>
              </w:rPr>
              <w:t>Responsibility</w:t>
            </w:r>
          </w:p>
        </w:tc>
        <w:tc>
          <w:tcPr>
            <w:tcW w:type="dxa" w:w="2556"/>
            <w:vAlign w:val="center"/>
            <w:tcMar>
              <w:top w:w="100" w:type="dxa"/>
              <w:start w:w="120" w:type="dxa"/>
              <w:bottom w:w="100" w:type="dxa"/>
              <w:end w:w="120" w:type="dxa"/>
            </w:tcMar>
            <w:shd w:fill="0E3152"/>
          </w:tcPr>
          <w:p>
            <w:pPr>
              <w:spacing w:after="0" w:line="240" w:lineRule="auto"/>
            </w:pPr>
            <w:r>
              <w:rPr>
                <w:b/>
                <w:color w:val="FFFFFF"/>
                <w:sz w:val="15"/>
              </w:rPr>
              <w:t>Primary state</w:t>
            </w:r>
          </w:p>
        </w:tc>
        <w:tc>
          <w:tcPr>
            <w:tcW w:type="dxa" w:w="2556"/>
            <w:vAlign w:val="center"/>
            <w:tcMar>
              <w:top w:w="100" w:type="dxa"/>
              <w:start w:w="120" w:type="dxa"/>
              <w:bottom w:w="100" w:type="dxa"/>
              <w:end w:w="120" w:type="dxa"/>
            </w:tcMar>
            <w:shd w:fill="0E3152"/>
          </w:tcPr>
          <w:p>
            <w:pPr>
              <w:spacing w:after="0" w:line="240" w:lineRule="auto"/>
            </w:pPr>
            <w:r>
              <w:rPr>
                <w:b/>
                <w:color w:val="FFFFFF"/>
                <w:sz w:val="15"/>
              </w:rPr>
              <w:t>Failure behavior</w:t>
            </w:r>
          </w:p>
        </w:tc>
      </w:tr>
      <w:tr>
        <w:trPr>
          <w:cantSplit/>
        </w:trPr>
        <w:tc>
          <w:tcPr>
            <w:tcW w:type="dxa" w:w="2556"/>
            <w:vAlign w:val="center"/>
            <w:tcMar>
              <w:top w:w="100" w:type="dxa"/>
              <w:start w:w="120" w:type="dxa"/>
              <w:bottom w:w="100" w:type="dxa"/>
              <w:end w:w="120" w:type="dxa"/>
            </w:tcMar>
          </w:tcPr>
          <w:p>
            <w:pPr>
              <w:spacing w:after="0" w:line="240" w:lineRule="auto"/>
            </w:pPr>
            <w:r>
              <w:rPr>
                <w:color w:val="172033"/>
                <w:sz w:val="15"/>
              </w:rPr>
              <w:t>Market data plane</w:t>
            </w:r>
          </w:p>
        </w:tc>
        <w:tc>
          <w:tcPr>
            <w:tcW w:type="dxa" w:w="2556"/>
            <w:vAlign w:val="center"/>
            <w:tcMar>
              <w:top w:w="100" w:type="dxa"/>
              <w:start w:w="120" w:type="dxa"/>
              <w:bottom w:w="100" w:type="dxa"/>
              <w:end w:w="120" w:type="dxa"/>
            </w:tcMar>
          </w:tcPr>
          <w:p>
            <w:pPr>
              <w:spacing w:after="0" w:line="240" w:lineRule="auto"/>
            </w:pPr>
            <w:r>
              <w:rPr>
                <w:color w:val="172033"/>
                <w:sz w:val="15"/>
              </w:rPr>
              <w:t>Maintain WebSocket streams, poll slower derivatives data, calculate indicators, and emit synchronized snapshots.</w:t>
            </w:r>
          </w:p>
        </w:tc>
        <w:tc>
          <w:tcPr>
            <w:tcW w:type="dxa" w:w="2556"/>
            <w:vAlign w:val="center"/>
            <w:tcMar>
              <w:top w:w="100" w:type="dxa"/>
              <w:start w:w="120" w:type="dxa"/>
              <w:bottom w:w="100" w:type="dxa"/>
              <w:end w:w="120" w:type="dxa"/>
            </w:tcMar>
          </w:tcPr>
          <w:p>
            <w:pPr>
              <w:spacing w:after="0" w:line="240" w:lineRule="auto"/>
            </w:pPr>
            <w:r>
              <w:rPr>
                <w:color w:val="172033"/>
                <w:sz w:val="15"/>
              </w:rPr>
              <w:t>In-memory cache plus persisted snapshots</w:t>
            </w:r>
          </w:p>
        </w:tc>
        <w:tc>
          <w:tcPr>
            <w:tcW w:type="dxa" w:w="2556"/>
            <w:vAlign w:val="center"/>
            <w:tcMar>
              <w:top w:w="100" w:type="dxa"/>
              <w:start w:w="120" w:type="dxa"/>
              <w:bottom w:w="100" w:type="dxa"/>
              <w:end w:w="120" w:type="dxa"/>
            </w:tcMar>
          </w:tcPr>
          <w:p>
            <w:pPr>
              <w:spacing w:after="0" w:line="240" w:lineRule="auto"/>
            </w:pPr>
            <w:r>
              <w:rPr>
                <w:color w:val="172033"/>
                <w:sz w:val="15"/>
              </w:rPr>
              <w:t>Mark affected fields stale; block new entries when required fields exceed TTL.</w:t>
            </w:r>
          </w:p>
        </w:tc>
      </w:tr>
      <w:tr>
        <w:trPr>
          <w:cantSplit/>
        </w:trPr>
        <w:tc>
          <w:tcPr>
            <w:tcW w:type="dxa" w:w="2556"/>
            <w:vAlign w:val="center"/>
            <w:tcMar>
              <w:top w:w="100" w:type="dxa"/>
              <w:start w:w="120" w:type="dxa"/>
              <w:bottom w:w="100" w:type="dxa"/>
              <w:end w:w="120" w:type="dxa"/>
            </w:tcMar>
            <w:shd w:fill="F4F6F8"/>
          </w:tcPr>
          <w:p>
            <w:pPr>
              <w:spacing w:after="0" w:line="240" w:lineRule="auto"/>
            </w:pPr>
            <w:r>
              <w:rPr>
                <w:color w:val="172033"/>
                <w:sz w:val="15"/>
              </w:rPr>
              <w:t>LLM analysis layer</w:t>
            </w:r>
          </w:p>
        </w:tc>
        <w:tc>
          <w:tcPr>
            <w:tcW w:type="dxa" w:w="2556"/>
            <w:vAlign w:val="center"/>
            <w:tcMar>
              <w:top w:w="100" w:type="dxa"/>
              <w:start w:w="120" w:type="dxa"/>
              <w:bottom w:w="100" w:type="dxa"/>
              <w:end w:w="120" w:type="dxa"/>
            </w:tcMar>
            <w:shd w:fill="F4F6F8"/>
          </w:tcPr>
          <w:p>
            <w:pPr>
              <w:spacing w:after="0" w:line="240" w:lineRule="auto"/>
            </w:pPr>
            <w:r>
              <w:rPr>
                <w:color w:val="172033"/>
                <w:sz w:val="15"/>
              </w:rPr>
              <w:t>Produce evidence-backed analyst reports, a market thesis, and bounded rule candidates.</w:t>
            </w:r>
          </w:p>
        </w:tc>
        <w:tc>
          <w:tcPr>
            <w:tcW w:type="dxa" w:w="2556"/>
            <w:vAlign w:val="center"/>
            <w:tcMar>
              <w:top w:w="100" w:type="dxa"/>
              <w:start w:w="120" w:type="dxa"/>
              <w:bottom w:w="100" w:type="dxa"/>
              <w:end w:w="120" w:type="dxa"/>
            </w:tcMar>
            <w:shd w:fill="F4F6F8"/>
          </w:tcPr>
          <w:p>
            <w:pPr>
              <w:spacing w:after="0" w:line="240" w:lineRule="auto"/>
            </w:pPr>
            <w:r>
              <w:rPr>
                <w:color w:val="172033"/>
                <w:sz w:val="15"/>
              </w:rPr>
              <w:t>Versioned reports and candidates in SQLite</w:t>
            </w:r>
          </w:p>
        </w:tc>
        <w:tc>
          <w:tcPr>
            <w:tcW w:type="dxa" w:w="2556"/>
            <w:vAlign w:val="center"/>
            <w:tcMar>
              <w:top w:w="100" w:type="dxa"/>
              <w:start w:w="120" w:type="dxa"/>
              <w:bottom w:w="100" w:type="dxa"/>
              <w:end w:w="120" w:type="dxa"/>
            </w:tcMar>
            <w:shd w:fill="F4F6F8"/>
          </w:tcPr>
          <w:p>
            <w:pPr>
              <w:spacing w:after="0" w:line="240" w:lineRule="auto"/>
            </w:pPr>
            <w:r>
              <w:rPr>
                <w:color w:val="172033"/>
                <w:sz w:val="15"/>
              </w:rPr>
              <w:t>Keep the last valid thesis; do not create or activate a candidate.</w:t>
            </w:r>
          </w:p>
        </w:tc>
      </w:tr>
      <w:tr>
        <w:trPr>
          <w:cantSplit/>
        </w:trPr>
        <w:tc>
          <w:tcPr>
            <w:tcW w:type="dxa" w:w="2556"/>
            <w:vAlign w:val="center"/>
            <w:tcMar>
              <w:top w:w="100" w:type="dxa"/>
              <w:start w:w="120" w:type="dxa"/>
              <w:bottom w:w="100" w:type="dxa"/>
              <w:end w:w="120" w:type="dxa"/>
            </w:tcMar>
          </w:tcPr>
          <w:p>
            <w:pPr>
              <w:spacing w:after="0" w:line="240" w:lineRule="auto"/>
            </w:pPr>
            <w:r>
              <w:rPr>
                <w:color w:val="172033"/>
                <w:sz w:val="15"/>
              </w:rPr>
              <w:t>Jev decision provider</w:t>
            </w:r>
          </w:p>
        </w:tc>
        <w:tc>
          <w:tcPr>
            <w:tcW w:type="dxa" w:w="2556"/>
            <w:vAlign w:val="center"/>
            <w:tcMar>
              <w:top w:w="100" w:type="dxa"/>
              <w:start w:w="120" w:type="dxa"/>
              <w:bottom w:w="100" w:type="dxa"/>
              <w:end w:w="120" w:type="dxa"/>
            </w:tcMar>
          </w:tcPr>
          <w:p>
            <w:pPr>
              <w:spacing w:after="0" w:line="240" w:lineRule="auto"/>
            </w:pPr>
            <w:r>
              <w:rPr>
                <w:color w:val="172033"/>
                <w:sz w:val="15"/>
              </w:rPr>
              <w:t>Send one state snapshot with typed questions and normalize typed answers and confidence.</w:t>
            </w:r>
          </w:p>
        </w:tc>
        <w:tc>
          <w:tcPr>
            <w:tcW w:type="dxa" w:w="2556"/>
            <w:vAlign w:val="center"/>
            <w:tcMar>
              <w:top w:w="100" w:type="dxa"/>
              <w:start w:w="120" w:type="dxa"/>
              <w:bottom w:w="100" w:type="dxa"/>
              <w:end w:w="120" w:type="dxa"/>
            </w:tcMar>
          </w:tcPr>
          <w:p>
            <w:pPr>
              <w:spacing w:after="0" w:line="240" w:lineRule="auto"/>
            </w:pPr>
            <w:r>
              <w:rPr>
                <w:color w:val="172033"/>
                <w:sz w:val="15"/>
              </w:rPr>
              <w:t>Immutable decision records</w:t>
            </w:r>
          </w:p>
        </w:tc>
        <w:tc>
          <w:tcPr>
            <w:tcW w:type="dxa" w:w="2556"/>
            <w:vAlign w:val="center"/>
            <w:tcMar>
              <w:top w:w="100" w:type="dxa"/>
              <w:start w:w="120" w:type="dxa"/>
              <w:bottom w:w="100" w:type="dxa"/>
              <w:end w:w="120" w:type="dxa"/>
            </w:tcMar>
          </w:tcPr>
          <w:p>
            <w:pPr>
              <w:spacing w:after="0" w:line="240" w:lineRule="auto"/>
            </w:pPr>
            <w:r>
              <w:rPr>
                <w:color w:val="172033"/>
                <w:sz w:val="15"/>
              </w:rPr>
              <w:t>Timeout or invalid response becomes HOLD; no retry inside the same decision tick.</w:t>
            </w:r>
          </w:p>
        </w:tc>
      </w:tr>
      <w:tr>
        <w:trPr>
          <w:cantSplit/>
        </w:trPr>
        <w:tc>
          <w:tcPr>
            <w:tcW w:type="dxa" w:w="2556"/>
            <w:vAlign w:val="center"/>
            <w:tcMar>
              <w:top w:w="100" w:type="dxa"/>
              <w:start w:w="120" w:type="dxa"/>
              <w:bottom w:w="100" w:type="dxa"/>
              <w:end w:w="120" w:type="dxa"/>
            </w:tcMar>
            <w:shd w:fill="F4F6F8"/>
          </w:tcPr>
          <w:p>
            <w:pPr>
              <w:spacing w:after="0" w:line="240" w:lineRule="auto"/>
            </w:pPr>
            <w:r>
              <w:rPr>
                <w:color w:val="172033"/>
                <w:sz w:val="15"/>
              </w:rPr>
              <w:t>Deterministic risk gate</w:t>
            </w:r>
          </w:p>
        </w:tc>
        <w:tc>
          <w:tcPr>
            <w:tcW w:type="dxa" w:w="2556"/>
            <w:vAlign w:val="center"/>
            <w:tcMar>
              <w:top w:w="100" w:type="dxa"/>
              <w:start w:w="120" w:type="dxa"/>
              <w:bottom w:w="100" w:type="dxa"/>
              <w:end w:w="120" w:type="dxa"/>
            </w:tcMar>
            <w:shd w:fill="F4F6F8"/>
          </w:tcPr>
          <w:p>
            <w:pPr>
              <w:spacing w:after="0" w:line="240" w:lineRule="auto"/>
            </w:pPr>
            <w:r>
              <w:rPr>
                <w:color w:val="172033"/>
                <w:sz w:val="15"/>
              </w:rPr>
              <w:t>Validate freshness, rules, confidence, exposure, margin, liquidation buffer, daily loss, and drawdown.</w:t>
            </w:r>
          </w:p>
        </w:tc>
        <w:tc>
          <w:tcPr>
            <w:tcW w:type="dxa" w:w="2556"/>
            <w:vAlign w:val="center"/>
            <w:tcMar>
              <w:top w:w="100" w:type="dxa"/>
              <w:start w:w="120" w:type="dxa"/>
              <w:bottom w:w="100" w:type="dxa"/>
              <w:end w:w="120" w:type="dxa"/>
            </w:tcMar>
            <w:shd w:fill="F4F6F8"/>
          </w:tcPr>
          <w:p>
            <w:pPr>
              <w:spacing w:after="0" w:line="240" w:lineRule="auto"/>
            </w:pPr>
            <w:r>
              <w:rPr>
                <w:color w:val="172033"/>
                <w:sz w:val="15"/>
              </w:rPr>
              <w:t>Active rule/config versions and risk state</w:t>
            </w:r>
          </w:p>
        </w:tc>
        <w:tc>
          <w:tcPr>
            <w:tcW w:type="dxa" w:w="2556"/>
            <w:vAlign w:val="center"/>
            <w:tcMar>
              <w:top w:w="100" w:type="dxa"/>
              <w:start w:w="120" w:type="dxa"/>
              <w:bottom w:w="100" w:type="dxa"/>
              <w:end w:w="120" w:type="dxa"/>
            </w:tcMar>
            <w:shd w:fill="F4F6F8"/>
          </w:tcPr>
          <w:p>
            <w:pPr>
              <w:spacing w:after="0" w:line="240" w:lineRule="auto"/>
            </w:pPr>
            <w:r>
              <w:rPr>
                <w:color w:val="172033"/>
                <w:sz w:val="15"/>
              </w:rPr>
              <w:t>Fail closed for entries; risk-reducing exits remain available.</w:t>
            </w:r>
          </w:p>
        </w:tc>
      </w:tr>
      <w:tr>
        <w:trPr>
          <w:cantSplit/>
        </w:trPr>
        <w:tc>
          <w:tcPr>
            <w:tcW w:type="dxa" w:w="2556"/>
            <w:vAlign w:val="center"/>
            <w:tcMar>
              <w:top w:w="100" w:type="dxa"/>
              <w:start w:w="120" w:type="dxa"/>
              <w:bottom w:w="100" w:type="dxa"/>
              <w:end w:w="120" w:type="dxa"/>
            </w:tcMar>
          </w:tcPr>
          <w:p>
            <w:pPr>
              <w:spacing w:after="0" w:line="240" w:lineRule="auto"/>
            </w:pPr>
            <w:r>
              <w:rPr>
                <w:color w:val="172033"/>
                <w:sz w:val="15"/>
              </w:rPr>
              <w:t>Paper execution engine</w:t>
            </w:r>
          </w:p>
        </w:tc>
        <w:tc>
          <w:tcPr>
            <w:tcW w:type="dxa" w:w="2556"/>
            <w:vAlign w:val="center"/>
            <w:tcMar>
              <w:top w:w="100" w:type="dxa"/>
              <w:start w:w="120" w:type="dxa"/>
              <w:bottom w:w="100" w:type="dxa"/>
              <w:end w:w="120" w:type="dxa"/>
            </w:tcMar>
          </w:tcPr>
          <w:p>
            <w:pPr>
              <w:spacing w:after="0" w:line="240" w:lineRule="auto"/>
            </w:pPr>
            <w:r>
              <w:rPr>
                <w:color w:val="172033"/>
                <w:sz w:val="15"/>
              </w:rPr>
              <w:t>Simulate market fills, one-way positions, fees, funding, margin, mark-to-market, and liquidation safeguards.</w:t>
            </w:r>
          </w:p>
        </w:tc>
        <w:tc>
          <w:tcPr>
            <w:tcW w:type="dxa" w:w="2556"/>
            <w:vAlign w:val="center"/>
            <w:tcMar>
              <w:top w:w="100" w:type="dxa"/>
              <w:start w:w="120" w:type="dxa"/>
              <w:bottom w:w="100" w:type="dxa"/>
              <w:end w:w="120" w:type="dxa"/>
            </w:tcMar>
          </w:tcPr>
          <w:p>
            <w:pPr>
              <w:spacing w:after="0" w:line="240" w:lineRule="auto"/>
            </w:pPr>
            <w:r>
              <w:rPr>
                <w:color w:val="172033"/>
                <w:sz w:val="15"/>
              </w:rPr>
              <w:t>Paper ledger, orders, fills, positions</w:t>
            </w:r>
          </w:p>
        </w:tc>
        <w:tc>
          <w:tcPr>
            <w:tcW w:type="dxa" w:w="2556"/>
            <w:vAlign w:val="center"/>
            <w:tcMar>
              <w:top w:w="100" w:type="dxa"/>
              <w:start w:w="120" w:type="dxa"/>
              <w:bottom w:w="100" w:type="dxa"/>
              <w:end w:w="120" w:type="dxa"/>
            </w:tcMar>
          </w:tcPr>
          <w:p>
            <w:pPr>
              <w:spacing w:after="0" w:line="240" w:lineRule="auto"/>
            </w:pPr>
            <w:r>
              <w:rPr>
                <w:color w:val="172033"/>
                <w:sz w:val="15"/>
              </w:rPr>
              <w:t>Commit nothing unless order and ledger transition can be atomic.</w:t>
            </w:r>
          </w:p>
        </w:tc>
      </w:tr>
      <w:tr>
        <w:trPr>
          <w:cantSplit/>
        </w:trPr>
        <w:tc>
          <w:tcPr>
            <w:tcW w:type="dxa" w:w="2556"/>
            <w:vAlign w:val="center"/>
            <w:tcMar>
              <w:top w:w="100" w:type="dxa"/>
              <w:start w:w="120" w:type="dxa"/>
              <w:bottom w:w="100" w:type="dxa"/>
              <w:end w:w="120" w:type="dxa"/>
            </w:tcMar>
            <w:shd w:fill="F4F6F8"/>
          </w:tcPr>
          <w:p>
            <w:pPr>
              <w:spacing w:after="0" w:line="240" w:lineRule="auto"/>
            </w:pPr>
            <w:r>
              <w:rPr>
                <w:color w:val="172033"/>
                <w:sz w:val="15"/>
              </w:rPr>
              <w:t>Rule evaluation service</w:t>
            </w:r>
          </w:p>
        </w:tc>
        <w:tc>
          <w:tcPr>
            <w:tcW w:type="dxa" w:w="2556"/>
            <w:vAlign w:val="center"/>
            <w:tcMar>
              <w:top w:w="100" w:type="dxa"/>
              <w:start w:w="120" w:type="dxa"/>
              <w:bottom w:w="100" w:type="dxa"/>
              <w:end w:w="120" w:type="dxa"/>
            </w:tcMar>
            <w:shd w:fill="F4F6F8"/>
          </w:tcPr>
          <w:p>
            <w:pPr>
              <w:spacing w:after="0" w:line="240" w:lineRule="auto"/>
            </w:pPr>
            <w:r>
              <w:rPr>
                <w:color w:val="172033"/>
                <w:sz w:val="15"/>
              </w:rPr>
              <w:t>Replay candidates and run champion/challenger ledgers against identical inputs.</w:t>
            </w:r>
          </w:p>
        </w:tc>
        <w:tc>
          <w:tcPr>
            <w:tcW w:type="dxa" w:w="2556"/>
            <w:vAlign w:val="center"/>
            <w:tcMar>
              <w:top w:w="100" w:type="dxa"/>
              <w:start w:w="120" w:type="dxa"/>
              <w:bottom w:w="100" w:type="dxa"/>
              <w:end w:w="120" w:type="dxa"/>
            </w:tcMar>
            <w:shd w:fill="F4F6F8"/>
          </w:tcPr>
          <w:p>
            <w:pPr>
              <w:spacing w:after="0" w:line="240" w:lineRule="auto"/>
            </w:pPr>
            <w:r>
              <w:rPr>
                <w:color w:val="172033"/>
                <w:sz w:val="15"/>
              </w:rPr>
              <w:t>Candidate lifecycle and evaluation windows</w:t>
            </w:r>
          </w:p>
        </w:tc>
        <w:tc>
          <w:tcPr>
            <w:tcW w:type="dxa" w:w="2556"/>
            <w:vAlign w:val="center"/>
            <w:tcMar>
              <w:top w:w="100" w:type="dxa"/>
              <w:start w:w="120" w:type="dxa"/>
              <w:bottom w:w="100" w:type="dxa"/>
              <w:end w:w="120" w:type="dxa"/>
            </w:tcMar>
            <w:shd w:fill="F4F6F8"/>
          </w:tcPr>
          <w:p>
            <w:pPr>
              <w:spacing w:after="0" w:line="240" w:lineRule="auto"/>
            </w:pPr>
            <w:r>
              <w:rPr>
                <w:color w:val="172033"/>
                <w:sz w:val="15"/>
              </w:rPr>
              <w:t>Preserve champion; pause evaluation and surface missing coverage.</w:t>
            </w:r>
          </w:p>
        </w:tc>
      </w:tr>
      <w:tr>
        <w:trPr>
          <w:cantSplit/>
        </w:trPr>
        <w:tc>
          <w:tcPr>
            <w:tcW w:type="dxa" w:w="2556"/>
            <w:vAlign w:val="center"/>
            <w:tcMar>
              <w:top w:w="100" w:type="dxa"/>
              <w:start w:w="120" w:type="dxa"/>
              <w:bottom w:w="100" w:type="dxa"/>
              <w:end w:w="120" w:type="dxa"/>
            </w:tcMar>
          </w:tcPr>
          <w:p>
            <w:pPr>
              <w:spacing w:after="0" w:line="240" w:lineRule="auto"/>
            </w:pPr>
            <w:r>
              <w:rPr>
                <w:color w:val="172033"/>
                <w:sz w:val="15"/>
              </w:rPr>
              <w:t>Operations plane</w:t>
            </w:r>
          </w:p>
        </w:tc>
        <w:tc>
          <w:tcPr>
            <w:tcW w:type="dxa" w:w="2556"/>
            <w:vAlign w:val="center"/>
            <w:tcMar>
              <w:top w:w="100" w:type="dxa"/>
              <w:start w:w="120" w:type="dxa"/>
              <w:bottom w:w="100" w:type="dxa"/>
              <w:end w:w="120" w:type="dxa"/>
            </w:tcMar>
          </w:tcPr>
          <w:p>
            <w:pPr>
              <w:spacing w:after="0" w:line="240" w:lineRule="auto"/>
            </w:pPr>
            <w:r>
              <w:rPr>
                <w:color w:val="172033"/>
                <w:sz w:val="15"/>
              </w:rPr>
              <w:t>Serve private monitoring/control views and send deduplicated Telegram events.</w:t>
            </w:r>
          </w:p>
        </w:tc>
        <w:tc>
          <w:tcPr>
            <w:tcW w:type="dxa" w:w="2556"/>
            <w:vAlign w:val="center"/>
            <w:tcMar>
              <w:top w:w="100" w:type="dxa"/>
              <w:start w:w="120" w:type="dxa"/>
              <w:bottom w:w="100" w:type="dxa"/>
              <w:end w:w="120" w:type="dxa"/>
            </w:tcMar>
          </w:tcPr>
          <w:p>
            <w:pPr>
              <w:spacing w:after="0" w:line="240" w:lineRule="auto"/>
            </w:pPr>
            <w:r>
              <w:rPr>
                <w:color w:val="172033"/>
                <w:sz w:val="15"/>
              </w:rPr>
              <w:t>Audit log and notification outbox</w:t>
            </w:r>
          </w:p>
        </w:tc>
        <w:tc>
          <w:tcPr>
            <w:tcW w:type="dxa" w:w="2556"/>
            <w:vAlign w:val="center"/>
            <w:tcMar>
              <w:top w:w="100" w:type="dxa"/>
              <w:start w:w="120" w:type="dxa"/>
              <w:bottom w:w="100" w:type="dxa"/>
              <w:end w:w="120" w:type="dxa"/>
            </w:tcMar>
          </w:tcPr>
          <w:p>
            <w:pPr>
              <w:spacing w:after="0" w:line="240" w:lineRule="auto"/>
            </w:pPr>
            <w:r>
              <w:rPr>
                <w:color w:val="172033"/>
                <w:sz w:val="15"/>
              </w:rPr>
              <w:t>Trading remains safe if UI or Telegram is unavailable.</w:t>
            </w:r>
          </w:p>
        </w:tc>
      </w:tr>
    </w:tbl>
    <w:p>
      <w:pPr>
        <w:spacing w:after="0"/>
      </w:pPr>
    </w:p>
    <w:p>
      <w:pPr>
        <w:pStyle w:val="Heading3"/>
      </w:pPr>
      <w:r>
        <w:rPr>
          <w:color w:val="0E3152"/>
        </w:rPr>
        <w:t>Deployment boundary</w:t>
      </w:r>
    </w:p>
    <w:p>
      <w:r>
        <w:t>Docker Compose runs two application services on one Linux VPS:</w:t>
      </w:r>
    </w:p>
    <w:p>
      <w:pPr>
        <w:spacing w:after="60"/>
        <w:ind w:left="288" w:hanging="187"/>
      </w:pPr>
      <w:r>
        <w:t xml:space="preserve">• </w:t>
      </w:r>
      <w:r>
        <w:rPr>
          <w:rFonts w:ascii="Liberation Mono" w:hAnsi="Liberation Mono"/>
          <w:color w:val="172033"/>
          <w:sz w:val="17"/>
        </w:rPr>
        <w:t>worker</w:t>
      </w:r>
      <w:r>
        <w:t>: ingestion, feature calculation, LLM schedules, Jev loop, risk gate,</w:t>
      </w:r>
      <w:r>
        <w:t xml:space="preserve"> paper execution, evaluations, and notification outbox.</w:t>
      </w:r>
    </w:p>
    <w:p>
      <w:pPr>
        <w:spacing w:after="60"/>
        <w:ind w:left="288" w:hanging="187"/>
      </w:pPr>
      <w:r>
        <w:t xml:space="preserve">• </w:t>
      </w:r>
      <w:r>
        <w:rPr>
          <w:rFonts w:ascii="Liberation Mono" w:hAnsi="Liberation Mono"/>
          <w:color w:val="172033"/>
          <w:sz w:val="17"/>
        </w:rPr>
        <w:t>web</w:t>
      </w:r>
      <w:r>
        <w:t>: read APIs, server-rendered dashboard, and narrowly scoped operator commands.</w:t>
      </w:r>
    </w:p>
    <w:p>
      <w:r>
        <w:t>Both services mount one persistent volume. SQLite runs in WAL mode; the worker is the single writer for trading state. The web process submits control commands into an inbox table rather than mutating positions or rules directly. Nightly backups copy a consistent SQLite snapshot to storage outside the container volume.</w:t>
      </w:r>
    </w:p>
    <w:p>
      <w:pPr>
        <w:pStyle w:val="Heading3"/>
      </w:pPr>
      <w:r>
        <w:rPr>
          <w:color w:val="0E3152"/>
        </w:rPr>
        <w:t>Cross-venue market evidence</w:t>
      </w:r>
    </w:p>
    <w:p>
      <w:r>
        <w:t>Binance remains the reference and simulated execution venue. Hyperliquid is an optional evidence source: BTC L2 book arrives over WebSocket while funding, open interest, mark, and oracle context refresh over public REST every 30 seconds. The worker normalizes funding to basis points per hour, open interest to USD, and book depth/imbalance inside 5/10/25 bps bands before binding the evidence into the immutable five-second snapshot.</w:t>
      </w:r>
    </w:p>
    <w:p>
      <w:r>
        <w:t xml:space="preserve">The overlay defaults to </w:t>
      </w:r>
      <w:r>
        <w:rPr>
          <w:rFonts w:ascii="Liberation Mono" w:hAnsi="Liberation Mono"/>
          <w:color w:val="172033"/>
          <w:sz w:val="17"/>
        </w:rPr>
        <w:t>shadow</w:t>
      </w:r>
      <w:r>
        <w:t xml:space="preserve">. Confirming evidence may recommend </w:t>
      </w:r>
      <w:r>
        <w:rPr>
          <w:rFonts w:ascii="Liberation Mono" w:hAnsi="Liberation Mono"/>
          <w:color w:val="172033"/>
          <w:sz w:val="17"/>
        </w:rPr>
        <w:t>+0.5</w:t>
      </w:r>
      <w:r>
        <w:t xml:space="preserve"> entry quality; conflicting evidence recommends </w:t>
      </w:r>
      <w:r>
        <w:rPr>
          <w:rFonts w:ascii="Liberation Mono" w:hAnsi="Liberation Mono"/>
          <w:color w:val="172033"/>
          <w:sz w:val="17"/>
        </w:rPr>
        <w:t>-1.0</w:t>
      </w:r>
      <w:r>
        <w:t xml:space="preserve"> and a 0.5 notional multiplier; verified venue stress recommends no new exposure. It never changes direction, confidence, leverage, stop-loss, or any hard-risk limit. Missing Hyperliquid evidence is neutral and leaves Binance sizing unchanged. Activation requires a persisted 14-day promotion evaluation; changing configuration alone cannot bypass the gate. Lighter is deferred until the Hyperliquid pipeline completes its promotion evaluation and will reuse the same venue frame interface.</w:t>
      </w:r>
    </w:p>
    <w:p>
      <w:pPr>
        <w:pStyle w:val="Heading3"/>
      </w:pPr>
      <w:r>
        <w:rPr>
          <w:color w:val="0E3152"/>
        </w:rPr>
        <w:t>News-source policy</w:t>
      </w:r>
    </w:p>
    <w:p>
      <w:r>
        <w:t>The allowlist is verified independently of model prompts. V1 enables the public RSS feeds from the SEC, CFTC, Federal Reserve, CoinDesk, Decrypt, and Cointelegraph. Binance announcements remain disabled until a separate signed, read-only announcement credential is approved. The Block is not sent to an LLM because its current terms prohibit automated AI/ML processing of its content. Wu Blockchain remains disabled until a stable, authorized machine-readable endpoint is verified. Disabled sources remain visible in the source catalog with a reason; the system never silently replaces them with scraping or an unofficial mirror.</w:t>
      </w:r>
    </w:p>
    <w:p>
      <w:pPr>
        <w:pStyle w:val="Heading1"/>
      </w:pPr>
      <w:r>
        <w:rPr>
          <w:color w:val="0E3152"/>
        </w:rPr>
        <w:t>5. Decision and Analysis Lifecycles</w:t>
      </w:r>
    </w:p>
    <w:p>
      <w:pPr>
        <w:pStyle w:val="Heading3"/>
      </w:pPr>
      <w:r>
        <w:rPr>
          <w:color w:val="0E3152"/>
        </w:rPr>
        <w:t>Five-second decision lifecycle</w:t>
      </w:r>
    </w:p>
    <w:p>
      <w:pPr>
        <w:keepLines/>
        <w:jc w:val="center"/>
      </w:pPr>
      <w:r>
        <w:drawing>
          <wp:inline>
            <wp:extent cx="6400800" cy="1125742"/>
            <wp:docPr id="2" name="Picture 2"/>
            <wp:cNvGraphicFramePr>
              <a:graphicFrameLocks noChangeAspect="1"/>
            </wp:cNvGraphicFramePr>
            <a:graphic>
              <a:graphicData uri="http://schemas.openxmlformats.org/drawingml/2006/picture">
                <pic:pic>
                  <pic:nvPicPr>
                    <pic:cNvPr id="0" name="crypto-intraday-decision-sequence.png"/>
                    <pic:cNvPicPr/>
                  </pic:nvPicPr>
                  <pic:blipFill>
                    <a:blip r:embed="rId14"/>
                    <a:stretch>
                      <a:fillRect/>
                    </a:stretch>
                  </pic:blipFill>
                  <pic:spPr>
                    <a:xfrm>
                      <a:off x="0" y="0"/>
                      <a:ext cx="6400800" cy="1125742"/>
                    </a:xfrm>
                    <a:prstGeom prst="rect"/>
                  </pic:spPr>
                </pic:pic>
              </a:graphicData>
            </a:graphic>
          </wp:inline>
        </w:drawing>
      </w:r>
    </w:p>
    <w:p>
      <w:pPr>
        <w:spacing w:after="160"/>
        <w:jc w:val="center"/>
      </w:pPr>
      <w:r>
        <w:rPr>
          <w:i/>
          <w:color w:val="586980"/>
          <w:sz w:val="15"/>
        </w:rPr>
        <w:t>Figure 2. Five-second decision lifecycle and fail-closed paths.</w:t>
      </w:r>
    </w:p>
    <w:p>
      <w:pPr>
        <w:spacing w:after="60"/>
        <w:ind w:left="317" w:hanging="259"/>
      </w:pPr>
      <w:r>
        <w:t xml:space="preserve">1. The scheduler creates </w:t>
      </w:r>
      <w:r>
        <w:rPr>
          <w:rFonts w:ascii="Liberation Mono" w:hAnsi="Liberation Mono"/>
          <w:color w:val="172033"/>
          <w:sz w:val="17"/>
        </w:rPr>
        <w:t>decision_tick_id</w:t>
      </w:r>
      <w:r>
        <w:t xml:space="preserve"> from the UTC five-second bucket and symbol.</w:t>
      </w:r>
    </w:p>
    <w:p>
      <w:pPr>
        <w:spacing w:after="60"/>
        <w:ind w:left="317" w:hanging="259"/>
      </w:pPr>
      <w:r>
        <w:t>2. The feature builder reads the latest stream state, closed 1h indicators, funding,</w:t>
      </w:r>
      <w:r>
        <w:t xml:space="preserve"> open interest, long/short ratio, and cached sentiment. It persists the exact input.</w:t>
      </w:r>
    </w:p>
    <w:p>
      <w:pPr>
        <w:spacing w:after="60"/>
        <w:ind w:left="317" w:hanging="259"/>
      </w:pPr>
      <w:r>
        <w:t>3. Required features must meet per-field TTLs. A stale required field produces a</w:t>
      </w:r>
      <w:r>
        <w:t xml:space="preserve"> persisted blocked decision without calling Jev.</w:t>
      </w:r>
    </w:p>
    <w:p>
      <w:pPr>
        <w:spacing w:after="60"/>
        <w:ind w:left="317" w:hanging="259"/>
      </w:pPr>
      <w:r>
        <w:t xml:space="preserve">4. The Jev adapter calls OpenRouter using base URL </w:t>
      </w:r>
      <w:r>
        <w:rPr>
          <w:rFonts w:ascii="Liberation Mono" w:hAnsi="Liberation Mono"/>
          <w:color w:val="172033"/>
          <w:sz w:val="17"/>
        </w:rPr>
        <w:t>https://openrouter.ai/api/v1</w:t>
      </w:r>
      <w:r>
        <w:t xml:space="preserve"> and</w:t>
      </w:r>
      <w:r>
        <w:t xml:space="preserve"> pinned model </w:t>
      </w:r>
      <w:r>
        <w:rPr>
          <w:rFonts w:ascii="Liberation Mono" w:hAnsi="Liberation Mono"/>
          <w:color w:val="172033"/>
          <w:sz w:val="17"/>
        </w:rPr>
        <w:t>typesafe/jev-1.13</w:t>
      </w:r>
      <w:r>
        <w:t>. It records latency, token usage, provider request</w:t>
      </w:r>
      <w:r>
        <w:t xml:space="preserve"> ID, model ID, and the raw typed response.</w:t>
      </w:r>
    </w:p>
    <w:p>
      <w:pPr>
        <w:spacing w:after="60"/>
        <w:ind w:left="317" w:hanging="259"/>
      </w:pPr>
      <w:r>
        <w:t>5. The gate maps the response to a target exposure and evaluates it against the active</w:t>
      </w:r>
      <w:r>
        <w:t xml:space="preserve"> immutable rule version and current hard-risk state.</w:t>
      </w:r>
    </w:p>
    <w:p>
      <w:pPr>
        <w:spacing w:after="60"/>
        <w:ind w:left="317" w:hanging="259"/>
      </w:pPr>
      <w:r>
        <w:t>6. An authorized exposure transition becomes one idempotent simulated market order.</w:t>
      </w:r>
      <w:r>
        <w:t xml:space="preserve"> Order, fill, ledger, position, audit event, and notification-outbox row commit in a</w:t>
      </w:r>
      <w:r>
        <w:t xml:space="preserve"> single transaction.</w:t>
      </w:r>
    </w:p>
    <w:p>
      <w:pPr>
        <w:spacing w:after="60"/>
        <w:ind w:left="317" w:hanging="259"/>
      </w:pPr>
      <w:r>
        <w:t>7. A notification worker sends outbox events and records delivery separately. Delivery</w:t>
      </w:r>
      <w:r>
        <w:t xml:space="preserve"> failure never rolls back a fill.</w:t>
      </w:r>
    </w:p>
    <w:p>
      <w:pPr>
        <w:pStyle w:val="Heading3"/>
      </w:pPr>
      <w:r>
        <w:rPr>
          <w:color w:val="0E3152"/>
        </w:rPr>
        <w:t>Direction-to-exposure mapping</w:t>
      </w:r>
    </w:p>
    <w:tbl>
      <w:tblPr>
        <w:tblW w:type="auto" w:w="0"/>
        <w:jc w:val="center"/>
        <w:tblLayout w:type="autofit"/>
        <w:tblLook w:firstColumn="1" w:firstRow="1" w:lastColumn="0" w:lastRow="0" w:noHBand="0" w:noVBand="1" w:val="04A0"/>
      </w:tblPr>
      <w:tblGrid>
        <w:gridCol w:w="2556"/>
        <w:gridCol w:w="2556"/>
        <w:gridCol w:w="2556"/>
        <w:gridCol w:w="2556"/>
      </w:tblGrid>
      <w:tr>
        <w:trPr>
          <w:cantSplit/>
          <w:tblHeader w:val="true"/>
        </w:trPr>
        <w:tc>
          <w:tcPr>
            <w:tcW w:type="dxa" w:w="2556"/>
            <w:vAlign w:val="center"/>
            <w:tcMar>
              <w:top w:w="100" w:type="dxa"/>
              <w:start w:w="120" w:type="dxa"/>
              <w:bottom w:w="100" w:type="dxa"/>
              <w:end w:w="120" w:type="dxa"/>
            </w:tcMar>
            <w:shd w:fill="0E3152"/>
          </w:tcPr>
          <w:p>
            <w:pPr>
              <w:spacing w:after="0" w:line="240" w:lineRule="auto"/>
            </w:pPr>
            <w:r>
              <w:rPr>
                <w:b/>
                <w:color w:val="FFFFFF"/>
                <w:sz w:val="15"/>
              </w:rPr>
              <w:t>Jev direction</w:t>
            </w:r>
          </w:p>
        </w:tc>
        <w:tc>
          <w:tcPr>
            <w:tcW w:type="dxa" w:w="2556"/>
            <w:vAlign w:val="center"/>
            <w:tcMar>
              <w:top w:w="100" w:type="dxa"/>
              <w:start w:w="120" w:type="dxa"/>
              <w:bottom w:w="100" w:type="dxa"/>
              <w:end w:w="120" w:type="dxa"/>
            </w:tcMar>
            <w:shd w:fill="0E3152"/>
          </w:tcPr>
          <w:p>
            <w:pPr>
              <w:spacing w:after="0" w:line="240" w:lineRule="auto"/>
            </w:pPr>
            <w:r>
              <w:rPr>
                <w:b/>
                <w:color w:val="FFFFFF"/>
                <w:sz w:val="15"/>
              </w:rPr>
              <w:t>Flat account</w:t>
            </w:r>
          </w:p>
        </w:tc>
        <w:tc>
          <w:tcPr>
            <w:tcW w:type="dxa" w:w="2556"/>
            <w:vAlign w:val="center"/>
            <w:tcMar>
              <w:top w:w="100" w:type="dxa"/>
              <w:start w:w="120" w:type="dxa"/>
              <w:bottom w:w="100" w:type="dxa"/>
              <w:end w:w="120" w:type="dxa"/>
            </w:tcMar>
            <w:shd w:fill="0E3152"/>
          </w:tcPr>
          <w:p>
            <w:pPr>
              <w:spacing w:after="0" w:line="240" w:lineRule="auto"/>
            </w:pPr>
            <w:r>
              <w:rPr>
                <w:b/>
                <w:color w:val="FFFFFF"/>
                <w:sz w:val="15"/>
              </w:rPr>
              <w:t>Existing same-direction position</w:t>
            </w:r>
          </w:p>
        </w:tc>
        <w:tc>
          <w:tcPr>
            <w:tcW w:type="dxa" w:w="2556"/>
            <w:vAlign w:val="center"/>
            <w:tcMar>
              <w:top w:w="100" w:type="dxa"/>
              <w:start w:w="120" w:type="dxa"/>
              <w:bottom w:w="100" w:type="dxa"/>
              <w:end w:w="120" w:type="dxa"/>
            </w:tcMar>
            <w:shd w:fill="0E3152"/>
          </w:tcPr>
          <w:p>
            <w:pPr>
              <w:spacing w:after="0" w:line="240" w:lineRule="auto"/>
            </w:pPr>
            <w:r>
              <w:rPr>
                <w:b/>
                <w:color w:val="FFFFFF"/>
                <w:sz w:val="15"/>
              </w:rPr>
              <w:t>Existing opposite position</w:t>
            </w:r>
          </w:p>
        </w:tc>
      </w:tr>
      <w:tr>
        <w:trPr>
          <w:cantSplit/>
        </w:trPr>
        <w:tc>
          <w:tcPr>
            <w:tcW w:type="dxa" w:w="2556"/>
            <w:vAlign w:val="center"/>
            <w:tcMar>
              <w:top w:w="100" w:type="dxa"/>
              <w:start w:w="120" w:type="dxa"/>
              <w:bottom w:w="100" w:type="dxa"/>
              <w:end w:w="120" w:type="dxa"/>
            </w:tcMar>
          </w:tcPr>
          <w:p>
            <w:pPr>
              <w:spacing w:after="0" w:line="240" w:lineRule="auto"/>
            </w:pPr>
            <w:r>
              <w:rPr>
                <w:color w:val="172033"/>
                <w:sz w:val="15"/>
              </w:rPr>
              <w:t>Strong Buy</w:t>
            </w:r>
          </w:p>
        </w:tc>
        <w:tc>
          <w:tcPr>
            <w:tcW w:type="dxa" w:w="2556"/>
            <w:vAlign w:val="center"/>
            <w:tcMar>
              <w:top w:w="100" w:type="dxa"/>
              <w:start w:w="120" w:type="dxa"/>
              <w:bottom w:w="100" w:type="dxa"/>
              <w:end w:w="120" w:type="dxa"/>
            </w:tcMar>
          </w:tcPr>
          <w:p>
            <w:pPr>
              <w:spacing w:after="0" w:line="240" w:lineRule="auto"/>
            </w:pPr>
            <w:r>
              <w:rPr>
                <w:color w:val="172033"/>
                <w:sz w:val="15"/>
              </w:rPr>
              <w:t>Target +2 long tranches</w:t>
            </w:r>
          </w:p>
        </w:tc>
        <w:tc>
          <w:tcPr>
            <w:tcW w:type="dxa" w:w="2556"/>
            <w:vAlign w:val="center"/>
            <w:tcMar>
              <w:top w:w="100" w:type="dxa"/>
              <w:start w:w="120" w:type="dxa"/>
              <w:bottom w:w="100" w:type="dxa"/>
              <w:end w:w="120" w:type="dxa"/>
            </w:tcMar>
          </w:tcPr>
          <w:p>
            <w:pPr>
              <w:spacing w:after="0" w:line="240" w:lineRule="auto"/>
            </w:pPr>
            <w:r>
              <w:rPr>
                <w:color w:val="172033"/>
                <w:sz w:val="15"/>
              </w:rPr>
              <w:t>Add up to +2</w:t>
            </w:r>
          </w:p>
        </w:tc>
        <w:tc>
          <w:tcPr>
            <w:tcW w:type="dxa" w:w="2556"/>
            <w:vAlign w:val="center"/>
            <w:tcMar>
              <w:top w:w="100" w:type="dxa"/>
              <w:start w:w="120" w:type="dxa"/>
              <w:bottom w:w="100" w:type="dxa"/>
              <w:end w:w="120" w:type="dxa"/>
            </w:tcMar>
          </w:tcPr>
          <w:p>
            <w:pPr>
              <w:spacing w:after="0" w:line="240" w:lineRule="auto"/>
            </w:pPr>
            <w:r>
              <w:rPr>
                <w:color w:val="172033"/>
                <w:sz w:val="15"/>
              </w:rPr>
              <w:t>Close short; do not open long in the same tick</w:t>
            </w:r>
          </w:p>
        </w:tc>
      </w:tr>
      <w:tr>
        <w:trPr>
          <w:cantSplit/>
        </w:trPr>
        <w:tc>
          <w:tcPr>
            <w:tcW w:type="dxa" w:w="2556"/>
            <w:vAlign w:val="center"/>
            <w:tcMar>
              <w:top w:w="100" w:type="dxa"/>
              <w:start w:w="120" w:type="dxa"/>
              <w:bottom w:w="100" w:type="dxa"/>
              <w:end w:w="120" w:type="dxa"/>
            </w:tcMar>
            <w:shd w:fill="F4F6F8"/>
          </w:tcPr>
          <w:p>
            <w:pPr>
              <w:spacing w:after="0" w:line="240" w:lineRule="auto"/>
            </w:pPr>
            <w:r>
              <w:rPr>
                <w:color w:val="172033"/>
                <w:sz w:val="15"/>
              </w:rPr>
              <w:t>Buy</w:t>
            </w:r>
          </w:p>
        </w:tc>
        <w:tc>
          <w:tcPr>
            <w:tcW w:type="dxa" w:w="2556"/>
            <w:vAlign w:val="center"/>
            <w:tcMar>
              <w:top w:w="100" w:type="dxa"/>
              <w:start w:w="120" w:type="dxa"/>
              <w:bottom w:w="100" w:type="dxa"/>
              <w:end w:w="120" w:type="dxa"/>
            </w:tcMar>
            <w:shd w:fill="F4F6F8"/>
          </w:tcPr>
          <w:p>
            <w:pPr>
              <w:spacing w:after="0" w:line="240" w:lineRule="auto"/>
            </w:pPr>
            <w:r>
              <w:rPr>
                <w:color w:val="172033"/>
                <w:sz w:val="15"/>
              </w:rPr>
              <w:t>Target +1 long tranche</w:t>
            </w:r>
          </w:p>
        </w:tc>
        <w:tc>
          <w:tcPr>
            <w:tcW w:type="dxa" w:w="2556"/>
            <w:vAlign w:val="center"/>
            <w:tcMar>
              <w:top w:w="100" w:type="dxa"/>
              <w:start w:w="120" w:type="dxa"/>
              <w:bottom w:w="100" w:type="dxa"/>
              <w:end w:w="120" w:type="dxa"/>
            </w:tcMar>
            <w:shd w:fill="F4F6F8"/>
          </w:tcPr>
          <w:p>
            <w:pPr>
              <w:spacing w:after="0" w:line="240" w:lineRule="auto"/>
            </w:pPr>
            <w:r>
              <w:rPr>
                <w:color w:val="172033"/>
                <w:sz w:val="15"/>
              </w:rPr>
              <w:t>Add up to +1</w:t>
            </w:r>
          </w:p>
        </w:tc>
        <w:tc>
          <w:tcPr>
            <w:tcW w:type="dxa" w:w="2556"/>
            <w:vAlign w:val="center"/>
            <w:tcMar>
              <w:top w:w="100" w:type="dxa"/>
              <w:start w:w="120" w:type="dxa"/>
              <w:bottom w:w="100" w:type="dxa"/>
              <w:end w:w="120" w:type="dxa"/>
            </w:tcMar>
            <w:shd w:fill="F4F6F8"/>
          </w:tcPr>
          <w:p>
            <w:pPr>
              <w:spacing w:after="0" w:line="240" w:lineRule="auto"/>
            </w:pPr>
            <w:r>
              <w:rPr>
                <w:color w:val="172033"/>
                <w:sz w:val="15"/>
              </w:rPr>
              <w:t>Close short; do not open long in the same tick</w:t>
            </w:r>
          </w:p>
        </w:tc>
      </w:tr>
      <w:tr>
        <w:trPr>
          <w:cantSplit/>
        </w:trPr>
        <w:tc>
          <w:tcPr>
            <w:tcW w:type="dxa" w:w="2556"/>
            <w:vAlign w:val="center"/>
            <w:tcMar>
              <w:top w:w="100" w:type="dxa"/>
              <w:start w:w="120" w:type="dxa"/>
              <w:bottom w:w="100" w:type="dxa"/>
              <w:end w:w="120" w:type="dxa"/>
            </w:tcMar>
          </w:tcPr>
          <w:p>
            <w:pPr>
              <w:spacing w:after="0" w:line="240" w:lineRule="auto"/>
            </w:pPr>
            <w:r>
              <w:rPr>
                <w:color w:val="172033"/>
                <w:sz w:val="15"/>
              </w:rPr>
              <w:t>Hold</w:t>
            </w:r>
          </w:p>
        </w:tc>
        <w:tc>
          <w:tcPr>
            <w:tcW w:type="dxa" w:w="2556"/>
            <w:vAlign w:val="center"/>
            <w:tcMar>
              <w:top w:w="100" w:type="dxa"/>
              <w:start w:w="120" w:type="dxa"/>
              <w:bottom w:w="100" w:type="dxa"/>
              <w:end w:w="120" w:type="dxa"/>
            </w:tcMar>
          </w:tcPr>
          <w:p>
            <w:pPr>
              <w:spacing w:after="0" w:line="240" w:lineRule="auto"/>
            </w:pPr>
            <w:r>
              <w:rPr>
                <w:color w:val="172033"/>
                <w:sz w:val="15"/>
              </w:rPr>
              <w:t>Stay flat</w:t>
            </w:r>
          </w:p>
        </w:tc>
        <w:tc>
          <w:tcPr>
            <w:tcW w:type="dxa" w:w="2556"/>
            <w:vAlign w:val="center"/>
            <w:tcMar>
              <w:top w:w="100" w:type="dxa"/>
              <w:start w:w="120" w:type="dxa"/>
              <w:bottom w:w="100" w:type="dxa"/>
              <w:end w:w="120" w:type="dxa"/>
            </w:tcMar>
          </w:tcPr>
          <w:p>
            <w:pPr>
              <w:spacing w:after="0" w:line="240" w:lineRule="auto"/>
            </w:pPr>
            <w:r>
              <w:rPr>
                <w:color w:val="172033"/>
                <w:sz w:val="15"/>
              </w:rPr>
              <w:t>Keep current exposure</w:t>
            </w:r>
          </w:p>
        </w:tc>
        <w:tc>
          <w:tcPr>
            <w:tcW w:type="dxa" w:w="2556"/>
            <w:vAlign w:val="center"/>
            <w:tcMar>
              <w:top w:w="100" w:type="dxa"/>
              <w:start w:w="120" w:type="dxa"/>
              <w:bottom w:w="100" w:type="dxa"/>
              <w:end w:w="120" w:type="dxa"/>
            </w:tcMar>
          </w:tcPr>
          <w:p>
            <w:pPr>
              <w:spacing w:after="0" w:line="240" w:lineRule="auto"/>
            </w:pPr>
            <w:r>
              <w:rPr>
                <w:color w:val="172033"/>
                <w:sz w:val="15"/>
              </w:rPr>
              <w:t>Keep current exposure</w:t>
            </w:r>
          </w:p>
        </w:tc>
      </w:tr>
      <w:tr>
        <w:trPr>
          <w:cantSplit/>
        </w:trPr>
        <w:tc>
          <w:tcPr>
            <w:tcW w:type="dxa" w:w="2556"/>
            <w:vAlign w:val="center"/>
            <w:tcMar>
              <w:top w:w="100" w:type="dxa"/>
              <w:start w:w="120" w:type="dxa"/>
              <w:bottom w:w="100" w:type="dxa"/>
              <w:end w:w="120" w:type="dxa"/>
            </w:tcMar>
            <w:shd w:fill="F4F6F8"/>
          </w:tcPr>
          <w:p>
            <w:pPr>
              <w:spacing w:after="0" w:line="240" w:lineRule="auto"/>
            </w:pPr>
            <w:r>
              <w:rPr>
                <w:color w:val="172033"/>
                <w:sz w:val="15"/>
              </w:rPr>
              <w:t>Take Profit</w:t>
            </w:r>
          </w:p>
        </w:tc>
        <w:tc>
          <w:tcPr>
            <w:tcW w:type="dxa" w:w="2556"/>
            <w:vAlign w:val="center"/>
            <w:tcMar>
              <w:top w:w="100" w:type="dxa"/>
              <w:start w:w="120" w:type="dxa"/>
              <w:bottom w:w="100" w:type="dxa"/>
              <w:end w:w="120" w:type="dxa"/>
            </w:tcMar>
            <w:shd w:fill="F4F6F8"/>
          </w:tcPr>
          <w:p>
            <w:pPr>
              <w:spacing w:after="0" w:line="240" w:lineRule="auto"/>
            </w:pPr>
            <w:r>
              <w:rPr>
                <w:color w:val="172033"/>
                <w:sz w:val="15"/>
              </w:rPr>
              <w:t>No-op</w:t>
            </w:r>
          </w:p>
        </w:tc>
        <w:tc>
          <w:tcPr>
            <w:tcW w:type="dxa" w:w="2556"/>
            <w:vAlign w:val="center"/>
            <w:tcMar>
              <w:top w:w="100" w:type="dxa"/>
              <w:start w:w="120" w:type="dxa"/>
              <w:bottom w:w="100" w:type="dxa"/>
              <w:end w:w="120" w:type="dxa"/>
            </w:tcMar>
            <w:shd w:fill="F4F6F8"/>
          </w:tcPr>
          <w:p>
            <w:pPr>
              <w:spacing w:after="0" w:line="240" w:lineRule="auto"/>
            </w:pPr>
            <w:r>
              <w:rPr>
                <w:color w:val="172033"/>
                <w:sz w:val="15"/>
              </w:rPr>
              <w:t>Reduce one tranche only when unrealized P&amp;L is positive</w:t>
            </w:r>
          </w:p>
        </w:tc>
        <w:tc>
          <w:tcPr>
            <w:tcW w:type="dxa" w:w="2556"/>
            <w:vAlign w:val="center"/>
            <w:tcMar>
              <w:top w:w="100" w:type="dxa"/>
              <w:start w:w="120" w:type="dxa"/>
              <w:bottom w:w="100" w:type="dxa"/>
              <w:end w:w="120" w:type="dxa"/>
            </w:tcMar>
            <w:shd w:fill="F4F6F8"/>
          </w:tcPr>
          <w:p>
            <w:pPr>
              <w:spacing w:after="0" w:line="240" w:lineRule="auto"/>
            </w:pPr>
            <w:r>
              <w:rPr>
                <w:color w:val="172033"/>
                <w:sz w:val="15"/>
              </w:rPr>
              <w:t>Reduce one tranche only when profitable</w:t>
            </w:r>
          </w:p>
        </w:tc>
      </w:tr>
      <w:tr>
        <w:trPr>
          <w:cantSplit/>
        </w:trPr>
        <w:tc>
          <w:tcPr>
            <w:tcW w:type="dxa" w:w="2556"/>
            <w:vAlign w:val="center"/>
            <w:tcMar>
              <w:top w:w="100" w:type="dxa"/>
              <w:start w:w="120" w:type="dxa"/>
              <w:bottom w:w="100" w:type="dxa"/>
              <w:end w:w="120" w:type="dxa"/>
            </w:tcMar>
          </w:tcPr>
          <w:p>
            <w:pPr>
              <w:spacing w:after="0" w:line="240" w:lineRule="auto"/>
            </w:pPr>
            <w:r>
              <w:rPr>
                <w:color w:val="172033"/>
                <w:sz w:val="15"/>
              </w:rPr>
              <w:t>Sell</w:t>
            </w:r>
          </w:p>
        </w:tc>
        <w:tc>
          <w:tcPr>
            <w:tcW w:type="dxa" w:w="2556"/>
            <w:vAlign w:val="center"/>
            <w:tcMar>
              <w:top w:w="100" w:type="dxa"/>
              <w:start w:w="120" w:type="dxa"/>
              <w:bottom w:w="100" w:type="dxa"/>
              <w:end w:w="120" w:type="dxa"/>
            </w:tcMar>
          </w:tcPr>
          <w:p>
            <w:pPr>
              <w:spacing w:after="0" w:line="240" w:lineRule="auto"/>
            </w:pPr>
            <w:r>
              <w:rPr>
                <w:color w:val="172033"/>
                <w:sz w:val="15"/>
              </w:rPr>
              <w:t>Target -1 short tranche</w:t>
            </w:r>
          </w:p>
        </w:tc>
        <w:tc>
          <w:tcPr>
            <w:tcW w:type="dxa" w:w="2556"/>
            <w:vAlign w:val="center"/>
            <w:tcMar>
              <w:top w:w="100" w:type="dxa"/>
              <w:start w:w="120" w:type="dxa"/>
              <w:bottom w:w="100" w:type="dxa"/>
              <w:end w:w="120" w:type="dxa"/>
            </w:tcMar>
          </w:tcPr>
          <w:p>
            <w:pPr>
              <w:spacing w:after="0" w:line="240" w:lineRule="auto"/>
            </w:pPr>
            <w:r>
              <w:rPr>
                <w:color w:val="172033"/>
                <w:sz w:val="15"/>
              </w:rPr>
              <w:t>Add up to -1</w:t>
            </w:r>
          </w:p>
        </w:tc>
        <w:tc>
          <w:tcPr>
            <w:tcW w:type="dxa" w:w="2556"/>
            <w:vAlign w:val="center"/>
            <w:tcMar>
              <w:top w:w="100" w:type="dxa"/>
              <w:start w:w="120" w:type="dxa"/>
              <w:bottom w:w="100" w:type="dxa"/>
              <w:end w:w="120" w:type="dxa"/>
            </w:tcMar>
          </w:tcPr>
          <w:p>
            <w:pPr>
              <w:spacing w:after="0" w:line="240" w:lineRule="auto"/>
            </w:pPr>
            <w:r>
              <w:rPr>
                <w:color w:val="172033"/>
                <w:sz w:val="15"/>
              </w:rPr>
              <w:t>Close long; do not open short in the same tick</w:t>
            </w:r>
          </w:p>
        </w:tc>
      </w:tr>
      <w:tr>
        <w:trPr>
          <w:cantSplit/>
        </w:trPr>
        <w:tc>
          <w:tcPr>
            <w:tcW w:type="dxa" w:w="2556"/>
            <w:vAlign w:val="center"/>
            <w:tcMar>
              <w:top w:w="100" w:type="dxa"/>
              <w:start w:w="120" w:type="dxa"/>
              <w:bottom w:w="100" w:type="dxa"/>
              <w:end w:w="120" w:type="dxa"/>
            </w:tcMar>
            <w:shd w:fill="F4F6F8"/>
          </w:tcPr>
          <w:p>
            <w:pPr>
              <w:spacing w:after="0" w:line="240" w:lineRule="auto"/>
            </w:pPr>
            <w:r>
              <w:rPr>
                <w:color w:val="172033"/>
                <w:sz w:val="15"/>
              </w:rPr>
              <w:t>Strong Sell</w:t>
            </w:r>
          </w:p>
        </w:tc>
        <w:tc>
          <w:tcPr>
            <w:tcW w:type="dxa" w:w="2556"/>
            <w:vAlign w:val="center"/>
            <w:tcMar>
              <w:top w:w="100" w:type="dxa"/>
              <w:start w:w="120" w:type="dxa"/>
              <w:bottom w:w="100" w:type="dxa"/>
              <w:end w:w="120" w:type="dxa"/>
            </w:tcMar>
            <w:shd w:fill="F4F6F8"/>
          </w:tcPr>
          <w:p>
            <w:pPr>
              <w:spacing w:after="0" w:line="240" w:lineRule="auto"/>
            </w:pPr>
            <w:r>
              <w:rPr>
                <w:color w:val="172033"/>
                <w:sz w:val="15"/>
              </w:rPr>
              <w:t>Target -2 short tranches</w:t>
            </w:r>
          </w:p>
        </w:tc>
        <w:tc>
          <w:tcPr>
            <w:tcW w:type="dxa" w:w="2556"/>
            <w:vAlign w:val="center"/>
            <w:tcMar>
              <w:top w:w="100" w:type="dxa"/>
              <w:start w:w="120" w:type="dxa"/>
              <w:bottom w:w="100" w:type="dxa"/>
              <w:end w:w="120" w:type="dxa"/>
            </w:tcMar>
            <w:shd w:fill="F4F6F8"/>
          </w:tcPr>
          <w:p>
            <w:pPr>
              <w:spacing w:after="0" w:line="240" w:lineRule="auto"/>
            </w:pPr>
            <w:r>
              <w:rPr>
                <w:color w:val="172033"/>
                <w:sz w:val="15"/>
              </w:rPr>
              <w:t>Add up to -2</w:t>
            </w:r>
          </w:p>
        </w:tc>
        <w:tc>
          <w:tcPr>
            <w:tcW w:type="dxa" w:w="2556"/>
            <w:vAlign w:val="center"/>
            <w:tcMar>
              <w:top w:w="100" w:type="dxa"/>
              <w:start w:w="120" w:type="dxa"/>
              <w:bottom w:w="100" w:type="dxa"/>
              <w:end w:w="120" w:type="dxa"/>
            </w:tcMar>
            <w:shd w:fill="F4F6F8"/>
          </w:tcPr>
          <w:p>
            <w:pPr>
              <w:spacing w:after="0" w:line="240" w:lineRule="auto"/>
            </w:pPr>
            <w:r>
              <w:rPr>
                <w:color w:val="172033"/>
                <w:sz w:val="15"/>
              </w:rPr>
              <w:t>Close long; do not open short in the same tick</w:t>
            </w:r>
          </w:p>
        </w:tc>
      </w:tr>
    </w:tbl>
    <w:p>
      <w:pPr>
        <w:spacing w:after="0"/>
      </w:pPr>
    </w:p>
    <w:p>
      <w:r>
        <w:t>Entry transitions have a 60-second cooldown. Closing, stop-loss, liquidation protection, daily stop, and kill-switch actions bypass the cooldown and are always reduce-only.</w:t>
      </w:r>
    </w:p>
    <w:p>
      <w:pPr>
        <w:pStyle w:val="Heading3"/>
      </w:pPr>
      <w:r>
        <w:rPr>
          <w:color w:val="0E3152"/>
        </w:rPr>
        <w:t>Hourly analysis and rule lifecycle</w:t>
      </w:r>
    </w:p>
    <w:p>
      <w:pPr>
        <w:spacing w:after="60"/>
        <w:ind w:left="317" w:hanging="259"/>
      </w:pPr>
      <w:r>
        <w:t>1. Market, news, and sentiment analysts independently create schema-valid reports with</w:t>
      </w:r>
      <w:r>
        <w:t xml:space="preserve"> cited evidence, source times, and explicit missing-data fields.</w:t>
      </w:r>
    </w:p>
    <w:p>
      <w:pPr>
        <w:spacing w:after="60"/>
        <w:ind w:left="317" w:hanging="259"/>
      </w:pPr>
      <w:r>
        <w:t>2. The research manager consumes only those structured reports and produces a market</w:t>
      </w:r>
      <w:r>
        <w:t xml:space="preserve"> thesis: bias, regimes, levels, risks, time horizon, evidence IDs, and uncertainty.</w:t>
      </w:r>
    </w:p>
    <w:p>
      <w:pPr>
        <w:spacing w:after="60"/>
        <w:ind w:left="317" w:hanging="259"/>
      </w:pPr>
      <w:r>
        <w:t>3. The rule generator may create a candidate only when the thesis materially changes</w:t>
      </w:r>
      <w:r>
        <w:t xml:space="preserve"> and the 24-hour proposal cooldown has expired.</w:t>
      </w:r>
    </w:p>
    <w:p>
      <w:pPr>
        <w:spacing w:after="60"/>
        <w:ind w:left="317" w:hanging="259"/>
      </w:pPr>
      <w:r>
        <w:t>4. External content remains quoted data, never system instructions. The generated</w:t>
      </w:r>
      <w:r>
        <w:t xml:space="preserve"> candidate is declarative JSON and cannot contain expressions, code, URLs, tools, or</w:t>
      </w:r>
      <w:r>
        <w:t xml:space="preserve"> unknown keys.</w:t>
      </w:r>
    </w:p>
    <w:p>
      <w:pPr>
        <w:spacing w:after="60"/>
        <w:ind w:left="317" w:hanging="259"/>
      </w:pPr>
      <w:r>
        <w:t>5. The validator checks schema, allowlists, numeric bounds, and the immutable hard-risk</w:t>
      </w:r>
      <w:r>
        <w:t xml:space="preserve"> envelope. Invalid candidates are rejected with structured reasons.</w:t>
      </w:r>
    </w:p>
    <w:p>
      <w:pPr>
        <w:spacing w:after="60"/>
        <w:ind w:left="317" w:hanging="259"/>
      </w:pPr>
      <w:r>
        <w:t>6. A valid candidate runs against the trailing 90 days with chronological inputs,</w:t>
      </w:r>
      <w:r>
        <w:t xml:space="preserve"> closed-candle indicators, fees, funding, spread, and slippage.</w:t>
      </w:r>
    </w:p>
    <w:p>
      <w:pPr>
        <w:spacing w:after="60"/>
        <w:ind w:left="317" w:hanging="259"/>
      </w:pPr>
      <w:r>
        <w:t>7. At most one replay-passed challenger runs against the champion. Both receive the</w:t>
      </w:r>
      <w:r>
        <w:t xml:space="preserve"> same snapshots but use independent ledgers and identical starting equity.</w:t>
      </w:r>
    </w:p>
    <w:p>
      <w:pPr>
        <w:spacing w:after="60"/>
        <w:ind w:left="317" w:hanging="259"/>
      </w:pPr>
      <w:r>
        <w:t>8. Evaluation lasts at least 14 calendar days and 30 closed challenger trades. New</w:t>
      </w:r>
      <w:r>
        <w:t xml:space="preserve"> proposals queue without replacing the active challenger.</w:t>
      </w:r>
    </w:p>
    <w:p>
      <w:pPr>
        <w:spacing w:after="60"/>
        <w:ind w:left="317" w:hanging="259"/>
      </w:pPr>
      <w:r>
        <w:t>9. Promotion is an atomic registry transition. The former champion becomes the</w:t>
      </w:r>
      <w:r>
        <w:t xml:space="preserve"> immediate rollback target. Rejected candidates enter the evaluation archive;</w:t>
      </w:r>
      <w:r>
        <w:t xml:space="preserve"> promoted versions enter the hall of fame.</w:t>
      </w:r>
    </w:p>
    <w:p>
      <w:pPr>
        <w:pStyle w:val="Heading3"/>
      </w:pPr>
      <w:r>
        <w:rPr>
          <w:color w:val="0E3152"/>
        </w:rPr>
        <w:t>Promotion formula</w:t>
      </w:r>
    </w:p>
    <w:p>
      <w:r>
        <w:t>For a common evaluation interval:</w:t>
      </w:r>
    </w:p>
    <w:p>
      <w:pPr>
        <w:keepLines/>
        <w:spacing w:before="60" w:after="160"/>
        <w:ind w:left="259" w:right="259"/>
        <w:shd w:fill="F4F6F8"/>
      </w:pPr>
      <w:r>
        <w:rPr>
          <w:rFonts w:ascii="Liberation Mono" w:hAnsi="Liberation Mono"/>
          <w:color w:val="172033"/>
          <w:sz w:val="15"/>
        </w:rPr>
        <w:t>risk_adjusted_score = net_return_pct / max(max_drawdown_pct, 0.5)</w:t>
      </w:r>
    </w:p>
    <w:p>
      <w:r>
        <w:t>A challenger is eligible only when all conditions hold:</w:t>
      </w:r>
    </w:p>
    <w:p>
      <w:pPr>
        <w:spacing w:after="60"/>
        <w:ind w:left="288" w:hanging="187"/>
      </w:pPr>
      <w:r>
        <w:t>• Net return after fees, funding, and slippage is positive.</w:t>
      </w:r>
    </w:p>
    <w:p>
      <w:pPr>
        <w:spacing w:after="60"/>
        <w:ind w:left="288" w:hanging="187"/>
      </w:pPr>
      <w:r>
        <w:t>• Required-data coverage is at least 99%.</w:t>
      </w:r>
    </w:p>
    <w:p>
      <w:pPr>
        <w:spacing w:after="60"/>
        <w:ind w:left="288" w:hanging="187"/>
      </w:pPr>
      <w:r>
        <w:t>• Account drawdown stays below 8% and no hard-risk invariant is violated.</w:t>
      </w:r>
    </w:p>
    <w:p>
      <w:pPr>
        <w:spacing w:after="60"/>
        <w:ind w:left="288" w:hanging="187"/>
      </w:pPr>
      <w:r>
        <w:t>• When champion score is positive, challenger score is at least 10% higher.</w:t>
      </w:r>
    </w:p>
    <w:p>
      <w:pPr>
        <w:spacing w:after="60"/>
        <w:ind w:left="288" w:hanging="187"/>
      </w:pPr>
      <w:r>
        <w:t>• When champion score is zero or negative, challenger score is greater than 0.25.</w:t>
      </w:r>
    </w:p>
    <w:p>
      <w:r>
        <w:t>Promotion is deferred—not failed—when either the duration or trade-count requirement has not been met.</w:t>
      </w:r>
    </w:p>
    <w:p>
      <w:pPr>
        <w:pStyle w:val="Heading1"/>
      </w:pPr>
      <w:r>
        <w:rPr>
          <w:color w:val="0E3152"/>
        </w:rPr>
        <w:t>6. API and Data Contracts</w:t>
      </w:r>
    </w:p>
    <w:p>
      <w:r>
        <w:t xml:space="preserve">All persisted contracts carry </w:t>
      </w:r>
      <w:r>
        <w:rPr>
          <w:rFonts w:ascii="Liberation Mono" w:hAnsi="Liberation Mono"/>
          <w:color w:val="172033"/>
          <w:sz w:val="17"/>
        </w:rPr>
        <w:t>schema_version</w:t>
      </w:r>
      <w:r>
        <w:t>, a stable identifier, UTC timestamps, and provenance. Pydantic rejects unknown fields at model boundaries.</w:t>
      </w:r>
    </w:p>
    <w:p>
      <w:pPr>
        <w:pStyle w:val="Heading3"/>
      </w:pPr>
      <w:r>
        <w:rPr>
          <w:color w:val="0E3152"/>
        </w:rPr>
        <w:t>Core contracts</w:t>
      </w:r>
    </w:p>
    <w:tbl>
      <w:tblPr>
        <w:tblW w:type="auto" w:w="0"/>
        <w:jc w:val="center"/>
        <w:tblLayout w:type="autofit"/>
        <w:tblLook w:firstColumn="1" w:firstRow="1" w:lastColumn="0" w:lastRow="0" w:noHBand="0" w:noVBand="1" w:val="04A0"/>
      </w:tblPr>
      <w:tblGrid>
        <w:gridCol w:w="3408"/>
        <w:gridCol w:w="3408"/>
        <w:gridCol w:w="3408"/>
      </w:tblGrid>
      <w:tr>
        <w:trPr>
          <w:cantSplit/>
          <w:tblHeader w:val="true"/>
        </w:trPr>
        <w:tc>
          <w:tcPr>
            <w:tcW w:type="dxa" w:w="3408"/>
            <w:vAlign w:val="center"/>
            <w:tcMar>
              <w:top w:w="100" w:type="dxa"/>
              <w:start w:w="120" w:type="dxa"/>
              <w:bottom w:w="100" w:type="dxa"/>
              <w:end w:w="120" w:type="dxa"/>
            </w:tcMar>
            <w:shd w:fill="0E3152"/>
          </w:tcPr>
          <w:p>
            <w:pPr>
              <w:spacing w:after="0" w:line="240" w:lineRule="auto"/>
            </w:pPr>
            <w:r>
              <w:rPr>
                <w:b/>
                <w:color w:val="FFFFFF"/>
                <w:sz w:val="16"/>
              </w:rPr>
              <w:t>Contract</w:t>
            </w:r>
          </w:p>
        </w:tc>
        <w:tc>
          <w:tcPr>
            <w:tcW w:type="dxa" w:w="3408"/>
            <w:vAlign w:val="center"/>
            <w:tcMar>
              <w:top w:w="100" w:type="dxa"/>
              <w:start w:w="120" w:type="dxa"/>
              <w:bottom w:w="100" w:type="dxa"/>
              <w:end w:w="120" w:type="dxa"/>
            </w:tcMar>
            <w:shd w:fill="0E3152"/>
          </w:tcPr>
          <w:p>
            <w:pPr>
              <w:spacing w:after="0" w:line="240" w:lineRule="auto"/>
            </w:pPr>
            <w:r>
              <w:rPr>
                <w:b/>
                <w:color w:val="FFFFFF"/>
                <w:sz w:val="16"/>
              </w:rPr>
              <w:t>Required fields</w:t>
            </w:r>
          </w:p>
        </w:tc>
        <w:tc>
          <w:tcPr>
            <w:tcW w:type="dxa" w:w="3408"/>
            <w:vAlign w:val="center"/>
            <w:tcMar>
              <w:top w:w="100" w:type="dxa"/>
              <w:start w:w="120" w:type="dxa"/>
              <w:bottom w:w="100" w:type="dxa"/>
              <w:end w:w="120" w:type="dxa"/>
            </w:tcMar>
            <w:shd w:fill="0E3152"/>
          </w:tcPr>
          <w:p>
            <w:pPr>
              <w:spacing w:after="0" w:line="240" w:lineRule="auto"/>
            </w:pPr>
            <w:r>
              <w:rPr>
                <w:b/>
                <w:color w:val="FFFFFF"/>
                <w:sz w:val="16"/>
              </w:rPr>
              <w:t>Purpose and guarantees</w:t>
            </w:r>
          </w:p>
        </w:tc>
      </w:tr>
      <w:tr>
        <w:trPr>
          <w:cantSplit/>
        </w:trPr>
        <w:tc>
          <w:tcPr>
            <w:tcW w:type="dxa" w:w="3408"/>
            <w:vAlign w:val="center"/>
            <w:tcMar>
              <w:top w:w="100" w:type="dxa"/>
              <w:start w:w="120" w:type="dxa"/>
              <w:bottom w:w="100" w:type="dxa"/>
              <w:end w:w="120" w:type="dxa"/>
            </w:tcMar>
          </w:tcPr>
          <w:p>
            <w:pPr>
              <w:spacing w:after="0" w:line="240" w:lineRule="auto"/>
            </w:pPr>
            <w:r>
              <w:rPr>
                <w:color w:val="172033"/>
                <w:sz w:val="16"/>
              </w:rPr>
              <w:t>FeatureSnapshot</w:t>
            </w:r>
          </w:p>
        </w:tc>
        <w:tc>
          <w:tcPr>
            <w:tcW w:type="dxa" w:w="3408"/>
            <w:vAlign w:val="center"/>
            <w:tcMar>
              <w:top w:w="100" w:type="dxa"/>
              <w:start w:w="120" w:type="dxa"/>
              <w:bottom w:w="100" w:type="dxa"/>
              <w:end w:w="120" w:type="dxa"/>
            </w:tcMar>
          </w:tcPr>
          <w:p>
            <w:pPr>
              <w:spacing w:after="0" w:line="240" w:lineRule="auto"/>
            </w:pPr>
            <w:r>
              <w:rPr>
                <w:color w:val="172033"/>
                <w:sz w:val="16"/>
              </w:rPr>
              <w:t>snapshot_id, symbol, event_time, built_at, features, freshness, quality, checksum</w:t>
            </w:r>
          </w:p>
        </w:tc>
        <w:tc>
          <w:tcPr>
            <w:tcW w:type="dxa" w:w="3408"/>
            <w:vAlign w:val="center"/>
            <w:tcMar>
              <w:top w:w="100" w:type="dxa"/>
              <w:start w:w="120" w:type="dxa"/>
              <w:bottom w:w="100" w:type="dxa"/>
              <w:end w:w="120" w:type="dxa"/>
            </w:tcMar>
          </w:tcPr>
          <w:p>
            <w:pPr>
              <w:spacing w:after="0" w:line="240" w:lineRule="auto"/>
            </w:pPr>
            <w:r>
              <w:rPr>
                <w:color w:val="172033"/>
                <w:sz w:val="16"/>
              </w:rPr>
              <w:t>Exact Jev/LLM input; immutable and content-addressed for replay.</w:t>
            </w:r>
          </w:p>
        </w:tc>
      </w:tr>
      <w:tr>
        <w:trPr>
          <w:cantSplit/>
        </w:trPr>
        <w:tc>
          <w:tcPr>
            <w:tcW w:type="dxa" w:w="3408"/>
            <w:vAlign w:val="center"/>
            <w:tcMar>
              <w:top w:w="100" w:type="dxa"/>
              <w:start w:w="120" w:type="dxa"/>
              <w:bottom w:w="100" w:type="dxa"/>
              <w:end w:w="120" w:type="dxa"/>
            </w:tcMar>
            <w:shd w:fill="F4F6F8"/>
          </w:tcPr>
          <w:p>
            <w:pPr>
              <w:spacing w:after="0" w:line="240" w:lineRule="auto"/>
            </w:pPr>
            <w:r>
              <w:rPr>
                <w:color w:val="172033"/>
                <w:sz w:val="16"/>
              </w:rPr>
              <w:t>AnalystReport</w:t>
            </w:r>
          </w:p>
        </w:tc>
        <w:tc>
          <w:tcPr>
            <w:tcW w:type="dxa" w:w="3408"/>
            <w:vAlign w:val="center"/>
            <w:tcMar>
              <w:top w:w="100" w:type="dxa"/>
              <w:start w:w="120" w:type="dxa"/>
              <w:bottom w:w="100" w:type="dxa"/>
              <w:end w:w="120" w:type="dxa"/>
            </w:tcMar>
            <w:shd w:fill="F4F6F8"/>
          </w:tcPr>
          <w:p>
            <w:pPr>
              <w:spacing w:after="0" w:line="240" w:lineRule="auto"/>
            </w:pPr>
            <w:r>
              <w:rPr>
                <w:color w:val="172033"/>
                <w:sz w:val="16"/>
              </w:rPr>
              <w:t>report_id, kind, as_of, evidence[], findings, uncertainty, model_ref, prompt_version</w:t>
            </w:r>
          </w:p>
        </w:tc>
        <w:tc>
          <w:tcPr>
            <w:tcW w:type="dxa" w:w="3408"/>
            <w:vAlign w:val="center"/>
            <w:tcMar>
              <w:top w:w="100" w:type="dxa"/>
              <w:start w:w="120" w:type="dxa"/>
              <w:bottom w:w="100" w:type="dxa"/>
              <w:end w:w="120" w:type="dxa"/>
            </w:tcMar>
            <w:shd w:fill="F4F6F8"/>
          </w:tcPr>
          <w:p>
            <w:pPr>
              <w:spacing w:after="0" w:line="240" w:lineRule="auto"/>
            </w:pPr>
            <w:r>
              <w:rPr>
                <w:color w:val="172033"/>
                <w:sz w:val="16"/>
              </w:rPr>
              <w:t>Structured analyst output; external evidence remains data.</w:t>
            </w:r>
          </w:p>
        </w:tc>
      </w:tr>
      <w:tr>
        <w:trPr>
          <w:cantSplit/>
        </w:trPr>
        <w:tc>
          <w:tcPr>
            <w:tcW w:type="dxa" w:w="3408"/>
            <w:vAlign w:val="center"/>
            <w:tcMar>
              <w:top w:w="100" w:type="dxa"/>
              <w:start w:w="120" w:type="dxa"/>
              <w:bottom w:w="100" w:type="dxa"/>
              <w:end w:w="120" w:type="dxa"/>
            </w:tcMar>
          </w:tcPr>
          <w:p>
            <w:pPr>
              <w:spacing w:after="0" w:line="240" w:lineRule="auto"/>
            </w:pPr>
            <w:r>
              <w:rPr>
                <w:color w:val="172033"/>
                <w:sz w:val="16"/>
              </w:rPr>
              <w:t>MarketThesis</w:t>
            </w:r>
          </w:p>
        </w:tc>
        <w:tc>
          <w:tcPr>
            <w:tcW w:type="dxa" w:w="3408"/>
            <w:vAlign w:val="center"/>
            <w:tcMar>
              <w:top w:w="100" w:type="dxa"/>
              <w:start w:w="120" w:type="dxa"/>
              <w:bottom w:w="100" w:type="dxa"/>
              <w:end w:w="120" w:type="dxa"/>
            </w:tcMar>
          </w:tcPr>
          <w:p>
            <w:pPr>
              <w:spacing w:after="0" w:line="240" w:lineRule="auto"/>
            </w:pPr>
            <w:r>
              <w:rPr>
                <w:color w:val="172033"/>
                <w:sz w:val="16"/>
              </w:rPr>
              <w:t>thesis_id, bias, regime, levels, risks, horizon, evidence_ids[]</w:t>
            </w:r>
          </w:p>
        </w:tc>
        <w:tc>
          <w:tcPr>
            <w:tcW w:type="dxa" w:w="3408"/>
            <w:vAlign w:val="center"/>
            <w:tcMar>
              <w:top w:w="100" w:type="dxa"/>
              <w:start w:w="120" w:type="dxa"/>
              <w:bottom w:w="100" w:type="dxa"/>
              <w:end w:w="120" w:type="dxa"/>
            </w:tcMar>
          </w:tcPr>
          <w:p>
            <w:pPr>
              <w:spacing w:after="0" w:line="240" w:lineRule="auto"/>
            </w:pPr>
            <w:r>
              <w:rPr>
                <w:color w:val="172033"/>
                <w:sz w:val="16"/>
              </w:rPr>
              <w:t>Research manager synthesis; never authorizes a trade.</w:t>
            </w:r>
          </w:p>
        </w:tc>
      </w:tr>
      <w:tr>
        <w:trPr>
          <w:cantSplit/>
        </w:trPr>
        <w:tc>
          <w:tcPr>
            <w:tcW w:type="dxa" w:w="3408"/>
            <w:vAlign w:val="center"/>
            <w:tcMar>
              <w:top w:w="100" w:type="dxa"/>
              <w:start w:w="120" w:type="dxa"/>
              <w:bottom w:w="100" w:type="dxa"/>
              <w:end w:w="120" w:type="dxa"/>
            </w:tcMar>
            <w:shd w:fill="F4F6F8"/>
          </w:tcPr>
          <w:p>
            <w:pPr>
              <w:spacing w:after="0" w:line="240" w:lineRule="auto"/>
            </w:pPr>
            <w:r>
              <w:rPr>
                <w:color w:val="172033"/>
                <w:sz w:val="16"/>
              </w:rPr>
              <w:t>RuleCandidate</w:t>
            </w:r>
          </w:p>
        </w:tc>
        <w:tc>
          <w:tcPr>
            <w:tcW w:type="dxa" w:w="3408"/>
            <w:vAlign w:val="center"/>
            <w:tcMar>
              <w:top w:w="100" w:type="dxa"/>
              <w:start w:w="120" w:type="dxa"/>
              <w:bottom w:w="100" w:type="dxa"/>
              <w:end w:w="120" w:type="dxa"/>
            </w:tcMar>
            <w:shd w:fill="F4F6F8"/>
          </w:tcPr>
          <w:p>
            <w:pPr>
              <w:spacing w:after="0" w:line="240" w:lineRule="auto"/>
            </w:pPr>
            <w:r>
              <w:rPr>
                <w:color w:val="172033"/>
                <w:sz w:val="16"/>
              </w:rPr>
              <w:t>rule_id, parent_rule_id, thesis_id, parameters, constraints, content_hash</w:t>
            </w:r>
          </w:p>
        </w:tc>
        <w:tc>
          <w:tcPr>
            <w:tcW w:type="dxa" w:w="3408"/>
            <w:vAlign w:val="center"/>
            <w:tcMar>
              <w:top w:w="100" w:type="dxa"/>
              <w:start w:w="120" w:type="dxa"/>
              <w:bottom w:w="100" w:type="dxa"/>
              <w:end w:w="120" w:type="dxa"/>
            </w:tcMar>
            <w:shd w:fill="F4F6F8"/>
          </w:tcPr>
          <w:p>
            <w:pPr>
              <w:spacing w:after="0" w:line="240" w:lineRule="auto"/>
            </w:pPr>
            <w:r>
              <w:rPr>
                <w:color w:val="172033"/>
                <w:sz w:val="16"/>
              </w:rPr>
              <w:t>Declarative proposal validated against an allowlist and hard bounds.</w:t>
            </w:r>
          </w:p>
        </w:tc>
      </w:tr>
      <w:tr>
        <w:trPr>
          <w:cantSplit/>
        </w:trPr>
        <w:tc>
          <w:tcPr>
            <w:tcW w:type="dxa" w:w="3408"/>
            <w:vAlign w:val="center"/>
            <w:tcMar>
              <w:top w:w="100" w:type="dxa"/>
              <w:start w:w="120" w:type="dxa"/>
              <w:bottom w:w="100" w:type="dxa"/>
              <w:end w:w="120" w:type="dxa"/>
            </w:tcMar>
          </w:tcPr>
          <w:p>
            <w:pPr>
              <w:spacing w:after="0" w:line="240" w:lineRule="auto"/>
            </w:pPr>
            <w:r>
              <w:rPr>
                <w:color w:val="172033"/>
                <w:sz w:val="16"/>
              </w:rPr>
              <w:t>JevDecision</w:t>
            </w:r>
          </w:p>
        </w:tc>
        <w:tc>
          <w:tcPr>
            <w:tcW w:type="dxa" w:w="3408"/>
            <w:vAlign w:val="center"/>
            <w:tcMar>
              <w:top w:w="100" w:type="dxa"/>
              <w:start w:w="120" w:type="dxa"/>
              <w:bottom w:w="100" w:type="dxa"/>
              <w:end w:w="120" w:type="dxa"/>
            </w:tcMar>
          </w:tcPr>
          <w:p>
            <w:pPr>
              <w:spacing w:after="0" w:line="240" w:lineRule="auto"/>
            </w:pPr>
            <w:r>
              <w:rPr>
                <w:color w:val="172033"/>
                <w:sz w:val="16"/>
              </w:rPr>
              <w:t>decision_id, tick_id, snapshot_id, direction, direction_confidence, regime, toxic_flow, entry_quality, risk_level, model_ref</w:t>
            </w:r>
          </w:p>
        </w:tc>
        <w:tc>
          <w:tcPr>
            <w:tcW w:type="dxa" w:w="3408"/>
            <w:vAlign w:val="center"/>
            <w:tcMar>
              <w:top w:w="100" w:type="dxa"/>
              <w:start w:w="120" w:type="dxa"/>
              <w:bottom w:w="100" w:type="dxa"/>
              <w:end w:w="120" w:type="dxa"/>
            </w:tcMar>
          </w:tcPr>
          <w:p>
            <w:pPr>
              <w:spacing w:after="0" w:line="240" w:lineRule="auto"/>
            </w:pPr>
            <w:r>
              <w:rPr>
                <w:color w:val="172033"/>
                <w:sz w:val="16"/>
              </w:rPr>
              <w:t>Typed decision and the probability/score used by the gate.</w:t>
            </w:r>
          </w:p>
        </w:tc>
      </w:tr>
      <w:tr>
        <w:trPr>
          <w:cantSplit/>
        </w:trPr>
        <w:tc>
          <w:tcPr>
            <w:tcW w:type="dxa" w:w="3408"/>
            <w:vAlign w:val="center"/>
            <w:tcMar>
              <w:top w:w="100" w:type="dxa"/>
              <w:start w:w="120" w:type="dxa"/>
              <w:bottom w:w="100" w:type="dxa"/>
              <w:end w:w="120" w:type="dxa"/>
            </w:tcMar>
            <w:shd w:fill="F4F6F8"/>
          </w:tcPr>
          <w:p>
            <w:pPr>
              <w:spacing w:after="0" w:line="240" w:lineRule="auto"/>
            </w:pPr>
            <w:r>
              <w:rPr>
                <w:color w:val="172033"/>
                <w:sz w:val="16"/>
              </w:rPr>
              <w:t>GateDecision</w:t>
            </w:r>
          </w:p>
        </w:tc>
        <w:tc>
          <w:tcPr>
            <w:tcW w:type="dxa" w:w="3408"/>
            <w:vAlign w:val="center"/>
            <w:tcMar>
              <w:top w:w="100" w:type="dxa"/>
              <w:start w:w="120" w:type="dxa"/>
              <w:bottom w:w="100" w:type="dxa"/>
              <w:end w:w="120" w:type="dxa"/>
            </w:tcMar>
            <w:shd w:fill="F4F6F8"/>
          </w:tcPr>
          <w:p>
            <w:pPr>
              <w:spacing w:after="0" w:line="240" w:lineRule="auto"/>
            </w:pPr>
            <w:r>
              <w:rPr>
                <w:color w:val="172033"/>
                <w:sz w:val="16"/>
              </w:rPr>
              <w:t>gate_id, decision_id, rule_id, risk_state_id, outcome, reason_codes[], target_exposure</w:t>
            </w:r>
          </w:p>
        </w:tc>
        <w:tc>
          <w:tcPr>
            <w:tcW w:type="dxa" w:w="3408"/>
            <w:vAlign w:val="center"/>
            <w:tcMar>
              <w:top w:w="100" w:type="dxa"/>
              <w:start w:w="120" w:type="dxa"/>
              <w:bottom w:w="100" w:type="dxa"/>
              <w:end w:w="120" w:type="dxa"/>
            </w:tcMar>
            <w:shd w:fill="F4F6F8"/>
          </w:tcPr>
          <w:p>
            <w:pPr>
              <w:spacing w:after="0" w:line="240" w:lineRule="auto"/>
            </w:pPr>
            <w:r>
              <w:rPr>
                <w:color w:val="172033"/>
                <w:sz w:val="16"/>
              </w:rPr>
              <w:t>Authoritative record of why exposure was authorized or rejected.</w:t>
            </w:r>
          </w:p>
        </w:tc>
      </w:tr>
      <w:tr>
        <w:trPr>
          <w:cantSplit/>
        </w:trPr>
        <w:tc>
          <w:tcPr>
            <w:tcW w:type="dxa" w:w="3408"/>
            <w:vAlign w:val="center"/>
            <w:tcMar>
              <w:top w:w="100" w:type="dxa"/>
              <w:start w:w="120" w:type="dxa"/>
              <w:bottom w:w="100" w:type="dxa"/>
              <w:end w:w="120" w:type="dxa"/>
            </w:tcMar>
          </w:tcPr>
          <w:p>
            <w:pPr>
              <w:spacing w:after="0" w:line="240" w:lineRule="auto"/>
            </w:pPr>
            <w:r>
              <w:rPr>
                <w:color w:val="172033"/>
                <w:sz w:val="16"/>
              </w:rPr>
              <w:t>PaperOrder</w:t>
            </w:r>
          </w:p>
        </w:tc>
        <w:tc>
          <w:tcPr>
            <w:tcW w:type="dxa" w:w="3408"/>
            <w:vAlign w:val="center"/>
            <w:tcMar>
              <w:top w:w="100" w:type="dxa"/>
              <w:start w:w="120" w:type="dxa"/>
              <w:bottom w:w="100" w:type="dxa"/>
              <w:end w:w="120" w:type="dxa"/>
            </w:tcMar>
          </w:tcPr>
          <w:p>
            <w:pPr>
              <w:spacing w:after="0" w:line="240" w:lineRule="auto"/>
            </w:pPr>
            <w:r>
              <w:rPr>
                <w:color w:val="172033"/>
                <w:sz w:val="16"/>
              </w:rPr>
              <w:t>order_id, idempotency_key, side, quantity, reduce_only, created_at</w:t>
            </w:r>
          </w:p>
        </w:tc>
        <w:tc>
          <w:tcPr>
            <w:tcW w:type="dxa" w:w="3408"/>
            <w:vAlign w:val="center"/>
            <w:tcMar>
              <w:top w:w="100" w:type="dxa"/>
              <w:start w:w="120" w:type="dxa"/>
              <w:bottom w:w="100" w:type="dxa"/>
              <w:end w:w="120" w:type="dxa"/>
            </w:tcMar>
          </w:tcPr>
          <w:p>
            <w:pPr>
              <w:spacing w:after="0" w:line="240" w:lineRule="auto"/>
            </w:pPr>
            <w:r>
              <w:rPr>
                <w:color w:val="172033"/>
                <w:sz w:val="16"/>
              </w:rPr>
              <w:t>Requested simulated market transition; no live-exchange fields.</w:t>
            </w:r>
          </w:p>
        </w:tc>
      </w:tr>
      <w:tr>
        <w:trPr>
          <w:cantSplit/>
        </w:trPr>
        <w:tc>
          <w:tcPr>
            <w:tcW w:type="dxa" w:w="3408"/>
            <w:vAlign w:val="center"/>
            <w:tcMar>
              <w:top w:w="100" w:type="dxa"/>
              <w:start w:w="120" w:type="dxa"/>
              <w:bottom w:w="100" w:type="dxa"/>
              <w:end w:w="120" w:type="dxa"/>
            </w:tcMar>
            <w:shd w:fill="F4F6F8"/>
          </w:tcPr>
          <w:p>
            <w:pPr>
              <w:spacing w:after="0" w:line="240" w:lineRule="auto"/>
            </w:pPr>
            <w:r>
              <w:rPr>
                <w:color w:val="172033"/>
                <w:sz w:val="16"/>
              </w:rPr>
              <w:t>PaperFill</w:t>
            </w:r>
          </w:p>
        </w:tc>
        <w:tc>
          <w:tcPr>
            <w:tcW w:type="dxa" w:w="3408"/>
            <w:vAlign w:val="center"/>
            <w:tcMar>
              <w:top w:w="100" w:type="dxa"/>
              <w:start w:w="120" w:type="dxa"/>
              <w:bottom w:w="100" w:type="dxa"/>
              <w:end w:w="120" w:type="dxa"/>
            </w:tcMar>
            <w:shd w:fill="F4F6F8"/>
          </w:tcPr>
          <w:p>
            <w:pPr>
              <w:spacing w:after="0" w:line="240" w:lineRule="auto"/>
            </w:pPr>
            <w:r>
              <w:rPr>
                <w:color w:val="172033"/>
                <w:sz w:val="16"/>
              </w:rPr>
              <w:t>fill_id, order_id, price, quantity, fee, slippage, filled_at</w:t>
            </w:r>
          </w:p>
        </w:tc>
        <w:tc>
          <w:tcPr>
            <w:tcW w:type="dxa" w:w="3408"/>
            <w:vAlign w:val="center"/>
            <w:tcMar>
              <w:top w:w="100" w:type="dxa"/>
              <w:start w:w="120" w:type="dxa"/>
              <w:bottom w:w="100" w:type="dxa"/>
              <w:end w:w="120" w:type="dxa"/>
            </w:tcMar>
            <w:shd w:fill="F4F6F8"/>
          </w:tcPr>
          <w:p>
            <w:pPr>
              <w:spacing w:after="0" w:line="240" w:lineRule="auto"/>
            </w:pPr>
            <w:r>
              <w:rPr>
                <w:color w:val="172033"/>
                <w:sz w:val="16"/>
              </w:rPr>
              <w:t>Immutable execution fact used by the ledger.</w:t>
            </w:r>
          </w:p>
        </w:tc>
      </w:tr>
      <w:tr>
        <w:trPr>
          <w:cantSplit/>
        </w:trPr>
        <w:tc>
          <w:tcPr>
            <w:tcW w:type="dxa" w:w="3408"/>
            <w:vAlign w:val="center"/>
            <w:tcMar>
              <w:top w:w="100" w:type="dxa"/>
              <w:start w:w="120" w:type="dxa"/>
              <w:bottom w:w="100" w:type="dxa"/>
              <w:end w:w="120" w:type="dxa"/>
            </w:tcMar>
          </w:tcPr>
          <w:p>
            <w:pPr>
              <w:spacing w:after="0" w:line="240" w:lineRule="auto"/>
            </w:pPr>
            <w:r>
              <w:rPr>
                <w:color w:val="172033"/>
                <w:sz w:val="16"/>
              </w:rPr>
              <w:t>PositionSnapshot</w:t>
            </w:r>
          </w:p>
        </w:tc>
        <w:tc>
          <w:tcPr>
            <w:tcW w:type="dxa" w:w="3408"/>
            <w:vAlign w:val="center"/>
            <w:tcMar>
              <w:top w:w="100" w:type="dxa"/>
              <w:start w:w="120" w:type="dxa"/>
              <w:bottom w:w="100" w:type="dxa"/>
              <w:end w:w="120" w:type="dxa"/>
            </w:tcMar>
          </w:tcPr>
          <w:p>
            <w:pPr>
              <w:spacing w:after="0" w:line="240" w:lineRule="auto"/>
            </w:pPr>
            <w:r>
              <w:rPr>
                <w:color w:val="172033"/>
                <w:sz w:val="16"/>
              </w:rPr>
              <w:t>side, quantity, entry_price, mark_price, notional, leverage, isolated_margin, maintenance_margin, liquidation_price, liquidation_buffer, funding, unrealized_pnl</w:t>
            </w:r>
          </w:p>
        </w:tc>
        <w:tc>
          <w:tcPr>
            <w:tcW w:type="dxa" w:w="3408"/>
            <w:vAlign w:val="center"/>
            <w:tcMar>
              <w:top w:w="100" w:type="dxa"/>
              <w:start w:w="120" w:type="dxa"/>
              <w:bottom w:w="100" w:type="dxa"/>
              <w:end w:w="120" w:type="dxa"/>
            </w:tcMar>
          </w:tcPr>
          <w:p>
            <w:pPr>
              <w:spacing w:after="0" w:line="240" w:lineRule="auto"/>
            </w:pPr>
            <w:r>
              <w:rPr>
                <w:color w:val="172033"/>
                <w:sz w:val="16"/>
              </w:rPr>
              <w:t>Complete one-way perpetual position state.</w:t>
            </w:r>
          </w:p>
        </w:tc>
      </w:tr>
      <w:tr>
        <w:trPr>
          <w:cantSplit/>
        </w:trPr>
        <w:tc>
          <w:tcPr>
            <w:tcW w:type="dxa" w:w="3408"/>
            <w:vAlign w:val="center"/>
            <w:tcMar>
              <w:top w:w="100" w:type="dxa"/>
              <w:start w:w="120" w:type="dxa"/>
              <w:bottom w:w="100" w:type="dxa"/>
              <w:end w:w="120" w:type="dxa"/>
            </w:tcMar>
            <w:shd w:fill="F4F6F8"/>
          </w:tcPr>
          <w:p>
            <w:pPr>
              <w:spacing w:after="0" w:line="240" w:lineRule="auto"/>
            </w:pPr>
            <w:r>
              <w:rPr>
                <w:color w:val="172033"/>
                <w:sz w:val="16"/>
              </w:rPr>
              <w:t>RiskState</w:t>
            </w:r>
          </w:p>
        </w:tc>
        <w:tc>
          <w:tcPr>
            <w:tcW w:type="dxa" w:w="3408"/>
            <w:vAlign w:val="center"/>
            <w:tcMar>
              <w:top w:w="100" w:type="dxa"/>
              <w:start w:w="120" w:type="dxa"/>
              <w:bottom w:w="100" w:type="dxa"/>
              <w:end w:w="120" w:type="dxa"/>
            </w:tcMar>
            <w:shd w:fill="F4F6F8"/>
          </w:tcPr>
          <w:p>
            <w:pPr>
              <w:spacing w:after="0" w:line="240" w:lineRule="auto"/>
            </w:pPr>
            <w:r>
              <w:rPr>
                <w:color w:val="172033"/>
                <w:sz w:val="16"/>
              </w:rPr>
              <w:t>equity, high_water_mark, daily_pnl, drawdown, position_risk, margin_used, halt_state</w:t>
            </w:r>
          </w:p>
        </w:tc>
        <w:tc>
          <w:tcPr>
            <w:tcW w:type="dxa" w:w="3408"/>
            <w:vAlign w:val="center"/>
            <w:tcMar>
              <w:top w:w="100" w:type="dxa"/>
              <w:start w:w="120" w:type="dxa"/>
              <w:bottom w:w="100" w:type="dxa"/>
              <w:end w:w="120" w:type="dxa"/>
            </w:tcMar>
            <w:shd w:fill="F4F6F8"/>
          </w:tcPr>
          <w:p>
            <w:pPr>
              <w:spacing w:after="0" w:line="240" w:lineRule="auto"/>
            </w:pPr>
            <w:r>
              <w:rPr>
                <w:color w:val="172033"/>
                <w:sz w:val="16"/>
              </w:rPr>
              <w:t>Source of truth for deterministic authorization.</w:t>
            </w:r>
          </w:p>
        </w:tc>
      </w:tr>
      <w:tr>
        <w:trPr>
          <w:cantSplit/>
        </w:trPr>
        <w:tc>
          <w:tcPr>
            <w:tcW w:type="dxa" w:w="3408"/>
            <w:vAlign w:val="center"/>
            <w:tcMar>
              <w:top w:w="100" w:type="dxa"/>
              <w:start w:w="120" w:type="dxa"/>
              <w:bottom w:w="100" w:type="dxa"/>
              <w:end w:w="120" w:type="dxa"/>
            </w:tcMar>
          </w:tcPr>
          <w:p>
            <w:pPr>
              <w:spacing w:after="0" w:line="240" w:lineRule="auto"/>
            </w:pPr>
            <w:r>
              <w:rPr>
                <w:color w:val="172033"/>
                <w:sz w:val="16"/>
              </w:rPr>
              <w:t>PromotionEvaluation</w:t>
            </w:r>
          </w:p>
        </w:tc>
        <w:tc>
          <w:tcPr>
            <w:tcW w:type="dxa" w:w="3408"/>
            <w:vAlign w:val="center"/>
            <w:tcMar>
              <w:top w:w="100" w:type="dxa"/>
              <w:start w:w="120" w:type="dxa"/>
              <w:bottom w:w="100" w:type="dxa"/>
              <w:end w:w="120" w:type="dxa"/>
            </w:tcMar>
          </w:tcPr>
          <w:p>
            <w:pPr>
              <w:spacing w:after="0" w:line="240" w:lineRule="auto"/>
            </w:pPr>
            <w:r>
              <w:rPr>
                <w:color w:val="172033"/>
                <w:sz w:val="16"/>
              </w:rPr>
              <w:t>candidate_id, champion_id, window, coverage, trades, net_returns, drawdowns, scores, status, reasons[]</w:t>
            </w:r>
          </w:p>
        </w:tc>
        <w:tc>
          <w:tcPr>
            <w:tcW w:type="dxa" w:w="3408"/>
            <w:vAlign w:val="center"/>
            <w:tcMar>
              <w:top w:w="100" w:type="dxa"/>
              <w:start w:w="120" w:type="dxa"/>
              <w:bottom w:w="100" w:type="dxa"/>
              <w:end w:w="120" w:type="dxa"/>
            </w:tcMar>
          </w:tcPr>
          <w:p>
            <w:pPr>
              <w:spacing w:after="0" w:line="240" w:lineRule="auto"/>
            </w:pPr>
            <w:r>
              <w:rPr>
                <w:color w:val="172033"/>
                <w:sz w:val="16"/>
              </w:rPr>
              <w:t>Reproducible promotion evidence.</w:t>
            </w:r>
          </w:p>
        </w:tc>
      </w:tr>
    </w:tbl>
    <w:p>
      <w:pPr>
        <w:spacing w:after="0"/>
      </w:pPr>
    </w:p>
    <w:p>
      <w:pPr>
        <w:pStyle w:val="Heading3"/>
      </w:pPr>
      <w:r>
        <w:rPr>
          <w:color w:val="0E3152"/>
        </w:rPr>
        <w:t>Jev question contract</w:t>
      </w:r>
    </w:p>
    <w:p>
      <w:pPr>
        <w:spacing w:after="60"/>
        <w:ind w:left="288" w:hanging="187"/>
      </w:pPr>
      <w:r>
        <w:t xml:space="preserve">• </w:t>
      </w:r>
      <w:r>
        <w:rPr>
          <w:rFonts w:ascii="Liberation Mono" w:hAnsi="Liberation Mono"/>
          <w:color w:val="172033"/>
          <w:sz w:val="17"/>
        </w:rPr>
        <w:t>direction</w:t>
      </w:r>
      <w:r>
        <w:t xml:space="preserve">: Choice of </w:t>
      </w:r>
      <w:r>
        <w:rPr>
          <w:rFonts w:ascii="Liberation Mono" w:hAnsi="Liberation Mono"/>
          <w:color w:val="172033"/>
          <w:sz w:val="17"/>
        </w:rPr>
        <w:t>Strong Buy</w:t>
      </w:r>
      <w:r>
        <w:t xml:space="preserve">, </w:t>
      </w:r>
      <w:r>
        <w:rPr>
          <w:rFonts w:ascii="Liberation Mono" w:hAnsi="Liberation Mono"/>
          <w:color w:val="172033"/>
          <w:sz w:val="17"/>
        </w:rPr>
        <w:t>Buy</w:t>
      </w:r>
      <w:r>
        <w:t xml:space="preserve">, </w:t>
      </w:r>
      <w:r>
        <w:rPr>
          <w:rFonts w:ascii="Liberation Mono" w:hAnsi="Liberation Mono"/>
          <w:color w:val="172033"/>
          <w:sz w:val="17"/>
        </w:rPr>
        <w:t>Hold</w:t>
      </w:r>
      <w:r>
        <w:t xml:space="preserve">, </w:t>
      </w:r>
      <w:r>
        <w:rPr>
          <w:rFonts w:ascii="Liberation Mono" w:hAnsi="Liberation Mono"/>
          <w:color w:val="172033"/>
          <w:sz w:val="17"/>
        </w:rPr>
        <w:t>Take Profit</w:t>
      </w:r>
      <w:r>
        <w:t xml:space="preserve">, </w:t>
      </w:r>
      <w:r>
        <w:rPr>
          <w:rFonts w:ascii="Liberation Mono" w:hAnsi="Liberation Mono"/>
          <w:color w:val="172033"/>
          <w:sz w:val="17"/>
        </w:rPr>
        <w:t>Sell</w:t>
      </w:r>
      <w:r>
        <w:t>, or</w:t>
      </w:r>
      <w:r>
        <w:t xml:space="preserve"> </w:t>
      </w:r>
      <w:r>
        <w:rPr>
          <w:rFonts w:ascii="Liberation Mono" w:hAnsi="Liberation Mono"/>
          <w:color w:val="172033"/>
          <w:sz w:val="17"/>
        </w:rPr>
        <w:t>Strong Sell</w:t>
      </w:r>
      <w:r>
        <w:t>.</w:t>
      </w:r>
    </w:p>
    <w:p>
      <w:pPr>
        <w:spacing w:after="60"/>
        <w:ind w:left="288" w:hanging="187"/>
      </w:pPr>
      <w:r>
        <w:t xml:space="preserve">• </w:t>
      </w:r>
      <w:r>
        <w:rPr>
          <w:rFonts w:ascii="Liberation Mono" w:hAnsi="Liberation Mono"/>
          <w:color w:val="172033"/>
          <w:sz w:val="17"/>
        </w:rPr>
        <w:t>regime</w:t>
      </w:r>
      <w:r>
        <w:t xml:space="preserve">: Choice of </w:t>
      </w:r>
      <w:r>
        <w:rPr>
          <w:rFonts w:ascii="Liberation Mono" w:hAnsi="Liberation Mono"/>
          <w:color w:val="172033"/>
          <w:sz w:val="17"/>
        </w:rPr>
        <w:t>Trending Up</w:t>
      </w:r>
      <w:r>
        <w:t xml:space="preserve">, </w:t>
      </w:r>
      <w:r>
        <w:rPr>
          <w:rFonts w:ascii="Liberation Mono" w:hAnsi="Liberation Mono"/>
          <w:color w:val="172033"/>
          <w:sz w:val="17"/>
        </w:rPr>
        <w:t>Trending Down</w:t>
      </w:r>
      <w:r>
        <w:t xml:space="preserve">, </w:t>
      </w:r>
      <w:r>
        <w:rPr>
          <w:rFonts w:ascii="Liberation Mono" w:hAnsi="Liberation Mono"/>
          <w:color w:val="172033"/>
          <w:sz w:val="17"/>
        </w:rPr>
        <w:t>Sideways</w:t>
      </w:r>
      <w:r>
        <w:t xml:space="preserve">, or </w:t>
      </w:r>
      <w:r>
        <w:rPr>
          <w:rFonts w:ascii="Liberation Mono" w:hAnsi="Liberation Mono"/>
          <w:color w:val="172033"/>
          <w:sz w:val="17"/>
        </w:rPr>
        <w:t>Volatile</w:t>
      </w:r>
      <w:r>
        <w:t>.</w:t>
      </w:r>
    </w:p>
    <w:p>
      <w:pPr>
        <w:spacing w:after="60"/>
        <w:ind w:left="288" w:hanging="187"/>
      </w:pPr>
      <w:r>
        <w:t xml:space="preserve">• </w:t>
      </w:r>
      <w:r>
        <w:rPr>
          <w:rFonts w:ascii="Liberation Mono" w:hAnsi="Liberation Mono"/>
          <w:color w:val="172033"/>
          <w:sz w:val="17"/>
        </w:rPr>
        <w:t>toxic_flow</w:t>
      </w:r>
      <w:r>
        <w:t>: Noul probability that current microstructure indicates manipulative or</w:t>
      </w:r>
      <w:r>
        <w:t xml:space="preserve"> adverse large-order flow.</w:t>
      </w:r>
    </w:p>
    <w:p>
      <w:pPr>
        <w:spacing w:after="60"/>
        <w:ind w:left="288" w:hanging="187"/>
      </w:pPr>
      <w:r>
        <w:t xml:space="preserve">• </w:t>
      </w:r>
      <w:r>
        <w:rPr>
          <w:rFonts w:ascii="Liberation Mono" w:hAnsi="Liberation Mono"/>
          <w:color w:val="172033"/>
          <w:sz w:val="17"/>
        </w:rPr>
        <w:t>entry_quality</w:t>
      </w:r>
      <w:r>
        <w:t>: Score from 1 to 5 using a fixed legend.</w:t>
      </w:r>
    </w:p>
    <w:p>
      <w:pPr>
        <w:spacing w:after="60"/>
        <w:ind w:left="288" w:hanging="187"/>
      </w:pPr>
      <w:r>
        <w:t xml:space="preserve">• </w:t>
      </w:r>
      <w:r>
        <w:rPr>
          <w:rFonts w:ascii="Liberation Mono" w:hAnsi="Liberation Mono"/>
          <w:color w:val="172033"/>
          <w:sz w:val="17"/>
        </w:rPr>
        <w:t>risk_level</w:t>
      </w:r>
      <w:r>
        <w:t xml:space="preserve">: Score with fixed labels </w:t>
      </w:r>
      <w:r>
        <w:rPr>
          <w:rFonts w:ascii="Liberation Mono" w:hAnsi="Liberation Mono"/>
          <w:color w:val="172033"/>
          <w:sz w:val="17"/>
        </w:rPr>
        <w:t>Low</w:t>
      </w:r>
      <w:r>
        <w:t xml:space="preserve">, </w:t>
      </w:r>
      <w:r>
        <w:rPr>
          <w:rFonts w:ascii="Liberation Mono" w:hAnsi="Liberation Mono"/>
          <w:color w:val="172033"/>
          <w:sz w:val="17"/>
        </w:rPr>
        <w:t>Medium</w:t>
      </w:r>
      <w:r>
        <w:t xml:space="preserve">, </w:t>
      </w:r>
      <w:r>
        <w:rPr>
          <w:rFonts w:ascii="Liberation Mono" w:hAnsi="Liberation Mono"/>
          <w:color w:val="172033"/>
          <w:sz w:val="17"/>
        </w:rPr>
        <w:t>High</w:t>
      </w:r>
      <w:r>
        <w:t xml:space="preserve">, and </w:t>
      </w:r>
      <w:r>
        <w:rPr>
          <w:rFonts w:ascii="Liberation Mono" w:hAnsi="Liberation Mono"/>
          <w:color w:val="172033"/>
          <w:sz w:val="17"/>
        </w:rPr>
        <w:t>Critical</w:t>
      </w:r>
      <w:r>
        <w:t>.</w:t>
      </w:r>
    </w:p>
    <w:p>
      <w:r>
        <w:rPr>
          <w:rFonts w:ascii="Liberation Mono" w:hAnsi="Liberation Mono"/>
          <w:color w:val="172033"/>
          <w:sz w:val="17"/>
        </w:rPr>
        <w:t>direction_confidence</w:t>
      </w:r>
      <w:r>
        <w:t xml:space="preserve"> is the returned probability for the selected direction, not an average across questions. Until local calibration tests establish otherwise, </w:t>
      </w:r>
      <w:r>
        <w:rPr>
          <w:rFonts w:ascii="Liberation Mono" w:hAnsi="Liberation Mono"/>
          <w:color w:val="172033"/>
          <w:sz w:val="17"/>
        </w:rPr>
        <w:t>toxic_flow</w:t>
      </w:r>
      <w:r>
        <w:t xml:space="preserve"> is treated as a model score with a probability-shaped range rather than as a statistically proven market probability.</w:t>
      </w:r>
    </w:p>
    <w:p>
      <w:pPr>
        <w:pStyle w:val="Heading3"/>
      </w:pPr>
      <w:r>
        <w:rPr>
          <w:color w:val="0E3152"/>
        </w:rPr>
        <w:t>Gate order</w:t>
      </w:r>
    </w:p>
    <w:p>
      <w:r>
        <w:t>The gate evaluates checks in this order and persists every failed reason:</w:t>
      </w:r>
    </w:p>
    <w:p>
      <w:pPr>
        <w:spacing w:after="60"/>
        <w:ind w:left="317" w:hanging="259"/>
      </w:pPr>
      <w:r>
        <w:t>1. Global and daily halt state.</w:t>
      </w:r>
    </w:p>
    <w:p>
      <w:pPr>
        <w:spacing w:after="60"/>
        <w:ind w:left="317" w:hanging="259"/>
      </w:pPr>
      <w:r>
        <w:t>2. Snapshot integrity, required fields, and freshness.</w:t>
      </w:r>
    </w:p>
    <w:p>
      <w:pPr>
        <w:spacing w:after="60"/>
        <w:ind w:left="317" w:hanging="259"/>
      </w:pPr>
      <w:r>
        <w:t>3. Model response validity and pinned version.</w:t>
      </w:r>
    </w:p>
    <w:p>
      <w:pPr>
        <w:spacing w:after="60"/>
        <w:ind w:left="317" w:hanging="259"/>
      </w:pPr>
      <w:r>
        <w:t>4. Direction confidence at least 0.85.</w:t>
      </w:r>
    </w:p>
    <w:p>
      <w:pPr>
        <w:spacing w:after="60"/>
        <w:ind w:left="317" w:hanging="259"/>
      </w:pPr>
      <w:r>
        <w:t>5. Entry quality at least 3.</w:t>
      </w:r>
    </w:p>
    <w:p>
      <w:pPr>
        <w:spacing w:after="60"/>
        <w:ind w:left="317" w:hanging="259"/>
      </w:pPr>
      <w:r>
        <w:t>6. Toxic-flow score at most 0.30.</w:t>
      </w:r>
    </w:p>
    <w:p>
      <w:pPr>
        <w:spacing w:after="60"/>
        <w:ind w:left="317" w:hanging="259"/>
      </w:pPr>
      <w:r>
        <w:t>7. Risk level Low or Medium for new exposure.</w:t>
      </w:r>
    </w:p>
    <w:p>
      <w:pPr>
        <w:spacing w:after="60"/>
        <w:ind w:left="317" w:hanging="259"/>
      </w:pPr>
      <w:r>
        <w:t>8. Active rule allowlists and session/regime filters.</w:t>
      </w:r>
    </w:p>
    <w:p>
      <w:pPr>
        <w:spacing w:after="60"/>
        <w:ind w:left="317" w:hanging="259"/>
      </w:pPr>
      <w:r>
        <w:t>9. Entry cooldown and idempotency.</w:t>
      </w:r>
    </w:p>
    <w:p>
      <w:pPr>
        <w:spacing w:after="60"/>
        <w:ind w:left="317" w:hanging="259"/>
      </w:pPr>
      <w:r>
        <w:t>10. Position, notional, margin, stop risk, and liquidation-buffer limits.</w:t>
      </w:r>
    </w:p>
    <w:p>
      <w:r>
        <w:t>Risk-reducing actions skip entry-only checks but must remain reduce-only and valid for the current position.</w:t>
      </w:r>
    </w:p>
    <w:p>
      <w:pPr>
        <w:pStyle w:val="Heading3"/>
      </w:pPr>
      <w:r>
        <w:rPr>
          <w:color w:val="0E3152"/>
        </w:rPr>
        <w:t>Hard-risk policy</w:t>
      </w:r>
    </w:p>
    <w:p>
      <w:pPr>
        <w:keepLines/>
        <w:spacing w:before="60" w:after="160"/>
        <w:ind w:left="259" w:right="259"/>
        <w:shd w:fill="F4F6F8"/>
      </w:pPr>
      <w:r>
        <w:rPr>
          <w:rFonts w:ascii="Liberation Mono" w:hAnsi="Liberation Mono"/>
          <w:color w:val="172033"/>
          <w:sz w:val="15"/>
        </w:rPr>
        <w:t>MARGIN_MODE=isolated</w:t>
        <w:br/>
        <w:t>LEVERAGE=3</w:t>
        <w:br/>
        <w:t>MAX_TRANCHES=2</w:t>
        <w:br/>
        <w:t>MAX_TRANCHE_RISK_PCT=0.0025</w:t>
        <w:br/>
        <w:t>MAX_POSITION_RISK_PCT=0.005</w:t>
        <w:br/>
        <w:t>MAX_TRANCHE_NOTIONAL_PCT=0.25</w:t>
        <w:br/>
        <w:t>MAX_POSITION_NOTIONAL_PCT=0.50</w:t>
        <w:br/>
        <w:t>MAX_INITIAL_MARGIN_PCT=0.20</w:t>
        <w:br/>
        <w:t>DAILY_LOSS_LIMIT_PCT=0.015</w:t>
        <w:br/>
        <w:t>MAX_DRAWDOWN_PCT=0.08</w:t>
        <w:br/>
        <w:t>MIN_STOP_DISTANCE_PCT=0.0075</w:t>
        <w:br/>
        <w:t>MAX_STOP_DISTANCE_PCT=0.03</w:t>
        <w:br/>
        <w:t>MIN_LIQUIDATION_BUFFER_PCT=0.15</w:t>
        <w:br/>
        <w:t>EMERGENCY_LIQUIDATION_BUFFER_PCT=0.10</w:t>
        <w:br/>
        <w:t>ENTRY_COOLDOWN_SECONDS=60</w:t>
      </w:r>
    </w:p>
    <w:p>
      <w:r>
        <w:t xml:space="preserve">These values belong to a versioned deployment policy. The dashboard, LLM, Jev, rule candidates, and runtime </w:t>
      </w:r>
      <w:r>
        <w:rPr>
          <w:rFonts w:ascii="Liberation Mono" w:hAnsi="Liberation Mono"/>
          <w:color w:val="172033"/>
          <w:sz w:val="17"/>
        </w:rPr>
        <w:t>.env</w:t>
      </w:r>
      <w:r>
        <w:t xml:space="preserve"> editor cannot change them.</w:t>
      </w:r>
    </w:p>
    <w:p>
      <w:pPr>
        <w:pStyle w:val="Heading3"/>
      </w:pPr>
      <w:r>
        <w:rPr>
          <w:color w:val="0E3152"/>
        </w:rPr>
        <w:t>Position sizing</w:t>
      </w:r>
    </w:p>
    <w:p>
      <w:r>
        <w:t>For each tranche:</w:t>
      </w:r>
    </w:p>
    <w:p>
      <w:pPr>
        <w:keepLines/>
        <w:spacing w:before="60" w:after="160"/>
        <w:ind w:left="259" w:right="259"/>
        <w:shd w:fill="F4F6F8"/>
      </w:pPr>
      <w:r>
        <w:rPr>
          <w:rFonts w:ascii="Liberation Mono" w:hAnsi="Liberation Mono"/>
          <w:color w:val="172033"/>
          <w:sz w:val="15"/>
        </w:rPr>
        <w:t>risk_limited_notional = (equity * 0.0025) / stop_distance_pct</w:t>
        <w:br/>
        <w:t>tranche_notional = min(equity * 0.25, risk_limited_notional)</w:t>
        <w:br/>
        <w:t>position_notional = min(sum(tranches), equity * 0.50)</w:t>
        <w:br/>
        <w:t>initial_margin = position_notional / 3</w:t>
      </w:r>
    </w:p>
    <w:p>
      <w:r>
        <w:t>The gate rejects quantities below Binance symbol minimums after tick/step-size rounding. It also rejects additions that would make initial margin exceed 20% of equity. Liquidation price uses the current Binance maintenance-margin tier and mark price, not a fixed percentage approximation.</w:t>
      </w:r>
    </w:p>
    <w:p>
      <w:pPr>
        <w:pStyle w:val="Heading3"/>
      </w:pPr>
      <w:r>
        <w:rPr>
          <w:color w:val="0E3152"/>
        </w:rPr>
        <w:t>Dashboard interface</w:t>
      </w:r>
    </w:p>
    <w:p>
      <w:r>
        <w:t>Read endpoints expose status, snapshots, decisions, gate reasons, paper positions, ledger, rules, reports, evaluations, costs, and service health. The only mutation commands are:</w:t>
      </w:r>
    </w:p>
    <w:p>
      <w:pPr>
        <w:spacing w:after="60"/>
        <w:ind w:left="288" w:hanging="187"/>
      </w:pPr>
      <w:r>
        <w:t>• Pause new entries.</w:t>
      </w:r>
    </w:p>
    <w:p>
      <w:pPr>
        <w:spacing w:after="60"/>
        <w:ind w:left="288" w:hanging="187"/>
      </w:pPr>
      <w:r>
        <w:t>• Resume entries after an explicit confirmation.</w:t>
      </w:r>
    </w:p>
    <w:p>
      <w:pPr>
        <w:spacing w:after="60"/>
        <w:ind w:left="288" w:hanging="187"/>
      </w:pPr>
      <w:r>
        <w:t>• Flatten the paper position with a reduce-only command.</w:t>
      </w:r>
    </w:p>
    <w:p>
      <w:pPr>
        <w:spacing w:after="60"/>
        <w:ind w:left="288" w:hanging="187"/>
      </w:pPr>
      <w:r>
        <w:t>• Roll back to the immediately preceding champion.</w:t>
      </w:r>
    </w:p>
    <w:p>
      <w:pPr>
        <w:spacing w:after="60"/>
        <w:ind w:left="288" w:hanging="187"/>
      </w:pPr>
      <w:r>
        <w:t>• Enable or disable non-critical Telegram notifications.</w:t>
      </w:r>
    </w:p>
    <w:p>
      <w:r>
        <w:t>Commands are authenticated, CSRF-protected, idempotent, and appended to the audit log. The dashboard never reads or writes secret values.</w:t>
      </w:r>
    </w:p>
    <w:p>
      <w:pPr>
        <w:pStyle w:val="Heading1"/>
      </w:pPr>
      <w:r>
        <w:rPr>
          <w:color w:val="0E3152"/>
        </w:rPr>
        <w:t>7. Consistency, Idempotency, and Replay</w:t>
      </w:r>
    </w:p>
    <w:tbl>
      <w:tblPr>
        <w:tblW w:type="auto" w:w="0"/>
        <w:jc w:val="center"/>
        <w:tblLayout w:type="autofit"/>
        <w:tblLook w:firstColumn="1" w:firstRow="1" w:lastColumn="0" w:lastRow="0" w:noHBand="0" w:noVBand="1" w:val="04A0"/>
      </w:tblPr>
      <w:tblGrid>
        <w:gridCol w:w="3408"/>
        <w:gridCol w:w="3408"/>
        <w:gridCol w:w="3408"/>
      </w:tblGrid>
      <w:tr>
        <w:trPr>
          <w:cantSplit/>
          <w:tblHeader w:val="true"/>
        </w:trPr>
        <w:tc>
          <w:tcPr>
            <w:tcW w:type="dxa" w:w="3408"/>
            <w:vAlign w:val="center"/>
            <w:tcMar>
              <w:top w:w="100" w:type="dxa"/>
              <w:start w:w="120" w:type="dxa"/>
              <w:bottom w:w="100" w:type="dxa"/>
              <w:end w:w="120" w:type="dxa"/>
            </w:tcMar>
            <w:shd w:fill="0E3152"/>
          </w:tcPr>
          <w:p>
            <w:pPr>
              <w:spacing w:after="0" w:line="240" w:lineRule="auto"/>
            </w:pPr>
            <w:r>
              <w:rPr>
                <w:b/>
                <w:color w:val="FFFFFF"/>
                <w:sz w:val="16"/>
              </w:rPr>
              <w:t>Scenario</w:t>
            </w:r>
          </w:p>
        </w:tc>
        <w:tc>
          <w:tcPr>
            <w:tcW w:type="dxa" w:w="3408"/>
            <w:vAlign w:val="center"/>
            <w:tcMar>
              <w:top w:w="100" w:type="dxa"/>
              <w:start w:w="120" w:type="dxa"/>
              <w:bottom w:w="100" w:type="dxa"/>
              <w:end w:w="120" w:type="dxa"/>
            </w:tcMar>
            <w:shd w:fill="0E3152"/>
          </w:tcPr>
          <w:p>
            <w:pPr>
              <w:spacing w:after="0" w:line="240" w:lineRule="auto"/>
            </w:pPr>
            <w:r>
              <w:rPr>
                <w:b/>
                <w:color w:val="FFFFFF"/>
                <w:sz w:val="16"/>
              </w:rPr>
              <w:t>Expected behavior</w:t>
            </w:r>
          </w:p>
        </w:tc>
        <w:tc>
          <w:tcPr>
            <w:tcW w:type="dxa" w:w="3408"/>
            <w:vAlign w:val="center"/>
            <w:tcMar>
              <w:top w:w="100" w:type="dxa"/>
              <w:start w:w="120" w:type="dxa"/>
              <w:bottom w:w="100" w:type="dxa"/>
              <w:end w:w="120" w:type="dxa"/>
            </w:tcMar>
            <w:shd w:fill="0E3152"/>
          </w:tcPr>
          <w:p>
            <w:pPr>
              <w:spacing w:after="0" w:line="240" w:lineRule="auto"/>
            </w:pPr>
            <w:r>
              <w:rPr>
                <w:b/>
                <w:color w:val="FFFFFF"/>
                <w:sz w:val="16"/>
              </w:rPr>
              <w:t>Mechanism</w:t>
            </w:r>
          </w:p>
        </w:tc>
      </w:tr>
      <w:tr>
        <w:trPr>
          <w:cantSplit/>
        </w:trPr>
        <w:tc>
          <w:tcPr>
            <w:tcW w:type="dxa" w:w="3408"/>
            <w:vAlign w:val="center"/>
            <w:tcMar>
              <w:top w:w="100" w:type="dxa"/>
              <w:start w:w="120" w:type="dxa"/>
              <w:bottom w:w="100" w:type="dxa"/>
              <w:end w:w="120" w:type="dxa"/>
            </w:tcMar>
          </w:tcPr>
          <w:p>
            <w:pPr>
              <w:spacing w:after="0" w:line="240" w:lineRule="auto"/>
            </w:pPr>
            <w:r>
              <w:rPr>
                <w:color w:val="172033"/>
                <w:sz w:val="16"/>
              </w:rPr>
              <w:t>The same five-second tick runs twice</w:t>
            </w:r>
          </w:p>
        </w:tc>
        <w:tc>
          <w:tcPr>
            <w:tcW w:type="dxa" w:w="3408"/>
            <w:vAlign w:val="center"/>
            <w:tcMar>
              <w:top w:w="100" w:type="dxa"/>
              <w:start w:w="120" w:type="dxa"/>
              <w:bottom w:w="100" w:type="dxa"/>
              <w:end w:w="120" w:type="dxa"/>
            </w:tcMar>
          </w:tcPr>
          <w:p>
            <w:pPr>
              <w:spacing w:after="0" w:line="240" w:lineRule="auto"/>
            </w:pPr>
            <w:r>
              <w:rPr>
                <w:color w:val="172033"/>
                <w:sz w:val="16"/>
              </w:rPr>
              <w:t>At most one order/fill transition exists; both attempts resolve to the same decision record.</w:t>
            </w:r>
          </w:p>
        </w:tc>
        <w:tc>
          <w:tcPr>
            <w:tcW w:type="dxa" w:w="3408"/>
            <w:vAlign w:val="center"/>
            <w:tcMar>
              <w:top w:w="100" w:type="dxa"/>
              <w:start w:w="120" w:type="dxa"/>
              <w:bottom w:w="100" w:type="dxa"/>
              <w:end w:w="120" w:type="dxa"/>
            </w:tcMar>
          </w:tcPr>
          <w:p>
            <w:pPr>
              <w:spacing w:after="0" w:line="240" w:lineRule="auto"/>
            </w:pPr>
            <w:r>
              <w:rPr>
                <w:color w:val="172033"/>
                <w:sz w:val="16"/>
              </w:rPr>
              <w:t>Unique decision_tick_id and order idempotency key.</w:t>
            </w:r>
          </w:p>
        </w:tc>
      </w:tr>
      <w:tr>
        <w:trPr>
          <w:cantSplit/>
        </w:trPr>
        <w:tc>
          <w:tcPr>
            <w:tcW w:type="dxa" w:w="3408"/>
            <w:vAlign w:val="center"/>
            <w:tcMar>
              <w:top w:w="100" w:type="dxa"/>
              <w:start w:w="120" w:type="dxa"/>
              <w:bottom w:w="100" w:type="dxa"/>
              <w:end w:w="120" w:type="dxa"/>
            </w:tcMar>
            <w:shd w:fill="F4F6F8"/>
          </w:tcPr>
          <w:p>
            <w:pPr>
              <w:spacing w:after="0" w:line="240" w:lineRule="auto"/>
            </w:pPr>
            <w:r>
              <w:rPr>
                <w:color w:val="172033"/>
                <w:sz w:val="16"/>
              </w:rPr>
              <w:t>Jev times out or returns invalid data</w:t>
            </w:r>
          </w:p>
        </w:tc>
        <w:tc>
          <w:tcPr>
            <w:tcW w:type="dxa" w:w="3408"/>
            <w:vAlign w:val="center"/>
            <w:tcMar>
              <w:top w:w="100" w:type="dxa"/>
              <w:start w:w="120" w:type="dxa"/>
              <w:bottom w:w="100" w:type="dxa"/>
              <w:end w:w="120" w:type="dxa"/>
            </w:tcMar>
            <w:shd w:fill="F4F6F8"/>
          </w:tcPr>
          <w:p>
            <w:pPr>
              <w:spacing w:after="0" w:line="240" w:lineRule="auto"/>
            </w:pPr>
            <w:r>
              <w:rPr>
                <w:color w:val="172033"/>
                <w:sz w:val="16"/>
              </w:rPr>
              <w:t>Persist a HOLD fallback and provider error; do not retry within the tick.</w:t>
            </w:r>
          </w:p>
        </w:tc>
        <w:tc>
          <w:tcPr>
            <w:tcW w:type="dxa" w:w="3408"/>
            <w:vAlign w:val="center"/>
            <w:tcMar>
              <w:top w:w="100" w:type="dxa"/>
              <w:start w:w="120" w:type="dxa"/>
              <w:bottom w:w="100" w:type="dxa"/>
              <w:end w:w="120" w:type="dxa"/>
            </w:tcMar>
            <w:shd w:fill="F4F6F8"/>
          </w:tcPr>
          <w:p>
            <w:pPr>
              <w:spacing w:after="0" w:line="240" w:lineRule="auto"/>
            </w:pPr>
            <w:r>
              <w:rPr>
                <w:color w:val="172033"/>
                <w:sz w:val="16"/>
              </w:rPr>
              <w:t>Bounded timeout and strict response validation.</w:t>
            </w:r>
          </w:p>
        </w:tc>
      </w:tr>
      <w:tr>
        <w:trPr>
          <w:cantSplit/>
        </w:trPr>
        <w:tc>
          <w:tcPr>
            <w:tcW w:type="dxa" w:w="3408"/>
            <w:vAlign w:val="center"/>
            <w:tcMar>
              <w:top w:w="100" w:type="dxa"/>
              <w:start w:w="120" w:type="dxa"/>
              <w:bottom w:w="100" w:type="dxa"/>
              <w:end w:w="120" w:type="dxa"/>
            </w:tcMar>
          </w:tcPr>
          <w:p>
            <w:pPr>
              <w:spacing w:after="0" w:line="240" w:lineRule="auto"/>
            </w:pPr>
            <w:r>
              <w:rPr>
                <w:color w:val="172033"/>
                <w:sz w:val="16"/>
              </w:rPr>
              <w:t>SQLite transaction fails</w:t>
            </w:r>
          </w:p>
        </w:tc>
        <w:tc>
          <w:tcPr>
            <w:tcW w:type="dxa" w:w="3408"/>
            <w:vAlign w:val="center"/>
            <w:tcMar>
              <w:top w:w="100" w:type="dxa"/>
              <w:start w:w="120" w:type="dxa"/>
              <w:bottom w:w="100" w:type="dxa"/>
              <w:end w:w="120" w:type="dxa"/>
            </w:tcMar>
          </w:tcPr>
          <w:p>
            <w:pPr>
              <w:spacing w:after="0" w:line="240" w:lineRule="auto"/>
            </w:pPr>
            <w:r>
              <w:rPr>
                <w:color w:val="172033"/>
                <w:sz w:val="16"/>
              </w:rPr>
              <w:t>No partial order, fill, position, ledger, or outbox state is visible.</w:t>
            </w:r>
          </w:p>
        </w:tc>
        <w:tc>
          <w:tcPr>
            <w:tcW w:type="dxa" w:w="3408"/>
            <w:vAlign w:val="center"/>
            <w:tcMar>
              <w:top w:w="100" w:type="dxa"/>
              <w:start w:w="120" w:type="dxa"/>
              <w:bottom w:w="100" w:type="dxa"/>
              <w:end w:w="120" w:type="dxa"/>
            </w:tcMar>
          </w:tcPr>
          <w:p>
            <w:pPr>
              <w:spacing w:after="0" w:line="240" w:lineRule="auto"/>
            </w:pPr>
            <w:r>
              <w:rPr>
                <w:color w:val="172033"/>
                <w:sz w:val="16"/>
              </w:rPr>
              <w:t>One atomic transaction with rollback.</w:t>
            </w:r>
          </w:p>
        </w:tc>
      </w:tr>
      <w:tr>
        <w:trPr>
          <w:cantSplit/>
        </w:trPr>
        <w:tc>
          <w:tcPr>
            <w:tcW w:type="dxa" w:w="3408"/>
            <w:vAlign w:val="center"/>
            <w:tcMar>
              <w:top w:w="100" w:type="dxa"/>
              <w:start w:w="120" w:type="dxa"/>
              <w:bottom w:w="100" w:type="dxa"/>
              <w:end w:w="120" w:type="dxa"/>
            </w:tcMar>
            <w:shd w:fill="F4F6F8"/>
          </w:tcPr>
          <w:p>
            <w:pPr>
              <w:spacing w:after="0" w:line="240" w:lineRule="auto"/>
            </w:pPr>
            <w:r>
              <w:rPr>
                <w:color w:val="172033"/>
                <w:sz w:val="16"/>
              </w:rPr>
              <w:t>Telegram send fails</w:t>
            </w:r>
          </w:p>
        </w:tc>
        <w:tc>
          <w:tcPr>
            <w:tcW w:type="dxa" w:w="3408"/>
            <w:vAlign w:val="center"/>
            <w:tcMar>
              <w:top w:w="100" w:type="dxa"/>
              <w:start w:w="120" w:type="dxa"/>
              <w:bottom w:w="100" w:type="dxa"/>
              <w:end w:w="120" w:type="dxa"/>
            </w:tcMar>
            <w:shd w:fill="F4F6F8"/>
          </w:tcPr>
          <w:p>
            <w:pPr>
              <w:spacing w:after="0" w:line="240" w:lineRule="auto"/>
            </w:pPr>
            <w:r>
              <w:rPr>
                <w:color w:val="172033"/>
                <w:sz w:val="16"/>
              </w:rPr>
              <w:t>Trading record remains committed; notification retries with backoff and deduplication.</w:t>
            </w:r>
          </w:p>
        </w:tc>
        <w:tc>
          <w:tcPr>
            <w:tcW w:type="dxa" w:w="3408"/>
            <w:vAlign w:val="center"/>
            <w:tcMar>
              <w:top w:w="100" w:type="dxa"/>
              <w:start w:w="120" w:type="dxa"/>
              <w:bottom w:w="100" w:type="dxa"/>
              <w:end w:w="120" w:type="dxa"/>
            </w:tcMar>
            <w:shd w:fill="F4F6F8"/>
          </w:tcPr>
          <w:p>
            <w:pPr>
              <w:spacing w:after="0" w:line="240" w:lineRule="auto"/>
            </w:pPr>
            <w:r>
              <w:rPr>
                <w:color w:val="172033"/>
                <w:sz w:val="16"/>
              </w:rPr>
              <w:t>Transactional outbox and delivery key.</w:t>
            </w:r>
          </w:p>
        </w:tc>
      </w:tr>
      <w:tr>
        <w:trPr>
          <w:cantSplit/>
        </w:trPr>
        <w:tc>
          <w:tcPr>
            <w:tcW w:type="dxa" w:w="3408"/>
            <w:vAlign w:val="center"/>
            <w:tcMar>
              <w:top w:w="100" w:type="dxa"/>
              <w:start w:w="120" w:type="dxa"/>
              <w:bottom w:w="100" w:type="dxa"/>
              <w:end w:w="120" w:type="dxa"/>
            </w:tcMar>
          </w:tcPr>
          <w:p>
            <w:pPr>
              <w:spacing w:after="0" w:line="240" w:lineRule="auto"/>
            </w:pPr>
            <w:r>
              <w:rPr>
                <w:color w:val="172033"/>
                <w:sz w:val="16"/>
              </w:rPr>
              <w:t>Configuration changes during a decision</w:t>
            </w:r>
          </w:p>
        </w:tc>
        <w:tc>
          <w:tcPr>
            <w:tcW w:type="dxa" w:w="3408"/>
            <w:vAlign w:val="center"/>
            <w:tcMar>
              <w:top w:w="100" w:type="dxa"/>
              <w:start w:w="120" w:type="dxa"/>
              <w:bottom w:w="100" w:type="dxa"/>
              <w:end w:w="120" w:type="dxa"/>
            </w:tcMar>
          </w:tcPr>
          <w:p>
            <w:pPr>
              <w:spacing w:after="0" w:line="240" w:lineRule="auto"/>
            </w:pPr>
            <w:r>
              <w:rPr>
                <w:color w:val="172033"/>
                <w:sz w:val="16"/>
              </w:rPr>
              <w:t>The versions captured when the decision started remain authoritative.</w:t>
            </w:r>
          </w:p>
        </w:tc>
        <w:tc>
          <w:tcPr>
            <w:tcW w:type="dxa" w:w="3408"/>
            <w:vAlign w:val="center"/>
            <w:tcMar>
              <w:top w:w="100" w:type="dxa"/>
              <w:start w:w="120" w:type="dxa"/>
              <w:bottom w:w="100" w:type="dxa"/>
              <w:end w:w="120" w:type="dxa"/>
            </w:tcMar>
          </w:tcPr>
          <w:p>
            <w:pPr>
              <w:spacing w:after="0" w:line="240" w:lineRule="auto"/>
            </w:pPr>
            <w:r>
              <w:rPr>
                <w:color w:val="172033"/>
                <w:sz w:val="16"/>
              </w:rPr>
              <w:t>Immutable config/rule IDs on every decision.</w:t>
            </w:r>
          </w:p>
        </w:tc>
      </w:tr>
      <w:tr>
        <w:trPr>
          <w:cantSplit/>
        </w:trPr>
        <w:tc>
          <w:tcPr>
            <w:tcW w:type="dxa" w:w="3408"/>
            <w:vAlign w:val="center"/>
            <w:tcMar>
              <w:top w:w="100" w:type="dxa"/>
              <w:start w:w="120" w:type="dxa"/>
              <w:bottom w:w="100" w:type="dxa"/>
              <w:end w:w="120" w:type="dxa"/>
            </w:tcMar>
            <w:shd w:fill="F4F6F8"/>
          </w:tcPr>
          <w:p>
            <w:pPr>
              <w:spacing w:after="0" w:line="240" w:lineRule="auto"/>
            </w:pPr>
            <w:r>
              <w:rPr>
                <w:color w:val="172033"/>
                <w:sz w:val="16"/>
              </w:rPr>
              <w:t>Worker restarts with an open position</w:t>
            </w:r>
          </w:p>
        </w:tc>
        <w:tc>
          <w:tcPr>
            <w:tcW w:type="dxa" w:w="3408"/>
            <w:vAlign w:val="center"/>
            <w:tcMar>
              <w:top w:w="100" w:type="dxa"/>
              <w:start w:w="120" w:type="dxa"/>
              <w:bottom w:w="100" w:type="dxa"/>
              <w:end w:w="120" w:type="dxa"/>
            </w:tcMar>
            <w:shd w:fill="F4F6F8"/>
          </w:tcPr>
          <w:p>
            <w:pPr>
              <w:spacing w:after="0" w:line="240" w:lineRule="auto"/>
            </w:pPr>
            <w:r>
              <w:rPr>
                <w:color w:val="172033"/>
                <w:sz w:val="16"/>
              </w:rPr>
              <w:t>Rebuild state from ledger, verify the latest position snapshot, then resume decision ticks.</w:t>
            </w:r>
          </w:p>
        </w:tc>
        <w:tc>
          <w:tcPr>
            <w:tcW w:type="dxa" w:w="3408"/>
            <w:vAlign w:val="center"/>
            <w:tcMar>
              <w:top w:w="100" w:type="dxa"/>
              <w:start w:w="120" w:type="dxa"/>
              <w:bottom w:w="100" w:type="dxa"/>
              <w:end w:w="120" w:type="dxa"/>
            </w:tcMar>
            <w:shd w:fill="F4F6F8"/>
          </w:tcPr>
          <w:p>
            <w:pPr>
              <w:spacing w:after="0" w:line="240" w:lineRule="auto"/>
            </w:pPr>
            <w:r>
              <w:rPr>
                <w:color w:val="172033"/>
                <w:sz w:val="16"/>
              </w:rPr>
              <w:t>Event/ledger reconciliation before scheduler readiness.</w:t>
            </w:r>
          </w:p>
        </w:tc>
      </w:tr>
      <w:tr>
        <w:trPr>
          <w:cantSplit/>
        </w:trPr>
        <w:tc>
          <w:tcPr>
            <w:tcW w:type="dxa" w:w="3408"/>
            <w:vAlign w:val="center"/>
            <w:tcMar>
              <w:top w:w="100" w:type="dxa"/>
              <w:start w:w="120" w:type="dxa"/>
              <w:bottom w:w="100" w:type="dxa"/>
              <w:end w:w="120" w:type="dxa"/>
            </w:tcMar>
          </w:tcPr>
          <w:p>
            <w:pPr>
              <w:spacing w:after="0" w:line="240" w:lineRule="auto"/>
            </w:pPr>
            <w:r>
              <w:rPr>
                <w:color w:val="172033"/>
                <w:sz w:val="16"/>
              </w:rPr>
              <w:t>Market stream reconnects</w:t>
            </w:r>
          </w:p>
        </w:tc>
        <w:tc>
          <w:tcPr>
            <w:tcW w:type="dxa" w:w="3408"/>
            <w:vAlign w:val="center"/>
            <w:tcMar>
              <w:top w:w="100" w:type="dxa"/>
              <w:start w:w="120" w:type="dxa"/>
              <w:bottom w:w="100" w:type="dxa"/>
              <w:end w:w="120" w:type="dxa"/>
            </w:tcMar>
          </w:tcPr>
          <w:p>
            <w:pPr>
              <w:spacing w:after="0" w:line="240" w:lineRule="auto"/>
            </w:pPr>
            <w:r>
              <w:rPr>
                <w:color w:val="172033"/>
                <w:sz w:val="16"/>
              </w:rPr>
              <w:t>New entries remain blocked until snapshots are fresh and sequence gaps are resolved.</w:t>
            </w:r>
          </w:p>
        </w:tc>
        <w:tc>
          <w:tcPr>
            <w:tcW w:type="dxa" w:w="3408"/>
            <w:vAlign w:val="center"/>
            <w:tcMar>
              <w:top w:w="100" w:type="dxa"/>
              <w:start w:w="120" w:type="dxa"/>
              <w:bottom w:w="100" w:type="dxa"/>
              <w:end w:w="120" w:type="dxa"/>
            </w:tcMar>
          </w:tcPr>
          <w:p>
            <w:pPr>
              <w:spacing w:after="0" w:line="240" w:lineRule="auto"/>
            </w:pPr>
            <w:r>
              <w:rPr>
                <w:color w:val="172033"/>
                <w:sz w:val="16"/>
              </w:rPr>
              <w:t>Stream sequence tracking and readiness gate.</w:t>
            </w:r>
          </w:p>
        </w:tc>
      </w:tr>
      <w:tr>
        <w:trPr>
          <w:cantSplit/>
        </w:trPr>
        <w:tc>
          <w:tcPr>
            <w:tcW w:type="dxa" w:w="3408"/>
            <w:vAlign w:val="center"/>
            <w:tcMar>
              <w:top w:w="100" w:type="dxa"/>
              <w:start w:w="120" w:type="dxa"/>
              <w:bottom w:w="100" w:type="dxa"/>
              <w:end w:w="120" w:type="dxa"/>
            </w:tcMar>
            <w:shd w:fill="F4F6F8"/>
          </w:tcPr>
          <w:p>
            <w:pPr>
              <w:spacing w:after="0" w:line="240" w:lineRule="auto"/>
            </w:pPr>
            <w:r>
              <w:rPr>
                <w:color w:val="172033"/>
                <w:sz w:val="16"/>
              </w:rPr>
              <w:t>Replay is requested</w:t>
            </w:r>
          </w:p>
        </w:tc>
        <w:tc>
          <w:tcPr>
            <w:tcW w:type="dxa" w:w="3408"/>
            <w:vAlign w:val="center"/>
            <w:tcMar>
              <w:top w:w="100" w:type="dxa"/>
              <w:start w:w="120" w:type="dxa"/>
              <w:bottom w:w="100" w:type="dxa"/>
              <w:end w:w="120" w:type="dxa"/>
            </w:tcMar>
            <w:shd w:fill="F4F6F8"/>
          </w:tcPr>
          <w:p>
            <w:pPr>
              <w:spacing w:after="0" w:line="240" w:lineRule="auto"/>
            </w:pPr>
            <w:r>
              <w:rPr>
                <w:color w:val="172033"/>
                <w:sz w:val="16"/>
              </w:rPr>
              <w:t>Reuse stored snapshots, rule/config versions, model outputs, and execution assumptions.</w:t>
            </w:r>
          </w:p>
        </w:tc>
        <w:tc>
          <w:tcPr>
            <w:tcW w:type="dxa" w:w="3408"/>
            <w:vAlign w:val="center"/>
            <w:tcMar>
              <w:top w:w="100" w:type="dxa"/>
              <w:start w:w="120" w:type="dxa"/>
              <w:bottom w:w="100" w:type="dxa"/>
              <w:end w:w="120" w:type="dxa"/>
            </w:tcMar>
            <w:shd w:fill="F4F6F8"/>
          </w:tcPr>
          <w:p>
            <w:pPr>
              <w:spacing w:after="0" w:line="240" w:lineRule="auto"/>
            </w:pPr>
            <w:r>
              <w:rPr>
                <w:color w:val="172033"/>
                <w:sz w:val="16"/>
              </w:rPr>
              <w:t>Immutable provenance and content hashes.</w:t>
            </w:r>
          </w:p>
        </w:tc>
      </w:tr>
    </w:tbl>
    <w:p>
      <w:pPr>
        <w:spacing w:after="0"/>
      </w:pPr>
    </w:p>
    <w:p>
      <w:r>
        <w:t>Internal times are UTC. Event time determines market ordering; receive time measures latency. The system never silently substitutes receive time for a missing event time.</w:t>
      </w:r>
    </w:p>
    <w:p>
      <w:pPr>
        <w:pStyle w:val="Heading1"/>
      </w:pPr>
      <w:r>
        <w:rPr>
          <w:color w:val="0E3152"/>
        </w:rPr>
        <w:t>8. Security and Privacy Considerations</w:t>
      </w:r>
    </w:p>
    <w:p>
      <w:pPr>
        <w:spacing w:after="60"/>
        <w:ind w:left="288" w:hanging="187"/>
      </w:pPr>
      <w:r>
        <w:t>• The VPS exposes no public dashboard port. Operators connect through an SSH tunnel or</w:t>
      </w:r>
      <w:r>
        <w:t xml:space="preserve"> private VPN; FastAPI binds to localhost by default.</w:t>
      </w:r>
    </w:p>
    <w:p>
      <w:pPr>
        <w:spacing w:after="60"/>
        <w:ind w:left="288" w:hanging="187"/>
      </w:pPr>
      <w:r>
        <w:t>• API credentials live in a root-readable secrets file or container secret, outside</w:t>
      </w:r>
      <w:r>
        <w:t xml:space="preserve"> the repository and database. Logs redact authorization headers and secret-shaped</w:t>
      </w:r>
      <w:r>
        <w:t xml:space="preserve"> fields.</w:t>
      </w:r>
    </w:p>
    <w:p>
      <w:pPr>
        <w:spacing w:after="60"/>
        <w:ind w:left="288" w:hanging="187"/>
      </w:pPr>
      <w:r>
        <w:t>• V1 does not store a Binance trading key. Public market-data access is sufficient for</w:t>
      </w:r>
      <w:r>
        <w:t xml:space="preserve"> the paper venue.</w:t>
      </w:r>
    </w:p>
    <w:p>
      <w:pPr>
        <w:spacing w:after="60"/>
        <w:ind w:left="288" w:hanging="187"/>
      </w:pPr>
      <w:r>
        <w:t>• RSS, Reddit, X, and all article bodies are untrusted text. They are length-limited,</w:t>
      </w:r>
      <w:r>
        <w:t xml:space="preserve"> tagged by source, passed only in data fields, and prevented from selecting tools,</w:t>
      </w:r>
      <w:r>
        <w:t xml:space="preserve"> schemas, models, URLs, or system prompts.</w:t>
      </w:r>
    </w:p>
    <w:p>
      <w:pPr>
        <w:spacing w:after="60"/>
        <w:ind w:left="288" w:hanging="187"/>
      </w:pPr>
      <w:r>
        <w:t>• Generated rules use strict JSON schemas with unknown fields forbidden. No expression</w:t>
      </w:r>
      <w:r>
        <w:t xml:space="preserve"> evaluation, dynamic imports, subprocesses, or generated Python are supported.</w:t>
      </w:r>
    </w:p>
    <w:p>
      <w:pPr>
        <w:spacing w:after="60"/>
        <w:ind w:left="288" w:hanging="187"/>
      </w:pPr>
      <w:r>
        <w:t>• Operator commands use session authentication, CSRF protection, confirmation for</w:t>
      </w:r>
      <w:r>
        <w:t xml:space="preserve"> flatten/rollback, and immutable audit records.</w:t>
      </w:r>
    </w:p>
    <w:p>
      <w:pPr>
        <w:spacing w:after="60"/>
        <w:ind w:left="288" w:hanging="187"/>
      </w:pPr>
      <w:r>
        <w:t>• Raw social/news content has a 30-day retention default; normalized evidence and</w:t>
      </w:r>
      <w:r>
        <w:t xml:space="preserve"> hashes are retained with the evaluation record. Trading/audit records are retained</w:t>
      </w:r>
      <w:r>
        <w:t xml:space="preserve"> for the entire paper campaign.</w:t>
      </w:r>
    </w:p>
    <w:p>
      <w:pPr>
        <w:spacing w:after="60"/>
        <w:ind w:left="288" w:hanging="187"/>
      </w:pPr>
      <w:r>
        <w:t>• Backups are encrypted in transit and at rest, tested monthly, and never include</w:t>
      </w:r>
      <w:r>
        <w:t xml:space="preserve"> environment-secret files.</w:t>
      </w:r>
    </w:p>
    <w:p>
      <w:pPr>
        <w:pStyle w:val="Heading1"/>
      </w:pPr>
      <w:r>
        <w:rPr>
          <w:color w:val="0E3152"/>
        </w:rPr>
        <w:t>9. Operational Readiness</w:t>
      </w:r>
    </w:p>
    <w:tbl>
      <w:tblPr>
        <w:tblW w:type="auto" w:w="0"/>
        <w:jc w:val="center"/>
        <w:tblLayout w:type="autofit"/>
        <w:tblLook w:firstColumn="1" w:firstRow="1" w:lastColumn="0" w:lastRow="0" w:noHBand="0" w:noVBand="1" w:val="04A0"/>
      </w:tblPr>
      <w:tblGrid>
        <w:gridCol w:w="3408"/>
        <w:gridCol w:w="3408"/>
        <w:gridCol w:w="3408"/>
      </w:tblGrid>
      <w:tr>
        <w:trPr>
          <w:cantSplit/>
          <w:tblHeader w:val="true"/>
        </w:trPr>
        <w:tc>
          <w:tcPr>
            <w:tcW w:type="dxa" w:w="3408"/>
            <w:vAlign w:val="center"/>
            <w:tcMar>
              <w:top w:w="100" w:type="dxa"/>
              <w:start w:w="120" w:type="dxa"/>
              <w:bottom w:w="100" w:type="dxa"/>
              <w:end w:w="120" w:type="dxa"/>
            </w:tcMar>
            <w:shd w:fill="0E3152"/>
          </w:tcPr>
          <w:p>
            <w:pPr>
              <w:spacing w:after="0" w:line="240" w:lineRule="auto"/>
            </w:pPr>
            <w:r>
              <w:rPr>
                <w:b/>
                <w:color w:val="FFFFFF"/>
                <w:sz w:val="16"/>
              </w:rPr>
              <w:t>Signal</w:t>
            </w:r>
          </w:p>
        </w:tc>
        <w:tc>
          <w:tcPr>
            <w:tcW w:type="dxa" w:w="3408"/>
            <w:vAlign w:val="center"/>
            <w:tcMar>
              <w:top w:w="100" w:type="dxa"/>
              <w:start w:w="120" w:type="dxa"/>
              <w:bottom w:w="100" w:type="dxa"/>
              <w:end w:w="120" w:type="dxa"/>
            </w:tcMar>
            <w:shd w:fill="0E3152"/>
          </w:tcPr>
          <w:p>
            <w:pPr>
              <w:spacing w:after="0" w:line="240" w:lineRule="auto"/>
            </w:pPr>
            <w:r>
              <w:rPr>
                <w:b/>
                <w:color w:val="FFFFFF"/>
                <w:sz w:val="16"/>
              </w:rPr>
              <w:t>SLO or alert</w:t>
            </w:r>
          </w:p>
        </w:tc>
        <w:tc>
          <w:tcPr>
            <w:tcW w:type="dxa" w:w="3408"/>
            <w:vAlign w:val="center"/>
            <w:tcMar>
              <w:top w:w="100" w:type="dxa"/>
              <w:start w:w="120" w:type="dxa"/>
              <w:bottom w:w="100" w:type="dxa"/>
              <w:end w:w="120" w:type="dxa"/>
            </w:tcMar>
            <w:shd w:fill="0E3152"/>
          </w:tcPr>
          <w:p>
            <w:pPr>
              <w:spacing w:after="0" w:line="240" w:lineRule="auto"/>
            </w:pPr>
            <w:r>
              <w:rPr>
                <w:b/>
                <w:color w:val="FFFFFF"/>
                <w:sz w:val="16"/>
              </w:rPr>
              <w:t>Launch gate</w:t>
            </w:r>
          </w:p>
        </w:tc>
      </w:tr>
      <w:tr>
        <w:trPr>
          <w:cantSplit/>
        </w:trPr>
        <w:tc>
          <w:tcPr>
            <w:tcW w:type="dxa" w:w="3408"/>
            <w:vAlign w:val="center"/>
            <w:tcMar>
              <w:top w:w="100" w:type="dxa"/>
              <w:start w:w="120" w:type="dxa"/>
              <w:bottom w:w="100" w:type="dxa"/>
              <w:end w:w="120" w:type="dxa"/>
            </w:tcMar>
          </w:tcPr>
          <w:p>
            <w:pPr>
              <w:spacing w:after="0" w:line="240" w:lineRule="auto"/>
            </w:pPr>
            <w:r>
              <w:rPr>
                <w:color w:val="172033"/>
                <w:sz w:val="16"/>
              </w:rPr>
              <w:t>Decision-loop availability</w:t>
            </w:r>
          </w:p>
        </w:tc>
        <w:tc>
          <w:tcPr>
            <w:tcW w:type="dxa" w:w="3408"/>
            <w:vAlign w:val="center"/>
            <w:tcMar>
              <w:top w:w="100" w:type="dxa"/>
              <w:start w:w="120" w:type="dxa"/>
              <w:bottom w:w="100" w:type="dxa"/>
              <w:end w:w="120" w:type="dxa"/>
            </w:tcMar>
          </w:tcPr>
          <w:p>
            <w:pPr>
              <w:spacing w:after="0" w:line="240" w:lineRule="auto"/>
            </w:pPr>
            <w:r>
              <w:rPr>
                <w:color w:val="172033"/>
                <w:sz w:val="16"/>
              </w:rPr>
              <w:t>At least 99% of scheduled ticks finish with a persisted decision or explicit blocked reason over 24 hours.</w:t>
            </w:r>
          </w:p>
        </w:tc>
        <w:tc>
          <w:tcPr>
            <w:tcW w:type="dxa" w:w="3408"/>
            <w:vAlign w:val="center"/>
            <w:tcMar>
              <w:top w:w="100" w:type="dxa"/>
              <w:start w:w="120" w:type="dxa"/>
              <w:bottom w:w="100" w:type="dxa"/>
              <w:end w:w="120" w:type="dxa"/>
            </w:tcMar>
          </w:tcPr>
          <w:p>
            <w:pPr>
              <w:spacing w:after="0" w:line="240" w:lineRule="auto"/>
            </w:pPr>
            <w:r>
              <w:rPr>
                <w:color w:val="172033"/>
                <w:sz w:val="16"/>
              </w:rPr>
              <w:t>Required</w:t>
            </w:r>
          </w:p>
        </w:tc>
      </w:tr>
      <w:tr>
        <w:trPr>
          <w:cantSplit/>
        </w:trPr>
        <w:tc>
          <w:tcPr>
            <w:tcW w:type="dxa" w:w="3408"/>
            <w:vAlign w:val="center"/>
            <w:tcMar>
              <w:top w:w="100" w:type="dxa"/>
              <w:start w:w="120" w:type="dxa"/>
              <w:bottom w:w="100" w:type="dxa"/>
              <w:end w:w="120" w:type="dxa"/>
            </w:tcMar>
            <w:shd w:fill="F4F6F8"/>
          </w:tcPr>
          <w:p>
            <w:pPr>
              <w:spacing w:after="0" w:line="240" w:lineRule="auto"/>
            </w:pPr>
            <w:r>
              <w:rPr>
                <w:color w:val="172033"/>
                <w:sz w:val="16"/>
              </w:rPr>
              <w:t>Snapshot freshness</w:t>
            </w:r>
          </w:p>
        </w:tc>
        <w:tc>
          <w:tcPr>
            <w:tcW w:type="dxa" w:w="3408"/>
            <w:vAlign w:val="center"/>
            <w:tcMar>
              <w:top w:w="100" w:type="dxa"/>
              <w:start w:w="120" w:type="dxa"/>
              <w:bottom w:w="100" w:type="dxa"/>
              <w:end w:w="120" w:type="dxa"/>
            </w:tcMar>
            <w:shd w:fill="F4F6F8"/>
          </w:tcPr>
          <w:p>
            <w:pPr>
              <w:spacing w:after="0" w:line="240" w:lineRule="auto"/>
            </w:pPr>
            <w:r>
              <w:rPr>
                <w:color w:val="172033"/>
                <w:sz w:val="16"/>
              </w:rPr>
              <w:t>At least 99% required-data coverage; alert after 60 seconds of continuous staleness.</w:t>
            </w:r>
          </w:p>
        </w:tc>
        <w:tc>
          <w:tcPr>
            <w:tcW w:type="dxa" w:w="3408"/>
            <w:vAlign w:val="center"/>
            <w:tcMar>
              <w:top w:w="100" w:type="dxa"/>
              <w:start w:w="120" w:type="dxa"/>
              <w:bottom w:w="100" w:type="dxa"/>
              <w:end w:w="120" w:type="dxa"/>
            </w:tcMar>
            <w:shd w:fill="F4F6F8"/>
          </w:tcPr>
          <w:p>
            <w:pPr>
              <w:spacing w:after="0" w:line="240" w:lineRule="auto"/>
            </w:pPr>
            <w:r>
              <w:rPr>
                <w:color w:val="172033"/>
                <w:sz w:val="16"/>
              </w:rPr>
              <w:t>Required</w:t>
            </w:r>
          </w:p>
        </w:tc>
      </w:tr>
      <w:tr>
        <w:trPr>
          <w:cantSplit/>
        </w:trPr>
        <w:tc>
          <w:tcPr>
            <w:tcW w:type="dxa" w:w="3408"/>
            <w:vAlign w:val="center"/>
            <w:tcMar>
              <w:top w:w="100" w:type="dxa"/>
              <w:start w:w="120" w:type="dxa"/>
              <w:bottom w:w="100" w:type="dxa"/>
              <w:end w:w="120" w:type="dxa"/>
            </w:tcMar>
          </w:tcPr>
          <w:p>
            <w:pPr>
              <w:spacing w:after="0" w:line="240" w:lineRule="auto"/>
            </w:pPr>
            <w:r>
              <w:rPr>
                <w:color w:val="172033"/>
                <w:sz w:val="16"/>
              </w:rPr>
              <w:t>Decision latency</w:t>
            </w:r>
          </w:p>
        </w:tc>
        <w:tc>
          <w:tcPr>
            <w:tcW w:type="dxa" w:w="3408"/>
            <w:vAlign w:val="center"/>
            <w:tcMar>
              <w:top w:w="100" w:type="dxa"/>
              <w:start w:w="120" w:type="dxa"/>
              <w:bottom w:w="100" w:type="dxa"/>
              <w:end w:w="120" w:type="dxa"/>
            </w:tcMar>
          </w:tcPr>
          <w:p>
            <w:pPr>
              <w:spacing w:after="0" w:line="240" w:lineRule="auto"/>
            </w:pPr>
            <w:r>
              <w:rPr>
                <w:color w:val="172033"/>
                <w:sz w:val="16"/>
              </w:rPr>
              <w:t>p95 under 3 seconds and always below the five-second decision budget; timeout becomes HOLD.</w:t>
            </w:r>
          </w:p>
        </w:tc>
        <w:tc>
          <w:tcPr>
            <w:tcW w:type="dxa" w:w="3408"/>
            <w:vAlign w:val="center"/>
            <w:tcMar>
              <w:top w:w="100" w:type="dxa"/>
              <w:start w:w="120" w:type="dxa"/>
              <w:bottom w:w="100" w:type="dxa"/>
              <w:end w:w="120" w:type="dxa"/>
            </w:tcMar>
          </w:tcPr>
          <w:p>
            <w:pPr>
              <w:spacing w:after="0" w:line="240" w:lineRule="auto"/>
            </w:pPr>
            <w:r>
              <w:rPr>
                <w:color w:val="172033"/>
                <w:sz w:val="16"/>
              </w:rPr>
              <w:t>Required</w:t>
            </w:r>
          </w:p>
        </w:tc>
      </w:tr>
      <w:tr>
        <w:trPr>
          <w:cantSplit/>
        </w:trPr>
        <w:tc>
          <w:tcPr>
            <w:tcW w:type="dxa" w:w="3408"/>
            <w:vAlign w:val="center"/>
            <w:tcMar>
              <w:top w:w="100" w:type="dxa"/>
              <w:start w:w="120" w:type="dxa"/>
              <w:bottom w:w="100" w:type="dxa"/>
              <w:end w:w="120" w:type="dxa"/>
            </w:tcMar>
            <w:shd w:fill="F4F6F8"/>
          </w:tcPr>
          <w:p>
            <w:pPr>
              <w:spacing w:after="0" w:line="240" w:lineRule="auto"/>
            </w:pPr>
            <w:r>
              <w:rPr>
                <w:color w:val="172033"/>
                <w:sz w:val="16"/>
              </w:rPr>
              <w:t>Duplicate execution</w:t>
            </w:r>
          </w:p>
        </w:tc>
        <w:tc>
          <w:tcPr>
            <w:tcW w:type="dxa" w:w="3408"/>
            <w:vAlign w:val="center"/>
            <w:tcMar>
              <w:top w:w="100" w:type="dxa"/>
              <w:start w:w="120" w:type="dxa"/>
              <w:bottom w:w="100" w:type="dxa"/>
              <w:end w:w="120" w:type="dxa"/>
            </w:tcMar>
            <w:shd w:fill="F4F6F8"/>
          </w:tcPr>
          <w:p>
            <w:pPr>
              <w:spacing w:after="0" w:line="240" w:lineRule="auto"/>
            </w:pPr>
            <w:r>
              <w:rPr>
                <w:color w:val="172033"/>
                <w:sz w:val="16"/>
              </w:rPr>
              <w:t>Zero duplicate fills for one idempotency key.</w:t>
            </w:r>
          </w:p>
        </w:tc>
        <w:tc>
          <w:tcPr>
            <w:tcW w:type="dxa" w:w="3408"/>
            <w:vAlign w:val="center"/>
            <w:tcMar>
              <w:top w:w="100" w:type="dxa"/>
              <w:start w:w="120" w:type="dxa"/>
              <w:bottom w:w="100" w:type="dxa"/>
              <w:end w:w="120" w:type="dxa"/>
            </w:tcMar>
            <w:shd w:fill="F4F6F8"/>
          </w:tcPr>
          <w:p>
            <w:pPr>
              <w:spacing w:after="0" w:line="240" w:lineRule="auto"/>
            </w:pPr>
            <w:r>
              <w:rPr>
                <w:color w:val="172033"/>
                <w:sz w:val="16"/>
              </w:rPr>
              <w:t>Required</w:t>
            </w:r>
          </w:p>
        </w:tc>
      </w:tr>
      <w:tr>
        <w:trPr>
          <w:cantSplit/>
        </w:trPr>
        <w:tc>
          <w:tcPr>
            <w:tcW w:type="dxa" w:w="3408"/>
            <w:vAlign w:val="center"/>
            <w:tcMar>
              <w:top w:w="100" w:type="dxa"/>
              <w:start w:w="120" w:type="dxa"/>
              <w:bottom w:w="100" w:type="dxa"/>
              <w:end w:w="120" w:type="dxa"/>
            </w:tcMar>
          </w:tcPr>
          <w:p>
            <w:pPr>
              <w:spacing w:after="0" w:line="240" w:lineRule="auto"/>
            </w:pPr>
            <w:r>
              <w:rPr>
                <w:color w:val="172033"/>
                <w:sz w:val="16"/>
              </w:rPr>
              <w:t>Ledger integrity</w:t>
            </w:r>
          </w:p>
        </w:tc>
        <w:tc>
          <w:tcPr>
            <w:tcW w:type="dxa" w:w="3408"/>
            <w:vAlign w:val="center"/>
            <w:tcMar>
              <w:top w:w="100" w:type="dxa"/>
              <w:start w:w="120" w:type="dxa"/>
              <w:bottom w:w="100" w:type="dxa"/>
              <w:end w:w="120" w:type="dxa"/>
            </w:tcMar>
          </w:tcPr>
          <w:p>
            <w:pPr>
              <w:spacing w:after="0" w:line="240" w:lineRule="auto"/>
            </w:pPr>
            <w:r>
              <w:rPr>
                <w:color w:val="172033"/>
                <w:sz w:val="16"/>
              </w:rPr>
              <w:t>Equity, fills, funding, fees, and position reconcile on every restart and nightly.</w:t>
            </w:r>
          </w:p>
        </w:tc>
        <w:tc>
          <w:tcPr>
            <w:tcW w:type="dxa" w:w="3408"/>
            <w:vAlign w:val="center"/>
            <w:tcMar>
              <w:top w:w="100" w:type="dxa"/>
              <w:start w:w="120" w:type="dxa"/>
              <w:bottom w:w="100" w:type="dxa"/>
              <w:end w:w="120" w:type="dxa"/>
            </w:tcMar>
          </w:tcPr>
          <w:p>
            <w:pPr>
              <w:spacing w:after="0" w:line="240" w:lineRule="auto"/>
            </w:pPr>
            <w:r>
              <w:rPr>
                <w:color w:val="172033"/>
                <w:sz w:val="16"/>
              </w:rPr>
              <w:t>Required</w:t>
            </w:r>
          </w:p>
        </w:tc>
      </w:tr>
      <w:tr>
        <w:trPr>
          <w:cantSplit/>
        </w:trPr>
        <w:tc>
          <w:tcPr>
            <w:tcW w:type="dxa" w:w="3408"/>
            <w:vAlign w:val="center"/>
            <w:tcMar>
              <w:top w:w="100" w:type="dxa"/>
              <w:start w:w="120" w:type="dxa"/>
              <w:bottom w:w="100" w:type="dxa"/>
              <w:end w:w="120" w:type="dxa"/>
            </w:tcMar>
            <w:shd w:fill="F4F6F8"/>
          </w:tcPr>
          <w:p>
            <w:pPr>
              <w:spacing w:after="0" w:line="240" w:lineRule="auto"/>
            </w:pPr>
            <w:r>
              <w:rPr>
                <w:color w:val="172033"/>
                <w:sz w:val="16"/>
              </w:rPr>
              <w:t>Risk-policy drift</w:t>
            </w:r>
          </w:p>
        </w:tc>
        <w:tc>
          <w:tcPr>
            <w:tcW w:type="dxa" w:w="3408"/>
            <w:vAlign w:val="center"/>
            <w:tcMar>
              <w:top w:w="100" w:type="dxa"/>
              <w:start w:w="120" w:type="dxa"/>
              <w:bottom w:w="100" w:type="dxa"/>
              <w:end w:w="120" w:type="dxa"/>
            </w:tcMar>
            <w:shd w:fill="F4F6F8"/>
          </w:tcPr>
          <w:p>
            <w:pPr>
              <w:spacing w:after="0" w:line="240" w:lineRule="auto"/>
            </w:pPr>
            <w:r>
              <w:rPr>
                <w:color w:val="172033"/>
                <w:sz w:val="16"/>
              </w:rPr>
              <w:t>Runtime hard-risk hash must equal deployment manifest; any mismatch halts new entries.</w:t>
            </w:r>
          </w:p>
        </w:tc>
        <w:tc>
          <w:tcPr>
            <w:tcW w:type="dxa" w:w="3408"/>
            <w:vAlign w:val="center"/>
            <w:tcMar>
              <w:top w:w="100" w:type="dxa"/>
              <w:start w:w="120" w:type="dxa"/>
              <w:bottom w:w="100" w:type="dxa"/>
              <w:end w:w="120" w:type="dxa"/>
            </w:tcMar>
            <w:shd w:fill="F4F6F8"/>
          </w:tcPr>
          <w:p>
            <w:pPr>
              <w:spacing w:after="0" w:line="240" w:lineRule="auto"/>
            </w:pPr>
            <w:r>
              <w:rPr>
                <w:color w:val="172033"/>
                <w:sz w:val="16"/>
              </w:rPr>
              <w:t>Required</w:t>
            </w:r>
          </w:p>
        </w:tc>
      </w:tr>
      <w:tr>
        <w:trPr>
          <w:cantSplit/>
        </w:trPr>
        <w:tc>
          <w:tcPr>
            <w:tcW w:type="dxa" w:w="3408"/>
            <w:vAlign w:val="center"/>
            <w:tcMar>
              <w:top w:w="100" w:type="dxa"/>
              <w:start w:w="120" w:type="dxa"/>
              <w:bottom w:w="100" w:type="dxa"/>
              <w:end w:w="120" w:type="dxa"/>
            </w:tcMar>
          </w:tcPr>
          <w:p>
            <w:pPr>
              <w:spacing w:after="0" w:line="240" w:lineRule="auto"/>
            </w:pPr>
            <w:r>
              <w:rPr>
                <w:color w:val="172033"/>
                <w:sz w:val="16"/>
              </w:rPr>
              <w:t>Drawdown/liquidation safety</w:t>
            </w:r>
          </w:p>
        </w:tc>
        <w:tc>
          <w:tcPr>
            <w:tcW w:type="dxa" w:w="3408"/>
            <w:vAlign w:val="center"/>
            <w:tcMar>
              <w:top w:w="100" w:type="dxa"/>
              <w:start w:w="120" w:type="dxa"/>
              <w:bottom w:w="100" w:type="dxa"/>
              <w:end w:w="120" w:type="dxa"/>
            </w:tcMar>
          </w:tcPr>
          <w:p>
            <w:pPr>
              <w:spacing w:after="0" w:line="240" w:lineRule="auto"/>
            </w:pPr>
            <w:r>
              <w:rPr>
                <w:color w:val="172033"/>
                <w:sz w:val="16"/>
              </w:rPr>
              <w:t>8% drawdown and 10% emergency liquidation-buffer paths flatten and halt in fault-injection tests.</w:t>
            </w:r>
          </w:p>
        </w:tc>
        <w:tc>
          <w:tcPr>
            <w:tcW w:type="dxa" w:w="3408"/>
            <w:vAlign w:val="center"/>
            <w:tcMar>
              <w:top w:w="100" w:type="dxa"/>
              <w:start w:w="120" w:type="dxa"/>
              <w:bottom w:w="100" w:type="dxa"/>
              <w:end w:w="120" w:type="dxa"/>
            </w:tcMar>
          </w:tcPr>
          <w:p>
            <w:pPr>
              <w:spacing w:after="0" w:line="240" w:lineRule="auto"/>
            </w:pPr>
            <w:r>
              <w:rPr>
                <w:color w:val="172033"/>
                <w:sz w:val="16"/>
              </w:rPr>
              <w:t>Required</w:t>
            </w:r>
          </w:p>
        </w:tc>
      </w:tr>
      <w:tr>
        <w:trPr>
          <w:cantSplit/>
        </w:trPr>
        <w:tc>
          <w:tcPr>
            <w:tcW w:type="dxa" w:w="3408"/>
            <w:vAlign w:val="center"/>
            <w:tcMar>
              <w:top w:w="100" w:type="dxa"/>
              <w:start w:w="120" w:type="dxa"/>
              <w:bottom w:w="100" w:type="dxa"/>
              <w:end w:w="120" w:type="dxa"/>
            </w:tcMar>
            <w:shd w:fill="F4F6F8"/>
          </w:tcPr>
          <w:p>
            <w:pPr>
              <w:spacing w:after="0" w:line="240" w:lineRule="auto"/>
            </w:pPr>
            <w:r>
              <w:rPr>
                <w:color w:val="172033"/>
                <w:sz w:val="16"/>
              </w:rPr>
              <w:t>Notifications</w:t>
            </w:r>
          </w:p>
        </w:tc>
        <w:tc>
          <w:tcPr>
            <w:tcW w:type="dxa" w:w="3408"/>
            <w:vAlign w:val="center"/>
            <w:tcMar>
              <w:top w:w="100" w:type="dxa"/>
              <w:start w:w="120" w:type="dxa"/>
              <w:bottom w:w="100" w:type="dxa"/>
              <w:end w:w="120" w:type="dxa"/>
            </w:tcMar>
            <w:shd w:fill="F4F6F8"/>
          </w:tcPr>
          <w:p>
            <w:pPr>
              <w:spacing w:after="0" w:line="240" w:lineRule="auto"/>
            </w:pPr>
            <w:r>
              <w:rPr>
                <w:color w:val="172033"/>
                <w:sz w:val="16"/>
              </w:rPr>
              <w:t>Critical alerts delivered or visibly queued; duplicates suppressed.</w:t>
            </w:r>
          </w:p>
        </w:tc>
        <w:tc>
          <w:tcPr>
            <w:tcW w:type="dxa" w:w="3408"/>
            <w:vAlign w:val="center"/>
            <w:tcMar>
              <w:top w:w="100" w:type="dxa"/>
              <w:start w:w="120" w:type="dxa"/>
              <w:bottom w:w="100" w:type="dxa"/>
              <w:end w:w="120" w:type="dxa"/>
            </w:tcMar>
            <w:shd w:fill="F4F6F8"/>
          </w:tcPr>
          <w:p>
            <w:pPr>
              <w:spacing w:after="0" w:line="240" w:lineRule="auto"/>
            </w:pPr>
            <w:r>
              <w:rPr>
                <w:color w:val="172033"/>
                <w:sz w:val="16"/>
              </w:rPr>
              <w:t>Recommended</w:t>
            </w:r>
          </w:p>
        </w:tc>
      </w:tr>
      <w:tr>
        <w:trPr>
          <w:cantSplit/>
        </w:trPr>
        <w:tc>
          <w:tcPr>
            <w:tcW w:type="dxa" w:w="3408"/>
            <w:vAlign w:val="center"/>
            <w:tcMar>
              <w:top w:w="100" w:type="dxa"/>
              <w:start w:w="120" w:type="dxa"/>
              <w:bottom w:w="100" w:type="dxa"/>
              <w:end w:w="120" w:type="dxa"/>
            </w:tcMar>
          </w:tcPr>
          <w:p>
            <w:pPr>
              <w:spacing w:after="0" w:line="240" w:lineRule="auto"/>
            </w:pPr>
            <w:r>
              <w:rPr>
                <w:color w:val="172033"/>
                <w:sz w:val="16"/>
              </w:rPr>
              <w:t>Cost telemetry</w:t>
            </w:r>
          </w:p>
        </w:tc>
        <w:tc>
          <w:tcPr>
            <w:tcW w:type="dxa" w:w="3408"/>
            <w:vAlign w:val="center"/>
            <w:tcMar>
              <w:top w:w="100" w:type="dxa"/>
              <w:start w:w="120" w:type="dxa"/>
              <w:bottom w:w="100" w:type="dxa"/>
              <w:end w:w="120" w:type="dxa"/>
            </w:tcMar>
          </w:tcPr>
          <w:p>
            <w:pPr>
              <w:spacing w:after="0" w:line="240" w:lineRule="auto"/>
            </w:pPr>
            <w:r>
              <w:rPr>
                <w:color w:val="172033"/>
                <w:sz w:val="16"/>
              </w:rPr>
              <w:t>100% model calls record model, latency, token usage, and estimated cost.</w:t>
            </w:r>
          </w:p>
        </w:tc>
        <w:tc>
          <w:tcPr>
            <w:tcW w:type="dxa" w:w="3408"/>
            <w:vAlign w:val="center"/>
            <w:tcMar>
              <w:top w:w="100" w:type="dxa"/>
              <w:start w:w="120" w:type="dxa"/>
              <w:bottom w:w="100" w:type="dxa"/>
              <w:end w:w="120" w:type="dxa"/>
            </w:tcMar>
          </w:tcPr>
          <w:p>
            <w:pPr>
              <w:spacing w:after="0" w:line="240" w:lineRule="auto"/>
            </w:pPr>
            <w:r>
              <w:rPr>
                <w:color w:val="172033"/>
                <w:sz w:val="16"/>
              </w:rPr>
              <w:t>Required</w:t>
            </w:r>
          </w:p>
        </w:tc>
      </w:tr>
    </w:tbl>
    <w:p>
      <w:pPr>
        <w:spacing w:after="0"/>
      </w:pPr>
    </w:p>
    <w:p>
      <w:pPr>
        <w:pStyle w:val="Heading3"/>
      </w:pPr>
      <w:r>
        <w:rPr>
          <w:color w:val="0E3152"/>
        </w:rPr>
        <w:t>Health and recovery</w:t>
      </w:r>
    </w:p>
    <w:p>
      <w:pPr>
        <w:spacing w:after="60"/>
        <w:ind w:left="288" w:hanging="187"/>
      </w:pPr>
      <w:r>
        <w:t>• Docker health checks cover scheduler progress, stream freshness, database writes,</w:t>
      </w:r>
      <w:r>
        <w:t xml:space="preserve"> provider reachability, and outbox backlog.</w:t>
      </w:r>
    </w:p>
    <w:p>
      <w:pPr>
        <w:spacing w:after="60"/>
        <w:ind w:left="288" w:hanging="187"/>
      </w:pPr>
      <w:r>
        <w:t>• The worker restarts automatically but becomes ready only after ledger reconciliation</w:t>
      </w:r>
      <w:r>
        <w:t xml:space="preserve"> and a healthy feature snapshot.</w:t>
      </w:r>
    </w:p>
    <w:p>
      <w:pPr>
        <w:spacing w:after="60"/>
        <w:ind w:left="288" w:hanging="187"/>
      </w:pPr>
      <w:r>
        <w:t>• A nightly consistent SQLite backup is copied off-volume; seven daily and four weekly</w:t>
      </w:r>
      <w:r>
        <w:t xml:space="preserve"> copies are retained.</w:t>
      </w:r>
    </w:p>
    <w:p>
      <w:pPr>
        <w:spacing w:after="60"/>
        <w:ind w:left="288" w:hanging="187"/>
      </w:pPr>
      <w:r>
        <w:t>• Telegram sends executed fills, promotion/rollback, kill-switch, sustained dependency</w:t>
      </w:r>
      <w:r>
        <w:t xml:space="preserve"> incidents, and a daily summary at 09:00 </w:t>
      </w:r>
      <w:r>
        <w:rPr>
          <w:rFonts w:ascii="Liberation Mono" w:hAnsi="Liberation Mono"/>
          <w:color w:val="172033"/>
          <w:sz w:val="17"/>
        </w:rPr>
        <w:t>Asia/Ho_Chi_Minh</w:t>
      </w:r>
      <w:r>
        <w:t>. Raw five-second signals</w:t>
      </w:r>
      <w:r>
        <w:t xml:space="preserve"> are visible in the dashboard but are not individually pushed.</w:t>
      </w:r>
    </w:p>
    <w:p>
      <w:pPr>
        <w:spacing w:after="60"/>
        <w:ind w:left="288" w:hanging="187"/>
      </w:pPr>
      <w:r>
        <w:t>• Model spend is measured rather than assumed. The dashboard reports requests, tokens,</w:t>
      </w:r>
      <w:r>
        <w:t xml:space="preserve"> latency, errors, and estimated daily cost per model/provider.</w:t>
      </w:r>
    </w:p>
    <w:p>
      <w:pPr>
        <w:pStyle w:val="Heading3"/>
      </w:pPr>
      <w:r>
        <w:rPr>
          <w:color w:val="0E3152"/>
        </w:rPr>
        <w:t>Verification and launch gates</w:t>
      </w:r>
    </w:p>
    <w:p>
      <w:r>
        <w:t>Before a paper campaign starts, automated tests must cover:</w:t>
      </w:r>
    </w:p>
    <w:p>
      <w:pPr>
        <w:spacing w:after="60"/>
        <w:ind w:left="288" w:hanging="187"/>
      </w:pPr>
      <w:r>
        <w:t>• Closed-candle indicators and no-look-ahead replay.</w:t>
      </w:r>
    </w:p>
    <w:p>
      <w:pPr>
        <w:spacing w:after="60"/>
        <w:ind w:left="288" w:hanging="187"/>
      </w:pPr>
      <w:r>
        <w:t>• Feature synchronization, staleness, stream gaps, and REST rate limits.</w:t>
      </w:r>
    </w:p>
    <w:p>
      <w:pPr>
        <w:spacing w:after="60"/>
        <w:ind w:left="288" w:hanging="187"/>
      </w:pPr>
      <w:r>
        <w:t>• Valid, low-confidence, malformed, timed-out, and version-mismatched Jev responses.</w:t>
      </w:r>
    </w:p>
    <w:p>
      <w:pPr>
        <w:spacing w:after="60"/>
        <w:ind w:left="288" w:hanging="187"/>
      </w:pPr>
      <w:r>
        <w:t>• Position sizing under rounding, minimum quantity, two tranches, and both directions.</w:t>
      </w:r>
    </w:p>
    <w:p>
      <w:pPr>
        <w:spacing w:after="60"/>
        <w:ind w:left="288" w:hanging="187"/>
      </w:pPr>
      <w:r>
        <w:t>• Fees, funding, slippage, mark-to-market, maintenance margin, and liquidation price.</w:t>
      </w:r>
    </w:p>
    <w:p>
      <w:pPr>
        <w:spacing w:after="60"/>
        <w:ind w:left="288" w:hanging="187"/>
      </w:pPr>
      <w:r>
        <w:t>• Daily stop, drawdown kill-switch, liquidation-buffer reduction, and manual reset.</w:t>
      </w:r>
    </w:p>
    <w:p>
      <w:pPr>
        <w:spacing w:after="60"/>
        <w:ind w:left="288" w:hanging="187"/>
      </w:pPr>
      <w:r>
        <w:t>• Worker restart, database rollback, duplicate ticks, outbox retry, and rule promotion.</w:t>
      </w:r>
    </w:p>
    <w:p>
      <w:pPr>
        <w:spacing w:after="60"/>
        <w:ind w:left="288" w:hanging="187"/>
      </w:pPr>
      <w:r>
        <w:t>• Hyperliquid reconnect, frame checksums, cross-venue normalization, shadow isolation,</w:t>
      </w:r>
      <w:r>
        <w:t xml:space="preserve"> and baseline-vs-overlay replay using identical decisions.</w:t>
      </w:r>
    </w:p>
    <w:p>
      <w:pPr>
        <w:spacing w:after="60"/>
        <w:ind w:left="288" w:hanging="187"/>
      </w:pPr>
      <w:r>
        <w:t>• Prompt-injection attempts in every external-text field.</w:t>
      </w:r>
    </w:p>
    <w:p>
      <w:pPr>
        <w:spacing w:after="60"/>
        <w:ind w:left="288" w:hanging="187"/>
      </w:pPr>
      <w:r>
        <w:t>• Dashboard secret redaction, authorization, CSRF, and command auditing.</w:t>
      </w:r>
    </w:p>
    <w:p>
      <w:r>
        <w:t>The final pre-campaign gate is a 72-hour soak with zero duplicate fills, zero ledger reconciliation errors, no lost decision events, and successful fault injection for data/provider outages.</w:t>
      </w:r>
    </w:p>
    <w:p>
      <w:pPr>
        <w:pStyle w:val="Heading1"/>
      </w:pPr>
      <w:r>
        <w:rPr>
          <w:color w:val="0E3152"/>
        </w:rPr>
        <w:t>10. Alternatives Considered</w:t>
      </w:r>
    </w:p>
    <w:tbl>
      <w:tblPr>
        <w:tblW w:type="auto" w:w="0"/>
        <w:jc w:val="center"/>
        <w:tblLayout w:type="autofit"/>
        <w:tblLook w:firstColumn="1" w:firstRow="1" w:lastColumn="0" w:lastRow="0" w:noHBand="0" w:noVBand="1" w:val="04A0"/>
      </w:tblPr>
      <w:tblGrid>
        <w:gridCol w:w="3408"/>
        <w:gridCol w:w="3408"/>
        <w:gridCol w:w="3408"/>
      </w:tblGrid>
      <w:tr>
        <w:trPr>
          <w:cantSplit/>
          <w:tblHeader w:val="true"/>
        </w:trPr>
        <w:tc>
          <w:tcPr>
            <w:tcW w:type="dxa" w:w="3408"/>
            <w:vAlign w:val="center"/>
            <w:tcMar>
              <w:top w:w="100" w:type="dxa"/>
              <w:start w:w="120" w:type="dxa"/>
              <w:bottom w:w="100" w:type="dxa"/>
              <w:end w:w="120" w:type="dxa"/>
            </w:tcMar>
            <w:shd w:fill="0E3152"/>
          </w:tcPr>
          <w:p>
            <w:pPr>
              <w:spacing w:after="0" w:line="240" w:lineRule="auto"/>
            </w:pPr>
            <w:r>
              <w:rPr>
                <w:b/>
                <w:color w:val="FFFFFF"/>
                <w:sz w:val="16"/>
              </w:rPr>
              <w:t>Alternative</w:t>
            </w:r>
          </w:p>
        </w:tc>
        <w:tc>
          <w:tcPr>
            <w:tcW w:type="dxa" w:w="3408"/>
            <w:vAlign w:val="center"/>
            <w:tcMar>
              <w:top w:w="100" w:type="dxa"/>
              <w:start w:w="120" w:type="dxa"/>
              <w:bottom w:w="100" w:type="dxa"/>
              <w:end w:w="120" w:type="dxa"/>
            </w:tcMar>
            <w:shd w:fill="0E3152"/>
          </w:tcPr>
          <w:p>
            <w:pPr>
              <w:spacing w:after="0" w:line="240" w:lineRule="auto"/>
            </w:pPr>
            <w:r>
              <w:rPr>
                <w:b/>
                <w:color w:val="FFFFFF"/>
                <w:sz w:val="16"/>
              </w:rPr>
              <w:t>Why considered</w:t>
            </w:r>
          </w:p>
        </w:tc>
        <w:tc>
          <w:tcPr>
            <w:tcW w:type="dxa" w:w="3408"/>
            <w:vAlign w:val="center"/>
            <w:tcMar>
              <w:top w:w="100" w:type="dxa"/>
              <w:start w:w="120" w:type="dxa"/>
              <w:bottom w:w="100" w:type="dxa"/>
              <w:end w:w="120" w:type="dxa"/>
            </w:tcMar>
            <w:shd w:fill="0E3152"/>
          </w:tcPr>
          <w:p>
            <w:pPr>
              <w:spacing w:after="0" w:line="240" w:lineRule="auto"/>
            </w:pPr>
            <w:r>
              <w:rPr>
                <w:b/>
                <w:color w:val="FFFFFF"/>
                <w:sz w:val="16"/>
              </w:rPr>
              <w:t>Why not selected</w:t>
            </w:r>
          </w:p>
        </w:tc>
      </w:tr>
      <w:tr>
        <w:trPr>
          <w:cantSplit/>
        </w:trPr>
        <w:tc>
          <w:tcPr>
            <w:tcW w:type="dxa" w:w="3408"/>
            <w:vAlign w:val="center"/>
            <w:tcMar>
              <w:top w:w="100" w:type="dxa"/>
              <w:start w:w="120" w:type="dxa"/>
              <w:bottom w:w="100" w:type="dxa"/>
              <w:end w:w="120" w:type="dxa"/>
            </w:tcMar>
          </w:tcPr>
          <w:p>
            <w:pPr>
              <w:spacing w:after="0" w:line="240" w:lineRule="auto"/>
            </w:pPr>
            <w:r>
              <w:rPr>
                <w:color w:val="172033"/>
                <w:sz w:val="16"/>
              </w:rPr>
              <w:t>Let LLM update rules_current.json directly</w:t>
            </w:r>
          </w:p>
        </w:tc>
        <w:tc>
          <w:tcPr>
            <w:tcW w:type="dxa" w:w="3408"/>
            <w:vAlign w:val="center"/>
            <w:tcMar>
              <w:top w:w="100" w:type="dxa"/>
              <w:start w:w="120" w:type="dxa"/>
              <w:bottom w:w="100" w:type="dxa"/>
              <w:end w:w="120" w:type="dxa"/>
            </w:tcMar>
          </w:tcPr>
          <w:p>
            <w:pPr>
              <w:spacing w:after="0" w:line="240" w:lineRule="auto"/>
            </w:pPr>
            <w:r>
              <w:rPr>
                <w:color w:val="172033"/>
                <w:sz w:val="16"/>
              </w:rPr>
              <w:t>Fast adaptation and minimal implementation.</w:t>
            </w:r>
          </w:p>
        </w:tc>
        <w:tc>
          <w:tcPr>
            <w:tcW w:type="dxa" w:w="3408"/>
            <w:vAlign w:val="center"/>
            <w:tcMar>
              <w:top w:w="100" w:type="dxa"/>
              <w:start w:w="120" w:type="dxa"/>
              <w:bottom w:w="100" w:type="dxa"/>
              <w:end w:w="120" w:type="dxa"/>
            </w:tcMar>
          </w:tcPr>
          <w:p>
            <w:pPr>
              <w:spacing w:after="0" w:line="240" w:lineRule="auto"/>
            </w:pPr>
            <w:r>
              <w:rPr>
                <w:color w:val="172033"/>
                <w:sz w:val="16"/>
              </w:rPr>
              <w:t>Breaks replay, allows mid-tick changes, and grants unvalidated text authority over trading behavior.</w:t>
            </w:r>
          </w:p>
        </w:tc>
      </w:tr>
      <w:tr>
        <w:trPr>
          <w:cantSplit/>
        </w:trPr>
        <w:tc>
          <w:tcPr>
            <w:tcW w:type="dxa" w:w="3408"/>
            <w:vAlign w:val="center"/>
            <w:tcMar>
              <w:top w:w="100" w:type="dxa"/>
              <w:start w:w="120" w:type="dxa"/>
              <w:bottom w:w="100" w:type="dxa"/>
              <w:end w:w="120" w:type="dxa"/>
            </w:tcMar>
            <w:shd w:fill="F4F6F8"/>
          </w:tcPr>
          <w:p>
            <w:pPr>
              <w:spacing w:after="0" w:line="240" w:lineRule="auto"/>
            </w:pPr>
            <w:r>
              <w:rPr>
                <w:color w:val="172033"/>
                <w:sz w:val="16"/>
              </w:rPr>
              <w:t>Select challenger after 30 minutes</w:t>
            </w:r>
          </w:p>
        </w:tc>
        <w:tc>
          <w:tcPr>
            <w:tcW w:type="dxa" w:w="3408"/>
            <w:vAlign w:val="center"/>
            <w:tcMar>
              <w:top w:w="100" w:type="dxa"/>
              <w:start w:w="120" w:type="dxa"/>
              <w:bottom w:w="100" w:type="dxa"/>
              <w:end w:w="120" w:type="dxa"/>
            </w:tcMar>
            <w:shd w:fill="F4F6F8"/>
          </w:tcPr>
          <w:p>
            <w:pPr>
              <w:spacing w:after="0" w:line="240" w:lineRule="auto"/>
            </w:pPr>
            <w:r>
              <w:rPr>
                <w:color w:val="172033"/>
                <w:sz w:val="16"/>
              </w:rPr>
              <w:t>Quick feedback.</w:t>
            </w:r>
          </w:p>
        </w:tc>
        <w:tc>
          <w:tcPr>
            <w:tcW w:type="dxa" w:w="3408"/>
            <w:vAlign w:val="center"/>
            <w:tcMar>
              <w:top w:w="100" w:type="dxa"/>
              <w:start w:w="120" w:type="dxa"/>
              <w:bottom w:w="100" w:type="dxa"/>
              <w:end w:w="120" w:type="dxa"/>
            </w:tcMar>
            <w:shd w:fill="F4F6F8"/>
          </w:tcPr>
          <w:p>
            <w:pPr>
              <w:spacing w:after="0" w:line="240" w:lineRule="auto"/>
            </w:pPr>
            <w:r>
              <w:rPr>
                <w:color w:val="172033"/>
                <w:sz w:val="16"/>
              </w:rPr>
              <w:t>Too few independent trades and too sensitive to one short market regime.</w:t>
            </w:r>
          </w:p>
        </w:tc>
      </w:tr>
      <w:tr>
        <w:trPr>
          <w:cantSplit/>
        </w:trPr>
        <w:tc>
          <w:tcPr>
            <w:tcW w:type="dxa" w:w="3408"/>
            <w:vAlign w:val="center"/>
            <w:tcMar>
              <w:top w:w="100" w:type="dxa"/>
              <w:start w:w="120" w:type="dxa"/>
              <w:bottom w:w="100" w:type="dxa"/>
              <w:end w:w="120" w:type="dxa"/>
            </w:tcMar>
          </w:tcPr>
          <w:p>
            <w:pPr>
              <w:spacing w:after="0" w:line="240" w:lineRule="auto"/>
            </w:pPr>
            <w:r>
              <w:rPr>
                <w:color w:val="172033"/>
                <w:sz w:val="16"/>
              </w:rPr>
              <w:t>Poll every source through REST every five seconds</w:t>
            </w:r>
          </w:p>
        </w:tc>
        <w:tc>
          <w:tcPr>
            <w:tcW w:type="dxa" w:w="3408"/>
            <w:vAlign w:val="center"/>
            <w:tcMar>
              <w:top w:w="100" w:type="dxa"/>
              <w:start w:w="120" w:type="dxa"/>
              <w:bottom w:w="100" w:type="dxa"/>
              <w:end w:w="120" w:type="dxa"/>
            </w:tcMar>
          </w:tcPr>
          <w:p>
            <w:pPr>
              <w:spacing w:after="0" w:line="240" w:lineRule="auto"/>
            </w:pPr>
            <w:r>
              <w:rPr>
                <w:color w:val="172033"/>
                <w:sz w:val="16"/>
              </w:rPr>
              <w:t>Simple implementation through one CCXT interface.</w:t>
            </w:r>
          </w:p>
        </w:tc>
        <w:tc>
          <w:tcPr>
            <w:tcW w:type="dxa" w:w="3408"/>
            <w:vAlign w:val="center"/>
            <w:tcMar>
              <w:top w:w="100" w:type="dxa"/>
              <w:start w:w="120" w:type="dxa"/>
              <w:bottom w:w="100" w:type="dxa"/>
              <w:end w:w="120" w:type="dxa"/>
            </w:tcMar>
          </w:tcPr>
          <w:p>
            <w:pPr>
              <w:spacing w:after="0" w:line="240" w:lineRule="auto"/>
            </w:pPr>
            <w:r>
              <w:rPr>
                <w:color w:val="172033"/>
                <w:sz w:val="16"/>
              </w:rPr>
              <w:t>Produces mismatched timestamps, higher latency, and avoidable rate-limit pressure.</w:t>
            </w:r>
          </w:p>
        </w:tc>
      </w:tr>
      <w:tr>
        <w:trPr>
          <w:cantSplit/>
        </w:trPr>
        <w:tc>
          <w:tcPr>
            <w:tcW w:type="dxa" w:w="3408"/>
            <w:vAlign w:val="center"/>
            <w:tcMar>
              <w:top w:w="100" w:type="dxa"/>
              <w:start w:w="120" w:type="dxa"/>
              <w:bottom w:w="100" w:type="dxa"/>
              <w:end w:w="120" w:type="dxa"/>
            </w:tcMar>
            <w:shd w:fill="F4F6F8"/>
          </w:tcPr>
          <w:p>
            <w:pPr>
              <w:spacing w:after="0" w:line="240" w:lineRule="auto"/>
            </w:pPr>
            <w:r>
              <w:rPr>
                <w:color w:val="172033"/>
                <w:sz w:val="16"/>
              </w:rPr>
              <w:t>Use Jev only as advisory telemetry</w:t>
            </w:r>
          </w:p>
        </w:tc>
        <w:tc>
          <w:tcPr>
            <w:tcW w:type="dxa" w:w="3408"/>
            <w:vAlign w:val="center"/>
            <w:tcMar>
              <w:top w:w="100" w:type="dxa"/>
              <w:start w:w="120" w:type="dxa"/>
              <w:bottom w:w="100" w:type="dxa"/>
              <w:end w:w="120" w:type="dxa"/>
            </w:tcMar>
            <w:shd w:fill="F4F6F8"/>
          </w:tcPr>
          <w:p>
            <w:pPr>
              <w:spacing w:after="0" w:line="240" w:lineRule="auto"/>
            </w:pPr>
            <w:r>
              <w:rPr>
                <w:color w:val="172033"/>
                <w:sz w:val="16"/>
              </w:rPr>
              <w:t>Lowest model risk.</w:t>
            </w:r>
          </w:p>
        </w:tc>
        <w:tc>
          <w:tcPr>
            <w:tcW w:type="dxa" w:w="3408"/>
            <w:vAlign w:val="center"/>
            <w:tcMar>
              <w:top w:w="100" w:type="dxa"/>
              <w:start w:w="120" w:type="dxa"/>
              <w:bottom w:w="100" w:type="dxa"/>
              <w:end w:w="120" w:type="dxa"/>
            </w:tcMar>
            <w:shd w:fill="F4F6F8"/>
          </w:tcPr>
          <w:p>
            <w:pPr>
              <w:spacing w:after="0" w:line="240" w:lineRule="auto"/>
            </w:pPr>
            <w:r>
              <w:rPr>
                <w:color w:val="172033"/>
                <w:sz w:val="16"/>
              </w:rPr>
              <w:t>Does not test the intended product hypothesis that a typed System One model can own directional decisions inside deterministic safeguards.</w:t>
            </w:r>
          </w:p>
        </w:tc>
      </w:tr>
      <w:tr>
        <w:trPr>
          <w:cantSplit/>
        </w:trPr>
        <w:tc>
          <w:tcPr>
            <w:tcW w:type="dxa" w:w="3408"/>
            <w:vAlign w:val="center"/>
            <w:tcMar>
              <w:top w:w="100" w:type="dxa"/>
              <w:start w:w="120" w:type="dxa"/>
              <w:bottom w:w="100" w:type="dxa"/>
              <w:end w:w="120" w:type="dxa"/>
            </w:tcMar>
          </w:tcPr>
          <w:p>
            <w:pPr>
              <w:spacing w:after="0" w:line="240" w:lineRule="auto"/>
            </w:pPr>
            <w:r>
              <w:rPr>
                <w:color w:val="172033"/>
                <w:sz w:val="16"/>
              </w:rPr>
              <w:t>Give Jev direct execution authority</w:t>
            </w:r>
          </w:p>
        </w:tc>
        <w:tc>
          <w:tcPr>
            <w:tcW w:type="dxa" w:w="3408"/>
            <w:vAlign w:val="center"/>
            <w:tcMar>
              <w:top w:w="100" w:type="dxa"/>
              <w:start w:w="120" w:type="dxa"/>
              <w:bottom w:w="100" w:type="dxa"/>
              <w:end w:w="120" w:type="dxa"/>
            </w:tcMar>
          </w:tcPr>
          <w:p>
            <w:pPr>
              <w:spacing w:after="0" w:line="240" w:lineRule="auto"/>
            </w:pPr>
            <w:r>
              <w:rPr>
                <w:color w:val="172033"/>
                <w:sz w:val="16"/>
              </w:rPr>
              <w:t>Short hot path.</w:t>
            </w:r>
          </w:p>
        </w:tc>
        <w:tc>
          <w:tcPr>
            <w:tcW w:type="dxa" w:w="3408"/>
            <w:vAlign w:val="center"/>
            <w:tcMar>
              <w:top w:w="100" w:type="dxa"/>
              <w:start w:w="120" w:type="dxa"/>
              <w:bottom w:w="100" w:type="dxa"/>
              <w:end w:w="120" w:type="dxa"/>
            </w:tcMar>
          </w:tcPr>
          <w:p>
            <w:pPr>
              <w:spacing w:after="0" w:line="240" w:lineRule="auto"/>
            </w:pPr>
            <w:r>
              <w:rPr>
                <w:color w:val="172033"/>
                <w:sz w:val="16"/>
              </w:rPr>
              <w:t>Model/provider errors could bypass risk, sizing, idempotency, and liquidation controls.</w:t>
            </w:r>
          </w:p>
        </w:tc>
      </w:tr>
      <w:tr>
        <w:trPr>
          <w:cantSplit/>
        </w:trPr>
        <w:tc>
          <w:tcPr>
            <w:tcW w:type="dxa" w:w="3408"/>
            <w:vAlign w:val="center"/>
            <w:tcMar>
              <w:top w:w="100" w:type="dxa"/>
              <w:start w:w="120" w:type="dxa"/>
              <w:bottom w:w="100" w:type="dxa"/>
              <w:end w:w="120" w:type="dxa"/>
            </w:tcMar>
            <w:shd w:fill="F4F6F8"/>
          </w:tcPr>
          <w:p>
            <w:pPr>
              <w:spacing w:after="0" w:line="240" w:lineRule="auto"/>
            </w:pPr>
            <w:r>
              <w:rPr>
                <w:color w:val="172033"/>
                <w:sz w:val="16"/>
              </w:rPr>
              <w:t>Use spot BTC/USDT</w:t>
            </w:r>
          </w:p>
        </w:tc>
        <w:tc>
          <w:tcPr>
            <w:tcW w:type="dxa" w:w="3408"/>
            <w:vAlign w:val="center"/>
            <w:tcMar>
              <w:top w:w="100" w:type="dxa"/>
              <w:start w:w="120" w:type="dxa"/>
              <w:bottom w:w="100" w:type="dxa"/>
              <w:end w:w="120" w:type="dxa"/>
            </w:tcMar>
            <w:shd w:fill="F4F6F8"/>
          </w:tcPr>
          <w:p>
            <w:pPr>
              <w:spacing w:after="0" w:line="240" w:lineRule="auto"/>
            </w:pPr>
            <w:r>
              <w:rPr>
                <w:color w:val="172033"/>
                <w:sz w:val="16"/>
              </w:rPr>
              <w:t>Simpler accounting and no liquidation.</w:t>
            </w:r>
          </w:p>
        </w:tc>
        <w:tc>
          <w:tcPr>
            <w:tcW w:type="dxa" w:w="3408"/>
            <w:vAlign w:val="center"/>
            <w:tcMar>
              <w:top w:w="100" w:type="dxa"/>
              <w:start w:w="120" w:type="dxa"/>
              <w:bottom w:w="100" w:type="dxa"/>
              <w:end w:w="120" w:type="dxa"/>
            </w:tcMar>
            <w:shd w:fill="F4F6F8"/>
          </w:tcPr>
          <w:p>
            <w:pPr>
              <w:spacing w:after="0" w:line="240" w:lineRule="auto"/>
            </w:pPr>
            <w:r>
              <w:rPr>
                <w:color w:val="172033"/>
                <w:sz w:val="16"/>
              </w:rPr>
              <w:t>Cannot faithfully exercise symmetric long/short intraday decisions or funding-related signals.</w:t>
            </w:r>
          </w:p>
        </w:tc>
      </w:tr>
      <w:tr>
        <w:trPr>
          <w:cantSplit/>
        </w:trPr>
        <w:tc>
          <w:tcPr>
            <w:tcW w:type="dxa" w:w="3408"/>
            <w:vAlign w:val="center"/>
            <w:tcMar>
              <w:top w:w="100" w:type="dxa"/>
              <w:start w:w="120" w:type="dxa"/>
              <w:bottom w:w="100" w:type="dxa"/>
              <w:end w:w="120" w:type="dxa"/>
            </w:tcMar>
          </w:tcPr>
          <w:p>
            <w:pPr>
              <w:spacing w:after="0" w:line="240" w:lineRule="auto"/>
            </w:pPr>
            <w:r>
              <w:rPr>
                <w:color w:val="172033"/>
                <w:sz w:val="16"/>
              </w:rPr>
              <w:t>Use cross margin or hedge mode</w:t>
            </w:r>
          </w:p>
        </w:tc>
        <w:tc>
          <w:tcPr>
            <w:tcW w:type="dxa" w:w="3408"/>
            <w:vAlign w:val="center"/>
            <w:tcMar>
              <w:top w:w="100" w:type="dxa"/>
              <w:start w:w="120" w:type="dxa"/>
              <w:bottom w:w="100" w:type="dxa"/>
              <w:end w:w="120" w:type="dxa"/>
            </w:tcMar>
          </w:tcPr>
          <w:p>
            <w:pPr>
              <w:spacing w:after="0" w:line="240" w:lineRule="auto"/>
            </w:pPr>
            <w:r>
              <w:rPr>
                <w:color w:val="172033"/>
                <w:sz w:val="16"/>
              </w:rPr>
              <w:t>More capital flexibility.</w:t>
            </w:r>
          </w:p>
        </w:tc>
        <w:tc>
          <w:tcPr>
            <w:tcW w:type="dxa" w:w="3408"/>
            <w:vAlign w:val="center"/>
            <w:tcMar>
              <w:top w:w="100" w:type="dxa"/>
              <w:start w:w="120" w:type="dxa"/>
              <w:bottom w:w="100" w:type="dxa"/>
              <w:end w:w="120" w:type="dxa"/>
            </w:tcMar>
          </w:tcPr>
          <w:p>
            <w:pPr>
              <w:spacing w:after="0" w:line="240" w:lineRule="auto"/>
            </w:pPr>
            <w:r>
              <w:rPr>
                <w:color w:val="172033"/>
                <w:sz w:val="16"/>
              </w:rPr>
              <w:t>Enlarges blast radius and complicates attribution; isolated one-way state is safer and easier to replay.</w:t>
            </w:r>
          </w:p>
        </w:tc>
      </w:tr>
      <w:tr>
        <w:trPr>
          <w:cantSplit/>
        </w:trPr>
        <w:tc>
          <w:tcPr>
            <w:tcW w:type="dxa" w:w="3408"/>
            <w:vAlign w:val="center"/>
            <w:tcMar>
              <w:top w:w="100" w:type="dxa"/>
              <w:start w:w="120" w:type="dxa"/>
              <w:bottom w:w="100" w:type="dxa"/>
              <w:end w:w="120" w:type="dxa"/>
            </w:tcMar>
            <w:shd w:fill="F4F6F8"/>
          </w:tcPr>
          <w:p>
            <w:pPr>
              <w:spacing w:after="0" w:line="240" w:lineRule="auto"/>
            </w:pPr>
            <w:r>
              <w:rPr>
                <w:color w:val="172033"/>
                <w:sz w:val="16"/>
              </w:rPr>
              <w:t>Use PostgreSQL immediately</w:t>
            </w:r>
          </w:p>
        </w:tc>
        <w:tc>
          <w:tcPr>
            <w:tcW w:type="dxa" w:w="3408"/>
            <w:vAlign w:val="center"/>
            <w:tcMar>
              <w:top w:w="100" w:type="dxa"/>
              <w:start w:w="120" w:type="dxa"/>
              <w:bottom w:w="100" w:type="dxa"/>
              <w:end w:w="120" w:type="dxa"/>
            </w:tcMar>
            <w:shd w:fill="F4F6F8"/>
          </w:tcPr>
          <w:p>
            <w:pPr>
              <w:spacing w:after="0" w:line="240" w:lineRule="auto"/>
            </w:pPr>
            <w:r>
              <w:rPr>
                <w:color w:val="172033"/>
                <w:sz w:val="16"/>
              </w:rPr>
              <w:t>Strong multi-writer concurrency and mature operations.</w:t>
            </w:r>
          </w:p>
        </w:tc>
        <w:tc>
          <w:tcPr>
            <w:tcW w:type="dxa" w:w="3408"/>
            <w:vAlign w:val="center"/>
            <w:tcMar>
              <w:top w:w="100" w:type="dxa"/>
              <w:start w:w="120" w:type="dxa"/>
              <w:bottom w:w="100" w:type="dxa"/>
              <w:end w:w="120" w:type="dxa"/>
            </w:tcMar>
            <w:shd w:fill="F4F6F8"/>
          </w:tcPr>
          <w:p>
            <w:pPr>
              <w:spacing w:after="0" w:line="240" w:lineRule="auto"/>
            </w:pPr>
            <w:r>
              <w:rPr>
                <w:color w:val="172033"/>
                <w:sz w:val="16"/>
              </w:rPr>
              <w:t>A single-host, single-writer paper system does not yet justify the operational cost; contracts keep a future migration possible.</w:t>
            </w:r>
          </w:p>
        </w:tc>
      </w:tr>
    </w:tbl>
    <w:p>
      <w:pPr>
        <w:spacing w:after="0"/>
      </w:pPr>
    </w:p>
    <w:p>
      <w:pPr>
        <w:pStyle w:val="Heading1"/>
      </w:pPr>
      <w:r>
        <w:rPr>
          <w:color w:val="0E3152"/>
        </w:rPr>
        <w:t>11. Open Validation Questions</w:t>
      </w:r>
    </w:p>
    <w:p>
      <w:r>
        <w:t>No question blocks implementation of the paper design. The following hypotheses must be measured and must not be converted into assumptions:</w:t>
      </w:r>
    </w:p>
    <w:p>
      <w:pPr>
        <w:spacing w:after="60"/>
        <w:ind w:left="317" w:hanging="259"/>
      </w:pPr>
      <w:r>
        <w:t>1. Whether Jev direction confidence and toxic-flow scores are calibrated for this</w:t>
      </w:r>
      <w:r>
        <w:t xml:space="preserve"> market domain. Store enough outcomes to create reliability diagrams by regime.</w:t>
      </w:r>
    </w:p>
    <w:p>
      <w:pPr>
        <w:spacing w:after="60"/>
        <w:ind w:left="317" w:hanging="259"/>
      </w:pPr>
      <w:r>
        <w:t>2. Whether five-second decisions improve net results after spread, slippage, funding,</w:t>
      </w:r>
      <w:r>
        <w:t xml:space="preserve"> and churn compared with slower baselines.</w:t>
      </w:r>
    </w:p>
    <w:p>
      <w:pPr>
        <w:spacing w:after="60"/>
        <w:ind w:left="317" w:hanging="259"/>
      </w:pPr>
      <w:r>
        <w:t>3. Actual daily Jev and LLM cost using observed input sizes and call frequency.</w:t>
      </w:r>
    </w:p>
    <w:p>
      <w:pPr>
        <w:spacing w:after="60"/>
        <w:ind w:left="317" w:hanging="259"/>
      </w:pPr>
      <w:r>
        <w:t>4. Availability and quality of optional Coinglass/X feeds. The system must remain valid</w:t>
      </w:r>
      <w:r>
        <w:t xml:space="preserve"> when both are disabled.</w:t>
      </w:r>
    </w:p>
    <w:p>
      <w:pPr>
        <w:pStyle w:val="Heading1"/>
      </w:pPr>
      <w:r>
        <w:rPr>
          <w:color w:val="0E3152"/>
        </w:rPr>
        <w:t>12. Decision and Next Steps</w:t>
      </w:r>
    </w:p>
    <w:p>
      <w:r>
        <w:t>The recommended decision is to build this as a standalone, paper-only research system with Jev as the directional decision source and a deterministic risk kernel as the final authority. Isolated leverage is fixed at 3x, but the position is capped at 50% notional, 20% initial margin, and 0.50% total stop risk. The current Donchian campaign and its data, account, scheduler, and promotion status remain untouched.</w:t>
      </w:r>
    </w:p>
    <w:tbl>
      <w:tblPr>
        <w:tblW w:type="auto" w:w="0"/>
        <w:jc w:val="center"/>
        <w:tblLayout w:type="autofit"/>
        <w:tblLook w:firstColumn="1" w:firstRow="1" w:lastColumn="0" w:lastRow="0" w:noHBand="0" w:noVBand="1" w:val="04A0"/>
      </w:tblPr>
      <w:tblGrid>
        <w:gridCol w:w="3408"/>
        <w:gridCol w:w="3408"/>
        <w:gridCol w:w="3408"/>
      </w:tblGrid>
      <w:tr>
        <w:trPr>
          <w:cantSplit/>
          <w:tblHeader w:val="true"/>
        </w:trPr>
        <w:tc>
          <w:tcPr>
            <w:tcW w:type="dxa" w:w="3408"/>
            <w:vAlign w:val="center"/>
            <w:tcMar>
              <w:top w:w="100" w:type="dxa"/>
              <w:start w:w="120" w:type="dxa"/>
              <w:bottom w:w="100" w:type="dxa"/>
              <w:end w:w="120" w:type="dxa"/>
            </w:tcMar>
            <w:shd w:fill="0E3152"/>
          </w:tcPr>
          <w:p>
            <w:pPr>
              <w:spacing w:after="0" w:line="240" w:lineRule="auto"/>
            </w:pPr>
            <w:r>
              <w:rPr>
                <w:b/>
                <w:color w:val="FFFFFF"/>
                <w:sz w:val="16"/>
              </w:rPr>
              <w:t>Milestone</w:t>
            </w:r>
          </w:p>
        </w:tc>
        <w:tc>
          <w:tcPr>
            <w:tcW w:type="dxa" w:w="3408"/>
            <w:vAlign w:val="center"/>
            <w:tcMar>
              <w:top w:w="100" w:type="dxa"/>
              <w:start w:w="120" w:type="dxa"/>
              <w:bottom w:w="100" w:type="dxa"/>
              <w:end w:w="120" w:type="dxa"/>
            </w:tcMar>
            <w:shd w:fill="0E3152"/>
          </w:tcPr>
          <w:p>
            <w:pPr>
              <w:spacing w:after="0" w:line="240" w:lineRule="auto"/>
            </w:pPr>
            <w:r>
              <w:rPr>
                <w:b/>
                <w:color w:val="FFFFFF"/>
                <w:sz w:val="16"/>
              </w:rPr>
              <w:t>Deliverable</w:t>
            </w:r>
          </w:p>
        </w:tc>
        <w:tc>
          <w:tcPr>
            <w:tcW w:type="dxa" w:w="3408"/>
            <w:vAlign w:val="center"/>
            <w:tcMar>
              <w:top w:w="100" w:type="dxa"/>
              <w:start w:w="120" w:type="dxa"/>
              <w:bottom w:w="100" w:type="dxa"/>
              <w:end w:w="120" w:type="dxa"/>
            </w:tcMar>
            <w:shd w:fill="0E3152"/>
          </w:tcPr>
          <w:p>
            <w:pPr>
              <w:spacing w:after="0" w:line="240" w:lineRule="auto"/>
            </w:pPr>
            <w:r>
              <w:rPr>
                <w:b/>
                <w:color w:val="FFFFFF"/>
                <w:sz w:val="16"/>
              </w:rPr>
              <w:t>Exit criteria</w:t>
            </w:r>
          </w:p>
        </w:tc>
      </w:tr>
      <w:tr>
        <w:trPr>
          <w:cantSplit/>
        </w:trPr>
        <w:tc>
          <w:tcPr>
            <w:tcW w:type="dxa" w:w="3408"/>
            <w:vAlign w:val="center"/>
            <w:tcMar>
              <w:top w:w="100" w:type="dxa"/>
              <w:start w:w="120" w:type="dxa"/>
              <w:bottom w:w="100" w:type="dxa"/>
              <w:end w:w="120" w:type="dxa"/>
            </w:tcMar>
          </w:tcPr>
          <w:p>
            <w:pPr>
              <w:spacing w:after="0" w:line="240" w:lineRule="auto"/>
            </w:pPr>
            <w:r>
              <w:rPr>
                <w:color w:val="172033"/>
                <w:sz w:val="16"/>
              </w:rPr>
              <w:t>M1 — Deterministic foundation</w:t>
            </w:r>
          </w:p>
        </w:tc>
        <w:tc>
          <w:tcPr>
            <w:tcW w:type="dxa" w:w="3408"/>
            <w:vAlign w:val="center"/>
            <w:tcMar>
              <w:top w:w="100" w:type="dxa"/>
              <w:start w:w="120" w:type="dxa"/>
              <w:bottom w:w="100" w:type="dxa"/>
              <w:end w:w="120" w:type="dxa"/>
            </w:tcMar>
          </w:tcPr>
          <w:p>
            <w:pPr>
              <w:spacing w:after="0" w:line="240" w:lineRule="auto"/>
            </w:pPr>
            <w:r>
              <w:rPr>
                <w:color w:val="172033"/>
                <w:sz w:val="16"/>
              </w:rPr>
              <w:t>Market-data recorder, synchronized snapshots, paper perpetual ledger, margin/risk engine, and replay fixtures.</w:t>
            </w:r>
          </w:p>
        </w:tc>
        <w:tc>
          <w:tcPr>
            <w:tcW w:type="dxa" w:w="3408"/>
            <w:vAlign w:val="center"/>
            <w:tcMar>
              <w:top w:w="100" w:type="dxa"/>
              <w:start w:w="120" w:type="dxa"/>
              <w:bottom w:w="100" w:type="dxa"/>
              <w:end w:w="120" w:type="dxa"/>
            </w:tcMar>
          </w:tcPr>
          <w:p>
            <w:pPr>
              <w:spacing w:after="0" w:line="240" w:lineRule="auto"/>
            </w:pPr>
            <w:r>
              <w:rPr>
                <w:color w:val="172033"/>
                <w:sz w:val="16"/>
              </w:rPr>
              <w:t>Ledger reconciles; sizing and all kill switches pass unit/property tests without any model dependency.</w:t>
            </w:r>
          </w:p>
        </w:tc>
      </w:tr>
      <w:tr>
        <w:trPr>
          <w:cantSplit/>
        </w:trPr>
        <w:tc>
          <w:tcPr>
            <w:tcW w:type="dxa" w:w="3408"/>
            <w:vAlign w:val="center"/>
            <w:tcMar>
              <w:top w:w="100" w:type="dxa"/>
              <w:start w:w="120" w:type="dxa"/>
              <w:bottom w:w="100" w:type="dxa"/>
              <w:end w:w="120" w:type="dxa"/>
            </w:tcMar>
            <w:shd w:fill="F4F6F8"/>
          </w:tcPr>
          <w:p>
            <w:pPr>
              <w:spacing w:after="0" w:line="240" w:lineRule="auto"/>
            </w:pPr>
            <w:r>
              <w:rPr>
                <w:color w:val="172033"/>
                <w:sz w:val="16"/>
              </w:rPr>
              <w:t>M1.1 — Cross-venue shadow</w:t>
            </w:r>
          </w:p>
        </w:tc>
        <w:tc>
          <w:tcPr>
            <w:tcW w:type="dxa" w:w="3408"/>
            <w:vAlign w:val="center"/>
            <w:tcMar>
              <w:top w:w="100" w:type="dxa"/>
              <w:start w:w="120" w:type="dxa"/>
              <w:bottom w:w="100" w:type="dxa"/>
              <w:end w:w="120" w:type="dxa"/>
            </w:tcMar>
            <w:shd w:fill="F4F6F8"/>
          </w:tcPr>
          <w:p>
            <w:pPr>
              <w:spacing w:after="0" w:line="240" w:lineRule="auto"/>
            </w:pPr>
            <w:r>
              <w:rPr>
                <w:color w:val="172033"/>
                <w:sz w:val="16"/>
              </w:rPr>
              <w:t>Hyperliquid hybrid collector, normalized venue frames, shadow overlay, dashboard health, paired replay, and immutable promotion gate.</w:t>
            </w:r>
          </w:p>
        </w:tc>
        <w:tc>
          <w:tcPr>
            <w:tcW w:type="dxa" w:w="3408"/>
            <w:vAlign w:val="center"/>
            <w:tcMar>
              <w:top w:w="100" w:type="dxa"/>
              <w:start w:w="120" w:type="dxa"/>
              <w:bottom w:w="100" w:type="dxa"/>
              <w:end w:w="120" w:type="dxa"/>
            </w:tcMar>
            <w:shd w:fill="F4F6F8"/>
          </w:tcPr>
          <w:p>
            <w:pPr>
              <w:spacing w:after="0" w:line="240" w:lineRule="auto"/>
            </w:pPr>
            <w:r>
              <w:rPr>
                <w:color w:val="172033"/>
                <w:sz w:val="16"/>
              </w:rPr>
              <w:t>14 days, ≥95% coverage, ≥100 non-Hold decisions, ≥30 closed trades, and non-inferior risk metrics.</w:t>
            </w:r>
          </w:p>
        </w:tc>
      </w:tr>
      <w:tr>
        <w:trPr>
          <w:cantSplit/>
        </w:trPr>
        <w:tc>
          <w:tcPr>
            <w:tcW w:type="dxa" w:w="3408"/>
            <w:vAlign w:val="center"/>
            <w:tcMar>
              <w:top w:w="100" w:type="dxa"/>
              <w:start w:w="120" w:type="dxa"/>
              <w:bottom w:w="100" w:type="dxa"/>
              <w:end w:w="120" w:type="dxa"/>
            </w:tcMar>
          </w:tcPr>
          <w:p>
            <w:pPr>
              <w:spacing w:after="0" w:line="240" w:lineRule="auto"/>
            </w:pPr>
            <w:r>
              <w:rPr>
                <w:color w:val="172033"/>
                <w:sz w:val="16"/>
              </w:rPr>
              <w:t>M2 — Jev shadow decisions</w:t>
            </w:r>
          </w:p>
        </w:tc>
        <w:tc>
          <w:tcPr>
            <w:tcW w:type="dxa" w:w="3408"/>
            <w:vAlign w:val="center"/>
            <w:tcMar>
              <w:top w:w="100" w:type="dxa"/>
              <w:start w:w="120" w:type="dxa"/>
              <w:bottom w:w="100" w:type="dxa"/>
              <w:end w:w="120" w:type="dxa"/>
            </w:tcMar>
          </w:tcPr>
          <w:p>
            <w:pPr>
              <w:spacing w:after="0" w:line="240" w:lineRule="auto"/>
            </w:pPr>
            <w:r>
              <w:rPr>
                <w:color w:val="172033"/>
                <w:sz w:val="16"/>
              </w:rPr>
              <w:t>OpenRouter adapter, typed decisions, gate records, cost telemetry, and dashboard views; no paper fills initially.</w:t>
            </w:r>
          </w:p>
        </w:tc>
        <w:tc>
          <w:tcPr>
            <w:tcW w:type="dxa" w:w="3408"/>
            <w:vAlign w:val="center"/>
            <w:tcMar>
              <w:top w:w="100" w:type="dxa"/>
              <w:start w:w="120" w:type="dxa"/>
              <w:bottom w:w="100" w:type="dxa"/>
              <w:end w:w="120" w:type="dxa"/>
            </w:tcMar>
          </w:tcPr>
          <w:p>
            <w:pPr>
              <w:spacing w:after="0" w:line="240" w:lineRule="auto"/>
            </w:pPr>
            <w:r>
              <w:rPr>
                <w:color w:val="172033"/>
                <w:sz w:val="16"/>
              </w:rPr>
              <w:t>72-hour decision soak meets freshness, latency, idempotency, and fail-closed gates.</w:t>
            </w:r>
          </w:p>
        </w:tc>
      </w:tr>
      <w:tr>
        <w:trPr>
          <w:cantSplit/>
        </w:trPr>
        <w:tc>
          <w:tcPr>
            <w:tcW w:type="dxa" w:w="3408"/>
            <w:vAlign w:val="center"/>
            <w:tcMar>
              <w:top w:w="100" w:type="dxa"/>
              <w:start w:w="120" w:type="dxa"/>
              <w:bottom w:w="100" w:type="dxa"/>
              <w:end w:w="120" w:type="dxa"/>
            </w:tcMar>
            <w:shd w:fill="F4F6F8"/>
          </w:tcPr>
          <w:p>
            <w:pPr>
              <w:spacing w:after="0" w:line="240" w:lineRule="auto"/>
            </w:pPr>
            <w:r>
              <w:rPr>
                <w:color w:val="172033"/>
                <w:sz w:val="16"/>
              </w:rPr>
              <w:t>M3 — Paper execution</w:t>
            </w:r>
          </w:p>
        </w:tc>
        <w:tc>
          <w:tcPr>
            <w:tcW w:type="dxa" w:w="3408"/>
            <w:vAlign w:val="center"/>
            <w:tcMar>
              <w:top w:w="100" w:type="dxa"/>
              <w:start w:w="120" w:type="dxa"/>
              <w:bottom w:w="100" w:type="dxa"/>
              <w:end w:w="120" w:type="dxa"/>
            </w:tcMar>
            <w:shd w:fill="F4F6F8"/>
          </w:tcPr>
          <w:p>
            <w:pPr>
              <w:spacing w:after="0" w:line="240" w:lineRule="auto"/>
            </w:pPr>
            <w:r>
              <w:rPr>
                <w:color w:val="172033"/>
                <w:sz w:val="16"/>
              </w:rPr>
              <w:t>Authorized simulated fills, Telegram operations, one champion, and one challenger ledger.</w:t>
            </w:r>
          </w:p>
        </w:tc>
        <w:tc>
          <w:tcPr>
            <w:tcW w:type="dxa" w:w="3408"/>
            <w:vAlign w:val="center"/>
            <w:tcMar>
              <w:top w:w="100" w:type="dxa"/>
              <w:start w:w="120" w:type="dxa"/>
              <w:bottom w:w="100" w:type="dxa"/>
              <w:end w:w="120" w:type="dxa"/>
            </w:tcMar>
            <w:shd w:fill="F4F6F8"/>
          </w:tcPr>
          <w:p>
            <w:pPr>
              <w:spacing w:after="0" w:line="240" w:lineRule="auto"/>
            </w:pPr>
            <w:r>
              <w:rPr>
                <w:color w:val="172033"/>
                <w:sz w:val="16"/>
              </w:rPr>
              <w:t>30 days without duplicate fills or reconciliation errors; risk interventions verified.</w:t>
            </w:r>
          </w:p>
        </w:tc>
      </w:tr>
      <w:tr>
        <w:trPr>
          <w:cantSplit/>
        </w:trPr>
        <w:tc>
          <w:tcPr>
            <w:tcW w:type="dxa" w:w="3408"/>
            <w:vAlign w:val="center"/>
            <w:tcMar>
              <w:top w:w="100" w:type="dxa"/>
              <w:start w:w="120" w:type="dxa"/>
              <w:bottom w:w="100" w:type="dxa"/>
              <w:end w:w="120" w:type="dxa"/>
            </w:tcMar>
          </w:tcPr>
          <w:p>
            <w:pPr>
              <w:spacing w:after="0" w:line="240" w:lineRule="auto"/>
            </w:pPr>
            <w:r>
              <w:rPr>
                <w:color w:val="172033"/>
                <w:sz w:val="16"/>
              </w:rPr>
              <w:t>M4 — Adaptive rules</w:t>
            </w:r>
          </w:p>
        </w:tc>
        <w:tc>
          <w:tcPr>
            <w:tcW w:type="dxa" w:w="3408"/>
            <w:vAlign w:val="center"/>
            <w:tcMar>
              <w:top w:w="100" w:type="dxa"/>
              <w:start w:w="120" w:type="dxa"/>
              <w:bottom w:w="100" w:type="dxa"/>
              <w:end w:w="120" w:type="dxa"/>
            </w:tcMar>
          </w:tcPr>
          <w:p>
            <w:pPr>
              <w:spacing w:after="0" w:line="240" w:lineRule="auto"/>
            </w:pPr>
            <w:r>
              <w:rPr>
                <w:color w:val="172033"/>
                <w:sz w:val="16"/>
              </w:rPr>
              <w:t>Hourly analysis, bounded candidates, 90-day replay, 14-day/30-trade evaluation, atomic promotion and rollback.</w:t>
            </w:r>
          </w:p>
        </w:tc>
        <w:tc>
          <w:tcPr>
            <w:tcW w:type="dxa" w:w="3408"/>
            <w:vAlign w:val="center"/>
            <w:tcMar>
              <w:top w:w="100" w:type="dxa"/>
              <w:start w:w="120" w:type="dxa"/>
              <w:bottom w:w="100" w:type="dxa"/>
              <w:end w:w="120" w:type="dxa"/>
            </w:tcMar>
          </w:tcPr>
          <w:p>
            <w:pPr>
              <w:spacing w:after="0" w:line="240" w:lineRule="auto"/>
            </w:pPr>
            <w:r>
              <w:rPr>
                <w:color w:val="172033"/>
                <w:sz w:val="16"/>
              </w:rPr>
              <w:t>At least one full challenger evaluation is reproducible from stored inputs and passes promotion-policy tests.</w:t>
            </w:r>
          </w:p>
        </w:tc>
      </w:tr>
    </w:tbl>
    <w:p>
      <w:pPr>
        <w:spacing w:after="0"/>
      </w:pPr>
    </w:p>
    <w:p>
      <w:r>
        <w:t>Any proposal for live trading starts a separate architecture and security review. Paper performance alone is not approval to add exchange trading permissions.</w:t>
      </w:r>
    </w:p>
    <w:p>
      <w:pPr>
        <w:pStyle w:val="Heading1"/>
      </w:pPr>
      <w:r>
        <w:rPr>
          <w:color w:val="0E3152"/>
        </w:rPr>
        <w:t>References</w:t>
      </w:r>
    </w:p>
    <w:p>
      <w:pPr>
        <w:spacing w:after="60"/>
        <w:ind w:left="288" w:hanging="187"/>
      </w:pPr>
      <w:r>
        <w:t xml:space="preserve">• </w:t>
      </w:r>
      <w:hyperlink r:id="rId15">
        <w:r>
          <w:rPr>
            <w:color w:val="2F6FA3"/>
            <w:u w:val="single"/>
          </w:rPr>
          <w:t>TypeSafe System One concepts</w:t>
        </w:r>
      </w:hyperlink>
    </w:p>
    <w:p>
      <w:pPr>
        <w:spacing w:after="60"/>
        <w:ind w:left="288" w:hanging="187"/>
      </w:pPr>
      <w:r>
        <w:t xml:space="preserve">• </w:t>
      </w:r>
      <w:hyperlink r:id="rId16">
        <w:r>
          <w:rPr>
            <w:color w:val="2F6FA3"/>
            <w:u w:val="single"/>
          </w:rPr>
          <w:t>OpenRouter TypeSafe/Jev models</w:t>
        </w:r>
      </w:hyperlink>
    </w:p>
    <w:p>
      <w:pPr>
        <w:spacing w:after="60"/>
        <w:ind w:left="288" w:hanging="187"/>
      </w:pPr>
      <w:r>
        <w:t xml:space="preserve">• </w:t>
      </w:r>
      <w:hyperlink r:id="rId17">
        <w:r>
          <w:rPr>
            <w:color w:val="2F6FA3"/>
            <w:u w:val="single"/>
          </w:rPr>
          <w:t>OpenRouter API quickstart</w:t>
        </w:r>
      </w:hyperlink>
    </w:p>
    <w:p>
      <w:pPr>
        <w:spacing w:after="60"/>
        <w:ind w:left="288" w:hanging="187"/>
      </w:pPr>
      <w:r>
        <w:t xml:space="preserve">• </w:t>
      </w:r>
      <w:hyperlink r:id="rId18">
        <w:r>
          <w:rPr>
            <w:color w:val="2F6FA3"/>
            <w:u w:val="single"/>
          </w:rPr>
          <w:t>CCXT manual</w:t>
        </w:r>
      </w:hyperlink>
    </w:p>
    <w:p>
      <w:pPr>
        <w:spacing w:after="60"/>
        <w:ind w:left="288" w:hanging="187"/>
      </w:pPr>
      <w:r>
        <w:t xml:space="preserve">• </w:t>
      </w:r>
      <w:hyperlink r:id="rId19">
        <w:r>
          <w:rPr>
            <w:color w:val="2F6FA3"/>
            <w:u w:val="single"/>
          </w:rPr>
          <w:t>Binance derivatives API catalog</w:t>
        </w:r>
      </w:hyperlink>
    </w:p>
    <w:sectPr>
      <w:headerReference r:id="rId10" w:type="default"/>
      <w:headerReference r:id="rId11" w:type="first"/>
      <w:footerReference r:id="rId12" w:type="default"/>
      <w:footerReference r:id="rId13" w:type="first"/>
      <w:pgSz w:h="15840" w:w="12240" w:orient="portrait"/>
      <w:pgMar w:bottom="893" w:top="893" w:left="1008" w:right="1008" w:header="720" w:footer="720"/>
      <w:pgNumType w:start="1"/>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Calibri"/>
  <w:font w:name="Helvetica Neue">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 w:name="Helvetica Neue Light">
    <w:embedRegular w:fontKey="{00000000-0000-0000-0000-000000000000}" r:id="rId5" w:subsetted="0"/>
    <w:embedBold w:fontKey="{00000000-0000-0000-0000-000000000000}" r:id="rId6" w:subsetted="0"/>
    <w:embedItalic w:fontKey="{00000000-0000-0000-0000-000000000000}" r:id="rId7" w:subsetted="0"/>
    <w:embedBoldItalic w:fontKey="{00000000-0000-0000-0000-000000000000}" r:id="rId8"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14:paraId="000000F7">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60" w:lineRule="auto"/>
      <w:ind w:left="0" w:right="0" w:firstLine="0"/>
      <w:jc w:val="center"/>
      <w:rPr>
        <w:rFonts w:ascii="Arial" w:cs="Arial" w:eastAsia="Arial" w:hAnsi="Arial"/>
        <w:b w:val="0"/>
        <w:bCs w:val="0"/>
        <w:i w:val="0"/>
        <w:iCs w:val="0"/>
        <w:smallCaps w:val="0"/>
        <w:strike w:val="0"/>
        <w:color w:val="5b7085"/>
        <w:sz w:val="20"/>
        <w:szCs w:val="20"/>
        <w:u w:val="none"/>
        <w:shd w:fill="auto" w:val="clear"/>
        <w:vertAlign w:val="baseline"/>
      </w:rPr>
    </w:pPr>
    <w:r>
      <w:rPr>
        <w:rFonts w:ascii="Arial" w:cs="Arial" w:eastAsia="Arial" w:hAnsi="Arial"/>
        <w:b w:val="0"/>
        <w:bCs w:val="0"/>
        <w:i w:val="0"/>
        <w:iCs w:val="0"/>
        <w:smallCaps w:val="0"/>
        <w:strike w:val="0"/>
        <w:color w:val="586980"/>
        <w:sz w:val="16"/>
        <w:szCs w:val="16"/>
        <w:u w:val="none"/>
        <w:shd w:fill="auto" w:val="clear"/>
        <w:vertAlign w:val="baseline"/>
        <w:rtl w:val="0"/>
      </w:rPr>
      <w:t>Crypto Intraday Trading System | Proposed System Design</w:t>
    </w:r>
    <w:r>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14:paraId="000000F9">
    <w:pPr>
      <w:rPr/>
    </w:pPr>
    <w:r>
      <w:rPr>
        <w:rtl w:val="0"/>
      </w:rPr>
    </w:r>
  </w:p>
</w:ftr>
</file>

<file path=word/footnotes.xml><?xml version="1.0" encoding="utf-8"?>
<w:footnot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otnote w:id="0">
    <w:p w14:paraId="000000F5">
      <w:pPr>
        <w:spacing w:after="0" w:line="270" w:lineRule="auto"/>
        <w:jc w:val="both"/>
        <w:rPr/>
      </w:pPr>
      <w:r>
        <w:rPr>
          <w:rStyle w:val="FootnoteReference"/>
          <w:vertAlign w:val="superscript"/>
        </w:rPr>
        <w:footnoteRef/>
      </w:r>
      <w:r>
        <w:rPr>
          <w:color w:val="233447"/>
          <w:rtl w:val="0"/>
        </w:rPr>
        <w:t xml:space="preserve"> Use footnotes for definitions, assumptions, or terms that need precision without interrupting the main narrative.</w:t>
      </w:r>
      <w:r>
        <w:rPr>
          <w:rtl w:val="0"/>
        </w:rPr>
      </w:r>
    </w:p>
  </w:footnote>
</w:footnote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14:paraId="000000F6">
    <w:pPr>
      <w:rPr/>
    </w:pPr>
    <w:r>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14:paraId="000000F8">
    <w:pPr>
      <w:rPr/>
    </w:pPr>
    <w:r>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lowerLetter"/>
      <w:lvlText w:val="%1."/>
      <w:lvlJc w:val="left"/>
      <w:pPr>
        <w:ind w:left="720" w:hanging="360"/>
      </w:pPr>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2">
    <w:lvl w:ilvl="0">
      <w:start w:val="1"/>
      <w:numFmt w:val="lowerLetter"/>
      <w:lvlText w:val="%1."/>
      <w:lvlJc w:val="left"/>
      <w:pPr>
        <w:ind w:left="360" w:hanging="360"/>
      </w:pPr>
      <w:rPr/>
    </w:lvl>
    <w:lvl w:ilvl="1">
      <w:start w:val="1"/>
      <w:numFmt w:val="lowerLetter"/>
      <w:lvlText w:val="%2)"/>
      <w:lvlJc w:val="left"/>
      <w:pPr>
        <w:ind w:left="720" w:hanging="360"/>
      </w:pPr>
      <w:rPr/>
    </w:lvl>
    <w:lvl w:ilvl="2">
      <w:start w:val="1"/>
      <w:numFmt w:val="lowerRoman"/>
      <w:lvlText w:val="%3)"/>
      <w:lvlJc w:val="left"/>
      <w:pPr>
        <w:ind w:left="1080" w:hanging="360"/>
      </w:pPr>
      <w:rPr/>
    </w:lvl>
    <w:lvl w:ilvl="3">
      <w:start w:val="1"/>
      <w:numFmt w:val="decimal"/>
      <w:lvlText w:val="(%4)"/>
      <w:lvlJc w:val="left"/>
      <w:pPr>
        <w:ind w:left="1440" w:hanging="360"/>
      </w:pPr>
      <w:rPr/>
    </w:lvl>
    <w:lvl w:ilvl="4">
      <w:start w:val="1"/>
      <w:numFmt w:val="lowerLetter"/>
      <w:lvlText w:val="(%5)"/>
      <w:lvlJc w:val="left"/>
      <w:pPr>
        <w:ind w:left="1800" w:hanging="360"/>
      </w:pPr>
      <w:rPr/>
    </w:lvl>
    <w:lvl w:ilvl="5">
      <w:start w:val="1"/>
      <w:numFmt w:val="lowerRoman"/>
      <w:lvlText w:val="(%6)"/>
      <w:lvlJc w:val="left"/>
      <w:pPr>
        <w:ind w:left="2160" w:hanging="360"/>
      </w:pPr>
      <w:rPr/>
    </w:lvl>
    <w:lvl w:ilvl="6">
      <w:start w:val="1"/>
      <w:numFmt w:val="decimal"/>
      <w:lvlText w:val="%7."/>
      <w:lvlJc w:val="left"/>
      <w:pPr>
        <w:ind w:left="2520" w:hanging="360"/>
      </w:pPr>
      <w:rPr/>
    </w:lvl>
    <w:lvl w:ilvl="7">
      <w:start w:val="1"/>
      <w:numFmt w:val="lowerLetter"/>
      <w:lvlText w:val="%8."/>
      <w:lvlJc w:val="left"/>
      <w:pPr>
        <w:ind w:left="2880" w:hanging="360"/>
      </w:pPr>
      <w:rPr/>
    </w:lvl>
    <w:lvl w:ilvl="8">
      <w:start w:val="1"/>
      <w:numFmt w:val="lowerRoman"/>
      <w:lvlText w:val="%9."/>
      <w:lvlJc w:val="left"/>
      <w:pPr>
        <w:ind w:left="3240" w:hanging="360"/>
      </w:pPr>
      <w:rPr/>
    </w:lvl>
  </w:abstractNum>
  <w:abstractNum w:abstractNumId="3">
    <w:lvl w:ilvl="0">
      <w:start w:val="1"/>
      <w:numFmt w:val="lowerLetter"/>
      <w:lvlText w:val="%1."/>
      <w:lvlJc w:val="left"/>
      <w:pPr>
        <w:ind w:left="360" w:hanging="360"/>
      </w:pPr>
      <w:rPr/>
    </w:lvl>
    <w:lvl w:ilvl="1">
      <w:start w:val="1"/>
      <w:numFmt w:val="lowerLetter"/>
      <w:lvlText w:val="%2)"/>
      <w:lvlJc w:val="left"/>
      <w:pPr>
        <w:ind w:left="720" w:hanging="360"/>
      </w:pPr>
      <w:rPr/>
    </w:lvl>
    <w:lvl w:ilvl="2">
      <w:start w:val="1"/>
      <w:numFmt w:val="lowerRoman"/>
      <w:lvlText w:val="%3)"/>
      <w:lvlJc w:val="left"/>
      <w:pPr>
        <w:ind w:left="1080" w:hanging="360"/>
      </w:pPr>
      <w:rPr/>
    </w:lvl>
    <w:lvl w:ilvl="3">
      <w:start w:val="1"/>
      <w:numFmt w:val="decimal"/>
      <w:lvlText w:val="(%4)"/>
      <w:lvlJc w:val="left"/>
      <w:pPr>
        <w:ind w:left="1440" w:hanging="360"/>
      </w:pPr>
      <w:rPr/>
    </w:lvl>
    <w:lvl w:ilvl="4">
      <w:start w:val="1"/>
      <w:numFmt w:val="lowerLetter"/>
      <w:lvlText w:val="(%5)"/>
      <w:lvlJc w:val="left"/>
      <w:pPr>
        <w:ind w:left="1800" w:hanging="360"/>
      </w:pPr>
      <w:rPr/>
    </w:lvl>
    <w:lvl w:ilvl="5">
      <w:start w:val="1"/>
      <w:numFmt w:val="lowerRoman"/>
      <w:lvlText w:val="(%6)"/>
      <w:lvlJc w:val="left"/>
      <w:pPr>
        <w:ind w:left="2160" w:hanging="360"/>
      </w:pPr>
      <w:rPr/>
    </w:lvl>
    <w:lvl w:ilvl="6">
      <w:start w:val="1"/>
      <w:numFmt w:val="decimal"/>
      <w:lvlText w:val="%7."/>
      <w:lvlJc w:val="left"/>
      <w:pPr>
        <w:ind w:left="2520" w:hanging="360"/>
      </w:pPr>
      <w:rPr/>
    </w:lvl>
    <w:lvl w:ilvl="7">
      <w:start w:val="1"/>
      <w:numFmt w:val="lowerLetter"/>
      <w:lvlText w:val="%8."/>
      <w:lvlJc w:val="left"/>
      <w:pPr>
        <w:ind w:left="2880" w:hanging="360"/>
      </w:pPr>
      <w:rPr/>
    </w:lvl>
    <w:lvl w:ilvl="8">
      <w:start w:val="1"/>
      <w:numFmt w:val="lowerRoman"/>
      <w:lvlText w:val="%9."/>
      <w:lvlJc w:val="left"/>
      <w:pPr>
        <w:ind w:left="3240" w:hanging="360"/>
      </w:pPr>
      <w:rPr/>
    </w:lvl>
  </w:abstractNum>
  <w:abstractNum w:abstractNumId="4">
    <w:lvl w:ilvl="0">
      <w:start w:val="1"/>
      <w:numFmt w:val="lowerLetter"/>
      <w:lvlText w:val="%1."/>
      <w:lvlJc w:val="left"/>
      <w:pPr>
        <w:ind w:left="360" w:hanging="360"/>
      </w:pPr>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num w:numId="1">
    <w:abstractNumId w:val="1"/>
  </w:num>
  <w:num w:numId="2">
    <w:abstractNumId w:val="2"/>
  </w:num>
  <w:num w:numId="3">
    <w:abstractNumId w:val="3"/>
  </w:num>
  <w:num w:numId="4">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color w:val="233447"/>
        <w:lang w:val="en"/>
      </w:rPr>
    </w:rPrDefault>
    <w:pPrDefault>
      <w:pPr>
        <w:spacing w:after="110" w:line="300"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pPr>
      <w:spacing w:after="120" w:line="240" w:lineRule="auto"/>
    </w:pPr>
    <w:rPr>
      <w:color w:val="172033"/>
      <w:sz w:val="19"/>
    </w:rPr>
  </w:style>
  <w:style w:type="paragraph" w:styleId="Heading1">
    <w:name w:val="heading 1"/>
    <w:basedOn w:val="Normal"/>
    <w:next w:val="Normal"/>
    <w:pPr>
      <w:keepNext/>
      <w:keepLines w:val="1"/>
      <w:pBdr>
        <w:top w:color="2f6b9a" w:space="2" w:sz="0" w:val="none"/>
        <w:left w:color="2f6b9a" w:space="2" w:sz="0" w:val="none"/>
        <w:bottom w:color="2f6b9a" w:space="2" w:sz="0" w:val="none"/>
        <w:right w:color="2f6b9a" w:space="2" w:sz="0" w:val="none"/>
      </w:pBdr>
      <w:spacing w:after="130" w:line="285" w:lineRule="auto"/>
    </w:pPr>
    <w:rPr>
      <w:b w:val="1"/>
      <w:bCs w:val="1"/>
      <w:color w:val="0E3152"/>
      <w:sz w:val="27"/>
      <w:szCs w:val="27"/>
    </w:rPr>
  </w:style>
  <w:style w:type="paragraph" w:styleId="Heading2">
    <w:name w:val="heading 2"/>
    <w:basedOn w:val="Normal"/>
    <w:next w:val="Normal"/>
    <w:pPr>
      <w:keepNext/>
      <w:keepLines w:val="1"/>
      <w:spacing w:after="0" w:before="200" w:lineRule="auto"/>
    </w:pPr>
    <w:rPr>
      <w:rFonts w:ascii="Calibri" w:cs="Calibri" w:eastAsia="Calibri" w:hAnsi="Calibri"/>
      <w:b w:val="1"/>
      <w:bCs w:val="1"/>
      <w:smallCaps w:val="1"/>
      <w:color w:val="0E3152"/>
      <w:sz w:val="19"/>
      <w:szCs w:val="19"/>
    </w:rPr>
  </w:style>
  <w:style w:type="paragraph" w:styleId="Heading3">
    <w:name w:val="heading 3"/>
    <w:basedOn w:val="Normal"/>
    <w:next w:val="Normal"/>
    <w:pPr>
      <w:keepNext/>
      <w:keepLines w:val="1"/>
    </w:pPr>
    <w:rPr>
      <w:rFonts w:ascii="Helvetica Neue" w:cs="Helvetica Neue" w:eastAsia="Helvetica Neue" w:hAnsi="Helvetica Neue"/>
      <w:b w:val="1"/>
      <w:bCs w:val="1"/>
      <w:color w:val="0E3152"/>
    </w:rPr>
  </w:style>
  <w:style w:type="paragraph" w:styleId="Heading4">
    <w:name w:val="heading 4"/>
    <w:basedOn w:val="Normal"/>
    <w:next w:val="Normal"/>
    <w:pPr>
      <w:keepNext w:val="1"/>
      <w:keepLines w:val="1"/>
      <w:spacing w:after="0" w:before="200" w:lineRule="auto"/>
    </w:pPr>
    <w:rPr>
      <w:rFonts w:ascii="Calibri" w:cs="Calibri" w:eastAsia="Calibri" w:hAnsi="Calibri"/>
      <w:b w:val="1"/>
      <w:bCs w:val="1"/>
      <w:i w:val="1"/>
      <w:iCs w:val="1"/>
      <w:color w:val="082a4a"/>
    </w:rPr>
  </w:style>
  <w:style w:type="paragraph" w:styleId="Heading5">
    <w:name w:val="heading 5"/>
    <w:basedOn w:val="Normal"/>
    <w:next w:val="Normal"/>
    <w:pPr>
      <w:keepNext w:val="1"/>
      <w:keepLines w:val="1"/>
      <w:spacing w:after="0" w:before="200" w:lineRule="auto"/>
    </w:pPr>
    <w:rPr>
      <w:rFonts w:ascii="Calibri" w:cs="Calibri" w:eastAsia="Calibri" w:hAnsi="Calibri"/>
      <w:color w:val="082a4a"/>
    </w:rPr>
  </w:style>
  <w:style w:type="paragraph" w:styleId="Heading6">
    <w:name w:val="heading 6"/>
    <w:basedOn w:val="Normal"/>
    <w:next w:val="Normal"/>
    <w:pPr>
      <w:keepNext w:val="1"/>
      <w:keepLines w:val="1"/>
      <w:spacing w:after="0" w:before="200" w:lineRule="auto"/>
    </w:pPr>
    <w:rPr>
      <w:rFonts w:ascii="Calibri" w:cs="Calibri" w:eastAsia="Calibri" w:hAnsi="Calibri"/>
      <w:i w:val="1"/>
      <w:iCs w:val="1"/>
      <w:color w:val="082a4a"/>
    </w:rPr>
  </w:style>
  <w:style w:type="paragraph" w:styleId="Title">
    <w:name w:val="Title"/>
    <w:basedOn w:val="Normal"/>
    <w:next w:val="Normal"/>
    <w:pPr>
      <w:spacing w:after="150" w:lineRule="auto"/>
    </w:pPr>
    <w:rPr>
      <w:b w:val="1"/>
      <w:bCs w:val="1"/>
      <w:color w:val="082a4a"/>
      <w:sz w:val="44"/>
      <w:szCs w:val="44"/>
    </w:rPr>
  </w:style>
  <w:style w:type="paragraph" w:styleId="Subtitle">
    <w:name w:val="Subtitle"/>
    <w:basedOn w:val="Normal"/>
    <w:next w:val="Normal"/>
    <w:pPr/>
    <w:rPr>
      <w:rFonts w:ascii="Calibri" w:cs="Calibri" w:eastAsia="Calibri" w:hAnsi="Calibri"/>
      <w:i w:val="1"/>
      <w:iCs w:val="1"/>
      <w:color w:val="082a4a"/>
      <w:sz w:val="24"/>
      <w:szCs w:val="24"/>
    </w:rPr>
  </w:style>
  <w:style w:type="table" w:styleId="Table1">
    <w:basedOn w:val="TableNormal"/>
    <w:tblPr>
      <w:tblStyleRowBandSize w:val="1"/>
      <w:tblStyleColBandSize w:val="1"/>
    </w:tblPr>
  </w:style>
  <w:style w:type="table" w:styleId="Table2">
    <w:basedOn w:val="TableNormal"/>
    <w:pPr>
      <w:spacing w:after="0" w:line="240" w:lineRule="auto"/>
    </w:pPr>
    <w:tblPr>
      <w:tblStyleRowBandSize w:val="1"/>
      <w:tblStyleColBandSize w:val="1"/>
      <w:tblCellMar>
        <w:top w:w="0.0" w:type="dxa"/>
        <w:left w:w="108.0" w:type="dxa"/>
        <w:bottom w:w="0.0" w:type="dxa"/>
        <w:right w:w="108.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3">
    <w:basedOn w:val="TableNormal"/>
    <w:pPr>
      <w:spacing w:after="0" w:line="240" w:lineRule="auto"/>
    </w:pPr>
    <w:tblPr>
      <w:tblStyleRowBandSize w:val="1"/>
      <w:tblStyleColBandSize w:val="1"/>
      <w:tblCellMar>
        <w:top w:w="0.0" w:type="dxa"/>
        <w:left w:w="108.0" w:type="dxa"/>
        <w:bottom w:w="0.0" w:type="dxa"/>
        <w:right w:w="108.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4">
    <w:basedOn w:val="TableNormal"/>
    <w:pPr>
      <w:spacing w:after="0" w:line="240" w:lineRule="auto"/>
    </w:pPr>
    <w:tblPr>
      <w:tblStyleRowBandSize w:val="1"/>
      <w:tblStyleColBandSize w:val="1"/>
      <w:tblCellMar>
        <w:top w:w="0.0" w:type="dxa"/>
        <w:left w:w="108.0" w:type="dxa"/>
        <w:bottom w:w="0.0" w:type="dxa"/>
        <w:right w:w="108.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5">
    <w:basedOn w:val="TableNormal"/>
    <w:pPr>
      <w:spacing w:after="0" w:line="240" w:lineRule="auto"/>
    </w:pPr>
    <w:tblPr>
      <w:tblStyleRowBandSize w:val="1"/>
      <w:tblStyleColBandSize w:val="1"/>
      <w:tblCellMar>
        <w:top w:w="0.0" w:type="dxa"/>
        <w:left w:w="108.0" w:type="dxa"/>
        <w:bottom w:w="0.0" w:type="dxa"/>
        <w:right w:w="108.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6">
    <w:basedOn w:val="TableNormal"/>
    <w:pPr>
      <w:spacing w:after="0" w:line="240" w:lineRule="auto"/>
    </w:pPr>
    <w:tblPr>
      <w:tblStyleRowBandSize w:val="1"/>
      <w:tblStyleColBandSize w:val="1"/>
      <w:tblCellMar>
        <w:top w:w="0.0" w:type="dxa"/>
        <w:left w:w="108.0" w:type="dxa"/>
        <w:bottom w:w="0.0" w:type="dxa"/>
        <w:right w:w="108.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7">
    <w:basedOn w:val="TableNormal"/>
    <w:pPr>
      <w:spacing w:after="0" w:line="240" w:lineRule="auto"/>
    </w:pPr>
    <w:tblPr>
      <w:tblStyleRowBandSize w:val="1"/>
      <w:tblStyleColBandSize w:val="1"/>
      <w:tblCellMar>
        <w:top w:w="0.0" w:type="dxa"/>
        <w:left w:w="108.0" w:type="dxa"/>
        <w:bottom w:w="0.0" w:type="dxa"/>
        <w:right w:w="108.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8">
    <w:basedOn w:val="TableNormal"/>
    <w:pPr>
      <w:spacing w:after="0" w:line="240" w:lineRule="auto"/>
    </w:pPr>
    <w:tblPr>
      <w:tblStyleRowBandSize w:val="1"/>
      <w:tblStyleColBandSize w:val="1"/>
      <w:tblCellMar>
        <w:top w:w="0.0" w:type="dxa"/>
        <w:left w:w="108.0" w:type="dxa"/>
        <w:bottom w:w="0.0" w:type="dxa"/>
        <w:right w:w="108.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9">
    <w:basedOn w:val="TableNormal"/>
    <w:pPr>
      <w:spacing w:after="0" w:line="240" w:lineRule="auto"/>
    </w:pPr>
    <w:tblPr>
      <w:tblStyleRowBandSize w:val="1"/>
      <w:tblStyleColBandSize w:val="1"/>
      <w:tblCellMar>
        <w:top w:w="0.0" w:type="dxa"/>
        <w:left w:w="108.0" w:type="dxa"/>
        <w:bottom w:w="0.0" w:type="dxa"/>
        <w:right w:w="108.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s>
</file>

<file path=word/_rels/document.xml.rels><?xml version='1.0' encoding='UTF-8' standalone='yes'?>
<Relationships xmlns="http://schemas.openxmlformats.org/package/2006/relationships"><Relationship Id="rId11" Type="http://schemas.openxmlformats.org/officeDocument/2006/relationships/header" Target="header2.xml"/><Relationship Id="rId10" Type="http://schemas.openxmlformats.org/officeDocument/2006/relationships/header" Target="header1.xml"/><Relationship Id="rId13" Type="http://schemas.openxmlformats.org/officeDocument/2006/relationships/footer" Target="footer2.xml"/><Relationship Id="rId12" Type="http://schemas.openxmlformats.org/officeDocument/2006/relationships/footer" Target="footer1.xm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footnotes" Target="footnotes.xml"/><Relationship Id="rId9" Type="http://schemas.openxmlformats.org/officeDocument/2006/relationships/hyperlink" Target="https://example.com/system-design/contracts" TargetMode="External"/><Relationship Id="rId5" Type="http://schemas.openxmlformats.org/officeDocument/2006/relationships/numbering" Target="numbering.xml"/><Relationship Id="rId6" Type="http://schemas.openxmlformats.org/officeDocument/2006/relationships/styles" Target="styles.xml"/><Relationship Id="rId8" Type="http://schemas.openxmlformats.org/officeDocument/2006/relationships/image" Target="media/image1.png"/><Relationship Id="rId7" Type="http://schemas.openxmlformats.org/officeDocument/2006/relationships/image" Target="media/image2.png"/><Relationship Id="rId14" Type="http://schemas.openxmlformats.org/officeDocument/2006/relationships/image" Target="media/image3.png"/><Relationship Id="rId15" Type="http://schemas.openxmlformats.org/officeDocument/2006/relationships/hyperlink" Target="https://docs.typesafe.ai/concepts/system-one" TargetMode="External"/><Relationship Id="rId16" Type="http://schemas.openxmlformats.org/officeDocument/2006/relationships/hyperlink" Target="https://openrouter.ai/typesafe" TargetMode="External"/><Relationship Id="rId17" Type="http://schemas.openxmlformats.org/officeDocument/2006/relationships/hyperlink" Target="https://openrouter.ai/docs/quickstart" TargetMode="External"/><Relationship Id="rId18" Type="http://schemas.openxmlformats.org/officeDocument/2006/relationships/hyperlink" Target="https://github.com/ccxt/ccxt/wiki/Manual" TargetMode="External"/><Relationship Id="rId19" Type="http://schemas.openxmlformats.org/officeDocument/2006/relationships/hyperlink" Target="https://developers.binance.com/en/docs/catalog" TargetMode="External"/></Relationships>
</file>

<file path=word/_rels/fontTable.xml.rels><?xml version='1.0' encoding='UTF-8' standalone='yes'?>
<Relationships xmlns="http://schemas.openxmlformats.org/package/2006/relationships"><Relationship Id="rId1" Type="http://schemas.openxmlformats.org/officeDocument/2006/relationships/font" Target="fonts/HelveticaNeue-regular.ttf"/><Relationship Id="rId2" Type="http://schemas.openxmlformats.org/officeDocument/2006/relationships/font" Target="fonts/HelveticaNeue-bold.ttf"/><Relationship Id="rId3" Type="http://schemas.openxmlformats.org/officeDocument/2006/relationships/font" Target="fonts/HelveticaNeue-italic.ttf"/><Relationship Id="rId4" Type="http://schemas.openxmlformats.org/officeDocument/2006/relationships/font" Target="fonts/HelveticaNeue-boldItalic.ttf"/><Relationship Id="rId5" Type="http://schemas.openxmlformats.org/officeDocument/2006/relationships/font" Target="fonts/HelveticaNeueLight-regular.ttf"/><Relationship Id="rId6" Type="http://schemas.openxmlformats.org/officeDocument/2006/relationships/font" Target="fonts/HelveticaNeueLight-bold.ttf"/><Relationship Id="rId7" Type="http://schemas.openxmlformats.org/officeDocument/2006/relationships/font" Target="fonts/HelveticaNeueLight-italic.ttf"/><Relationship Id="rId8" Type="http://schemas.openxmlformats.org/officeDocument/2006/relationships/font" Target="fonts/HelveticaNeueLight-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core.xml><?xml version="1.0" encoding="utf-8"?>
<cp:coreProperties xmlns:cp="http://schemas.openxmlformats.org/package/2006/metadata/core-properties" xmlns:dc="http://purl.org/dc/elements/1.1/" xmlns:dcterms="http://purl.org/dc/terms/" xmlns:xsi="http://www.w3.org/2001/XMLSchema-instance">
  <dc:title>Crypto Intraday Trading System — Jev + Multi-Agent LLM</dc:title>
  <cp:lastModifiedBy>python-docx</cp:lastModifiedBy>
  <cp:revision>1</cp:revision>
  <dcterms:modified xsi:type="dcterms:W3CDTF">2026-09-22T02:17:16Z</dcterms:modified>
  <dc:subject>Proposed architecture for a paper-only BTCUSDT perpetual trading system</dc:subject>
  <dc:creator>Julius; OpenAI Codex</dc:creator>
  <cp:keywords>system design, paper trading, Jev, LLM, BTCUSDT, perpetual futures</cp:keywords>
  <dc:description>Generated from docs/crypto-intraday-system-design.md</dc:description>
</cp:coreProperties>
</file>