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E3152"/>
            <w:tcMar>
              <w:top w:w="260" w:type="dxa"/>
              <w:start w:w="260" w:type="dxa"/>
              <w:bottom w:w="260" w:type="dxa"/>
              <w:end w:w="26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SYSTEM DESIGN RFC</w:t>
            </w:r>
          </w:p>
        </w:tc>
      </w:tr>
    </w:tbl>
    <w:p>
      <w:pPr>
        <w:spacing w:after="400"/>
      </w:pPr>
    </w:p>
    <w:p>
      <w:pPr>
        <w:pStyle w:val="Title"/>
        <w:spacing w:after="60"/>
      </w:pPr>
      <w:r>
        <w:rPr>
          <w:color w:val="172033"/>
        </w:rPr>
        <w:t>AIGT — Multi-Asset Trading System</w:t>
      </w:r>
    </w:p>
    <w:p>
      <w:pPr>
        <w:pStyle w:val="Title"/>
        <w:spacing w:after="360"/>
      </w:pPr>
      <w:r>
        <w:rPr>
          <w:color w:val="2F6FA3"/>
        </w:rPr>
        <w:t>Spot / Perp · Jev + LLM</w:t>
      </w:r>
    </w:p>
    <w:p>
      <w:pPr>
        <w:spacing w:after="360"/>
      </w:pPr>
      <w:r>
        <w:rPr>
          <w:color w:val="586980"/>
          <w:sz w:val="20"/>
        </w:rPr>
        <w:t>Scoped replay/soak · Binance Demo execution opt-in · deterministic risk control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AF1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586980"/>
                <w:sz w:val="15"/>
              </w:rPr>
              <w:t>STATUS</w:t>
              <w:br/>
            </w:r>
            <w:r>
              <w:rPr>
                <w:b/>
                <w:color w:val="172033"/>
                <w:sz w:val="20"/>
              </w:rPr>
              <w:t>Current code architecture · v23</w:t>
            </w:r>
          </w:p>
        </w:tc>
        <w:tc>
          <w:tcPr>
            <w:tcW w:type="dxa" w:w="3408"/>
            <w:shd w:fill="EAF1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586980"/>
                <w:sz w:val="15"/>
              </w:rPr>
              <w:t>OWNER</w:t>
              <w:br/>
            </w:r>
            <w:r>
              <w:rPr>
                <w:b/>
                <w:color w:val="172033"/>
                <w:sz w:val="20"/>
              </w:rPr>
              <w:t>Julius</w:t>
            </w:r>
          </w:p>
        </w:tc>
        <w:tc>
          <w:tcPr>
            <w:tcW w:type="dxa" w:w="3408"/>
            <w:shd w:fill="EAF1F8"/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r>
              <w:rPr>
                <w:b/>
                <w:color w:val="586980"/>
                <w:sz w:val="15"/>
              </w:rPr>
              <w:t>LAST UPDATED</w:t>
              <w:br/>
            </w:r>
            <w:r>
              <w:rPr>
                <w:b/>
                <w:color w:val="172033"/>
                <w:sz w:val="20"/>
              </w:rPr>
              <w:t>October 1, 2026</w:t>
            </w:r>
          </w:p>
        </w:tc>
      </w:tr>
    </w:tbl>
    <w:p>
      <w:pPr>
        <w:spacing w:after="2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586980"/>
                <w:sz w:val="16"/>
              </w:rPr>
              <w:t>Authors</w:t>
            </w:r>
          </w:p>
        </w:tc>
        <w:tc>
          <w:tcPr>
            <w:tcW w:type="dxa" w:w="51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172033"/>
                <w:sz w:val="17"/>
              </w:rPr>
              <w:t>Julius; OpenAI Codex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586980"/>
                <w:sz w:val="16"/>
              </w:rPr>
              <w:t>Reviewers</w:t>
            </w:r>
          </w:p>
        </w:tc>
        <w:tc>
          <w:tcPr>
            <w:tcW w:type="dxa" w:w="51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172033"/>
                <w:sz w:val="17"/>
              </w:rPr>
              <w:t>Engineering and operations; execution acceptance remains a separate gate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586980"/>
                <w:sz w:val="16"/>
              </w:rPr>
              <w:t>Related docs</w:t>
            </w:r>
          </w:p>
        </w:tc>
        <w:tc>
          <w:tcPr>
            <w:tcW w:type="dxa" w:w="51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172033"/>
                <w:sz w:val="17"/>
              </w:rPr>
              <w:t>tasks/roadmap.md · docs/binance-demo-execution-runbook.md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b/>
                <w:color w:val="586980"/>
                <w:sz w:val="16"/>
              </w:rPr>
              <w:t>Scope</w:t>
            </w:r>
          </w:p>
        </w:tc>
        <w:tc>
          <w:tcPr>
            <w:tcW w:type="dxa" w:w="511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color w:val="172033"/>
                <w:sz w:val="17"/>
              </w:rPr>
              <w:t>Multi-asset Spot/Perp; source schema v23; code capability is not trading activation.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color w:val="586980"/>
          <w:sz w:val="16"/>
        </w:rPr>
        <w:t>Design artifact · not an authorization for live trading</w:t>
      </w:r>
      <w:r>
        <w:br w:type="page"/>
      </w:r>
    </w:p>
    <w:p>
      <w:pPr>
        <w:pStyle w:val="Heading1"/>
      </w:pPr>
      <w:r>
        <w:rPr>
          <w:color w:val="0E3152"/>
        </w:rPr>
        <w:t>1. Mục tiêu và ranh giới</w:t>
      </w:r>
    </w:p>
    <w:p>
      <w:r>
        <w:t>AIGT đưa mỗi coin/scope qua catalog → evidence → baseline/candidate → replay/soak → champion → activation execution riêng. Binance là nguồn thị trường nghiên cứu chính. Spot và Perp có lifecycle độc lập; không còn giới hạn bootstrap ở ETH hoặc execution ở BTC.</w:t>
      </w:r>
    </w:p>
    <w:p>
      <w:r>
        <w:t>Jev đề xuất quyết định. LLM tạo phân tích/thesis và bounded rule proposal. Code deterministic sở hữu validation, sizing, hard-risk, reconciliation và exits. Không model nào tự promote rule, bật trading, đổi leverage hoặc vượt hard-risk.</w:t>
      </w:r>
    </w:p>
    <w:p>
      <w:r>
        <w:t>Ba luồng phải được gọi đúng tên: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Luồng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Dữ liệu/vị thế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Có đặt lệnh trên sàn?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Decision-only soak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Lưu model decision, heartbeat và forward outcome vào source DB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Không; không gọi ledger để tạo fill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Paper simulator legacy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Parent ledger BTC Spot/Perp, tài khoản giả lập tách khỏi lab/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Không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Binance Demo execution opt-in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Account/order/fill thực tế trên môi trường Demo, journal riêng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Có, chỉ sau activation; không phải tiền thật/mainnet</w:t>
            </w:r>
          </w:p>
        </w:tc>
      </w:tr>
    </w:tbl>
    <w:p>
      <w:pPr>
        <w:spacing w:after="0"/>
      </w:pPr>
    </w:p>
    <w:p>
      <w:r>
        <w:rPr>
          <w:b/>
        </w:rPr>
        <w:t>Đã có code ≠ đã deploy ≠ đã bật/đã nghiệm thu.</w:t>
      </w:r>
      <w:r>
        <w:t xml:space="preserve"> Cài key hoặc deploy image không chứng minh quyền order-write, native-stop hay fill semantics. Binance live, Hyperliquid execution và DEX execution khác chưa được hỗ trợ. </w:t>
      </w:r>
      <w:r>
        <w:rPr>
          <w:rFonts w:ascii="Liberation Mono" w:hAnsi="Liberation Mono"/>
          <w:color w:val="172033"/>
          <w:sz w:val="17"/>
        </w:rPr>
        <w:t>connect bnb</w:t>
      </w:r>
      <w:r>
        <w:t xml:space="preserve">, </w:t>
      </w:r>
      <w:r>
        <w:rPr>
          <w:rFonts w:ascii="Liberation Mono" w:hAnsi="Liberation Mono"/>
          <w:color w:val="172033"/>
          <w:sz w:val="17"/>
        </w:rPr>
        <w:t>connect hl demo</w:t>
      </w:r>
      <w:r>
        <w:t xml:space="preserve">, </w:t>
      </w:r>
      <w:r>
        <w:rPr>
          <w:rFonts w:ascii="Liberation Mono" w:hAnsi="Liberation Mono"/>
          <w:color w:val="172033"/>
          <w:sz w:val="17"/>
        </w:rPr>
        <w:t>connect hl</w:t>
      </w:r>
      <w:r>
        <w:t xml:space="preserve"> chỉ là cú pháp dành sẵn.</w:t>
      </w:r>
    </w:p>
    <w:p>
      <w:r>
        <w:br w:type="page"/>
      </w:r>
    </w:p>
    <w:p>
      <w:pPr>
        <w:keepLines/>
        <w:jc w:val="center"/>
      </w:pPr>
      <w:r>
        <w:drawing>
          <wp:inline>
            <wp:extent cx="6235943" cy="7132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ypto-intraday-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35943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86980"/>
          <w:sz w:val="15"/>
        </w:rPr>
        <w:t>Figure 1. Current components and trust boundaries; capability is not activation.</w:t>
      </w:r>
    </w:p>
    <w:p>
      <w:r>
        <w:br w:type="page"/>
      </w:r>
    </w:p>
    <w:p>
      <w:pPr>
        <w:keepLines/>
        <w:jc w:val="center"/>
      </w:pPr>
      <w:r>
        <w:drawing>
          <wp:inline>
            <wp:extent cx="3517056" cy="71323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ypto-intraday-decision-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7056" cy="713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86980"/>
          <w:sz w:val="15"/>
        </w:rPr>
        <w:t>Figure 2. Decision-only soak and separately activated Demo execution.</w:t>
      </w:r>
    </w:p>
    <w:p>
      <w:r>
        <w:br w:type="page"/>
      </w:r>
    </w:p>
    <w:p>
      <w:pPr>
        <w:pStyle w:val="Heading1"/>
      </w:pPr>
      <w:r>
        <w:rPr>
          <w:color w:val="0E3152"/>
        </w:rPr>
        <w:t>2. Thành phần và quyền truy cập</w:t>
      </w:r>
    </w:p>
    <w:p>
      <w:pPr>
        <w:keepLines/>
        <w:spacing w:before="60" w:after="160"/>
        <w:ind w:left="259" w:right="259"/>
        <w:shd w:fill="F4F6F8"/>
      </w:pPr>
      <w:r>
        <w:rPr>
          <w:rFonts w:ascii="Liberation Mono" w:hAnsi="Liberation Mono"/>
          <w:color w:val="172033"/>
          <w:sz w:val="15"/>
        </w:rPr>
        <w:t>Market/news collectors → closed-bar snapshots → rule setup + Jev → source SQLite v23</w:t>
        <w:br/>
        <w:t xml:space="preserve">                                      ↑                  ↑             │</w:t>
        <w:br/>
        <w:t xml:space="preserve">                              LLM thesis/proposal → rule lifecycle     │ chỉ đọc</w:t>
        <w:br/>
        <w:t xml:space="preserve">                                                        │ operator     ▼</w:t>
        <w:br/>
        <w:t xml:space="preserve">                                                 approve/promote   Demo risk runtime</w:t>
        <w:br/>
        <w:t xml:space="preserve">                                                                       │</w:t>
        <w:br/>
        <w:t xml:space="preserve">                                                          durable intent + adapter</w:t>
        <w:br/>
        <w:t xml:space="preserve">                                                                       │</w:t>
        <w:br/>
        <w:t xml:space="preserve">                                                                Binance Demo API</w:t>
        <w:br/>
        <w:t xml:space="preserve">                                                                       │</w:t>
        <w:br/>
        <w:t xml:space="preserve">                                                         execution SQLite journal</w:t>
      </w:r>
    </w:p>
    <w:p>
      <w:r>
        <w:t xml:space="preserve">Sơ đồ tổng quan tương tác nằm ở </w:t>
      </w:r>
      <w:r>
        <w:rPr>
          <w:rFonts w:ascii="Liberation Mono" w:hAnsi="Liberation Mono"/>
          <w:color w:val="172033"/>
          <w:sz w:val="17"/>
        </w:rPr>
        <w:t>/system-plan</w:t>
      </w:r>
      <w:r>
        <w:t xml:space="preserve">; JSON nguồn là </w:t>
      </w:r>
      <w:r>
        <w:rPr>
          <w:rFonts w:ascii="Liberation Mono" w:hAnsi="Liberation Mono"/>
          <w:color w:val="172033"/>
          <w:sz w:val="17"/>
        </w:rPr>
        <w:t>docs/diagrams/system-trading.architecture.json</w:t>
      </w:r>
      <w:r>
        <w:t>. HTML được sinh bằng Archify, không sửa tay. Nội dung authored là tiếng Việt; fixed Viewer UI và HTML locale mặc định English. Sơ đồ rút gọn không thay thế các quyền chi tiết sau: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Thành phần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Quyền / trách nhiệm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Soak worker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Ghi source DB; đọc provider/source secrets; không đặt exchange order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Web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Read projections; các mutation catalog/provider/operator cần token và idempotency; không giữ exchange key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Admin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CLI quản trị theo deployment hoặc native path; quyền được giới hạn theo lệnh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Demo worker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Source DB read-only; execution journal riêng writable; key mount read-only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Perp settings controller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Profile opt-in riêng; xác nhận leverage, gửi thay đổi rồi GET read-back; không activate trading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Hermes add-on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Operator API với token riêng; không nằm trong hot path, không tự promote</w:t>
            </w:r>
          </w:p>
        </w:tc>
      </w:tr>
    </w:tbl>
    <w:p>
      <w:pPr>
        <w:spacing w:after="0"/>
      </w:pPr>
    </w:p>
    <w:p>
      <w:r>
        <w:t>Source schema v23 thêm catalog, venue routes và scan/request metadata, không rewrite candles, signal, rule hoặc soak evidence. Journal execution có migration/schema riêng; không dùng số version của source DB để suy ra version của journal.</w:t>
      </w:r>
    </w:p>
    <w:p>
      <w:pPr>
        <w:pStyle w:val="Heading1"/>
      </w:pPr>
      <w:r>
        <w:rPr>
          <w:color w:val="0E3152"/>
        </w:rPr>
        <w:t>3. Coin và venue onboarding</w:t>
      </w:r>
    </w:p>
    <w:p>
      <w:r>
        <w:t>Catalog động seed BTC, ETH, HYPE, NEAR, ZEC, SOL; coin khác có thể đăng ký nếu syntax, mapping và market được hỗ trợ. Capability không còn ticker-gated; lifecycle/evidence vẫn quyết định quyền gọi model và execution.</w:t>
      </w:r>
    </w:p>
    <w:p>
      <w:r>
        <w:t xml:space="preserve">Spot và Perp đi riêng: </w:t>
      </w:r>
      <w:r>
        <w:rPr>
          <w:b/>
        </w:rPr>
        <w:t>add → scan → xem listing/volume/spread/depth/size impact → chọn venue</w:t>
      </w:r>
      <w:r>
        <w:t>. Non-interactive add không tự chọn sàn; chọn route cũng không activate trading. Scan Demo/Testnet, route selection và execution quote không fallback sang mainnet. Chỉ Binance Demo execution hiện selectable. Variational testnet chưa được xác minh; nguồn thiếu/timeout/empty book hiển thị N/A, không giả volume hay thanh khoản.</w:t>
      </w:r>
    </w:p>
    <w:p>
      <w:r>
        <w:t xml:space="preserve">Discovery thanh khoản là snapshot, không phải đảm bảo fill. Signal nghiên cứu vẫn dùng Binance public/mainnet market data; Demo quotes được kiểm tra dislocation trước entry. Xem </w:t>
      </w:r>
      <w:hyperlink r:id="rId15">
        <w:r>
          <w:rPr>
            <w:color w:val="2F6FA3"/>
            <w:u w:val="single"/>
          </w:rPr>
          <w:t>Demo runbook</w:t>
        </w:r>
      </w:hyperlink>
      <w:r>
        <w:t xml:space="preserve"> cho add/scan/venue/configure/activate.</w:t>
      </w:r>
    </w:p>
    <w:p>
      <w:pPr>
        <w:pStyle w:val="Heading1"/>
      </w:pPr>
      <w:r>
        <w:rPr>
          <w:color w:val="0E3152"/>
        </w:rPr>
        <w:t>4. Dữ liệu, cadence và model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Job / runtime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Nhịp mặc định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Model / ranh giới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Legacy paper risk/mark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5 giây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Deterministic; không áp nhịp này cho mọi runtime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Book / Spot quote cache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15 giây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Không model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Perp numeric primary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30 giây mỗi coin soak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Jev; shadow chỉ lưu market data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Derivatives metadata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60 giây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Funding/OI/long-short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Compact shadow experiment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15 phút, khi runtime tương ứng chạy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Jev observation-only; không phải mỗi coin luôn có paired call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Spot 4h observation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Nến UTC 4h đóng mới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Native 8h/1d context; chỉ hỏi Jev khi có rule/setup và lifecycle soak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Legacy Spot daily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Nến 1d đóng mới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Compatibility; không mở entry mới trong paper path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News ingest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30 phút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Normalize/allowlist; external text không có quyền lệnh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LLM analysis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60 phút khi evidence thay đổi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Market/news/sentiment → thesis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Asset LLM proposal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Slot hằng ngày, xét eligibility riêng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Fresh evidence, một open candidate; tối đa 3 calls/90 ngày/coin/scope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Legacy paper retrospective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09:00 Asia/Ho_Chi_Minh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Có code trong paper loop; không coi soak worker đã tạo retrospective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Demo execution profile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30 giây mặc định</w:t>
            </w:r>
          </w:p>
        </w:tc>
        <w:tc>
          <w:tcPr>
            <w:tcW w:type="dxa" w:w="3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Reconcile/protect/exit/entry theo Demo runtime</w:t>
            </w:r>
          </w:p>
        </w:tc>
      </w:tr>
    </w:tbl>
    <w:p>
      <w:pPr>
        <w:spacing w:after="0"/>
      </w:pPr>
    </w:p>
    <w:p>
      <w:r>
        <w:t xml:space="preserve">Cadence là cấu hình, không phải bằng chứng job đang chạy. Kiểm tra scheduler/projection và model-call mới nhất riêng từng role; không chỉ nhìn một danh sách mixed calls. </w:t>
      </w:r>
      <w:r>
        <w:rPr>
          <w:rFonts w:ascii="Liberation Mono" w:hAnsi="Liberation Mono"/>
          <w:color w:val="172033"/>
          <w:sz w:val="17"/>
        </w:rPr>
        <w:t>status.provider=stub</w:t>
      </w:r>
      <w:r>
        <w:t xml:space="preserve"> là cấu hình fallback, không phủ định active provider assignments. Jev timeout/malformed response không cho phép entry; exits/protection không cần model. LLM lỗi không được đổi champion hoặc ghi đè evidence.</w:t>
      </w:r>
    </w:p>
    <w:p>
      <w:r>
        <w:t xml:space="preserve">Hyperliquid, Aster, Variational, Lighter, CryptoRank và Leviathan là các nguồn evidence, không đồng nghĩa đã có adapter đặt lệnh cho các sàn đó. Xem </w:t>
      </w:r>
      <w:hyperlink r:id="rId16">
        <w:r>
          <w:rPr>
            <w:color w:val="2F6FA3"/>
            <w:u w:val="single"/>
          </w:rPr>
          <w:t>external data runbook</w:t>
        </w:r>
      </w:hyperlink>
      <w:r>
        <w:t xml:space="preserve"> cho cadence/TTL và giới hạn shadow.</w:t>
      </w:r>
    </w:p>
    <w:p>
      <w:r>
        <w:t>Mọi candle/event/journal sử dụng UTC và timestamp nguồn/received riêng. Dashboard lịch sử sử dụng UTC+7; hiển thị không làm đổi ranh giới nến.</w:t>
      </w:r>
    </w:p>
    <w:p>
      <w:pPr>
        <w:pStyle w:val="Heading1"/>
      </w:pPr>
      <w:r>
        <w:rPr>
          <w:color w:val="0E3152"/>
        </w:rPr>
        <w:t>5. Rule lifecycle và gate</w:t>
      </w:r>
    </w:p>
    <w:p>
      <w:r>
        <w:t xml:space="preserve">Rule/registry/evaluation tách theo </w:t>
      </w:r>
      <w:r>
        <w:rPr>
          <w:rFonts w:ascii="Liberation Mono" w:hAnsi="Liberation Mono"/>
          <w:color w:val="172033"/>
          <w:sz w:val="17"/>
        </w:rPr>
        <w:t>(symbol, scope)</w:t>
      </w:r>
      <w:r>
        <w:t>; champion BTC không cấp quyền cho ETH. Chung schema/baseline defaults không có nghĩa dùng chung evaluation.</w:t>
      </w:r>
    </w:p>
    <w:p>
      <w:pPr>
        <w:pStyle w:val="Heading2"/>
      </w:pPr>
      <w:r>
        <w:rPr>
          <w:color w:val="0E3152"/>
        </w:rPr>
        <w:t>Spot 4h</w:t>
      </w:r>
    </w:p>
    <w:p>
      <w:pPr>
        <w:spacing w:after="60"/>
        <w:ind w:left="317" w:hanging="259"/>
      </w:pPr>
      <w:r>
        <w:t>1. Closed native 4h history ≥365 ngày, coverage ≥99%; 8h/1d context tải native.</w:t>
      </w:r>
    </w:p>
    <w:p>
      <w:pPr>
        <w:spacing w:after="60"/>
        <w:ind w:left="317" w:hanging="259"/>
      </w:pPr>
      <w:r>
        <w:t>2. Replay walk-forward: ≥6 OOS closed trades, return sau chi phí &gt;0, drawdown &lt;8%,</w:t>
      </w:r>
      <w:r>
        <w:t xml:space="preserve"> không hard-risk violation; champion comparison khi có champion.</w:t>
      </w:r>
    </w:p>
    <w:p>
      <w:pPr>
        <w:spacing w:after="60"/>
        <w:ind w:left="317" w:hanging="259"/>
      </w:pPr>
      <w:r>
        <w:t xml:space="preserve">3. Operator bắt đầu decision-only soak bằng </w:t>
      </w:r>
      <w:r>
        <w:rPr>
          <w:b/>
        </w:rPr>
        <w:t>đúng passing replay ID</w:t>
      </w:r>
      <w:r>
        <w:t>.</w:t>
      </w:r>
    </w:p>
    <w:p>
      <w:pPr>
        <w:spacing w:after="60"/>
        <w:ind w:left="317" w:hanging="259"/>
      </w:pPr>
      <w:r>
        <w:t>4. Soak ≥14 ngày, heartbeat ≥95%, ≥6 distinct setups có outcome sau 12h,</w:t>
      </w:r>
      <w:r>
        <w:t xml:space="preserve"> score sau chi phí &gt;0, không hard-risk violation.</w:t>
      </w:r>
    </w:p>
    <w:p>
      <w:pPr>
        <w:spacing w:after="60"/>
        <w:ind w:left="317" w:hanging="259"/>
      </w:pPr>
      <w:r>
        <w:t xml:space="preserve">5. Evaluate rồi promote bằng </w:t>
      </w:r>
      <w:r>
        <w:rPr>
          <w:b/>
        </w:rPr>
        <w:t>đúng latest passing soak ID</w:t>
      </w:r>
      <w:r>
        <w:t>; sau đó mới xét</w:t>
      </w:r>
      <w:r>
        <w:t xml:space="preserve"> activation Demo riêng. Promote không tạo fill.</w:t>
      </w:r>
    </w:p>
    <w:p>
      <w:r>
        <w:t>Replay thường hoàn thành nhanh khi đã có history; 365 ngày là lookback, không phải thời gian phải chờ thu thập. 14 ngày chỉ là minimum, thiếu setup vẫn deferred.</w:t>
      </w:r>
    </w:p>
    <w:p>
      <w:r>
        <w:rPr>
          <w:b/>
        </w:rPr>
        <w:t>Giới hạn replay hiện tại:</w:t>
      </w:r>
      <w:r>
        <w:t xml:space="preserve"> </w:t>
      </w:r>
      <w:r>
        <w:rPr>
          <w:rFonts w:ascii="Liberation Mono" w:hAnsi="Liberation Mono"/>
          <w:color w:val="172033"/>
          <w:sz w:val="17"/>
        </w:rPr>
        <w:t>_walk_forward</w:t>
      </w:r>
      <w:r>
        <w:t xml:space="preserve"> mô phỏng Donchian next-open và chi phí cố định 0,15% mỗi chiều. Chưa mô phỏng đầy đủ ATR sizing, allocation đa coin, Spot emergency stop 10% hoặc shared Demo loss/margin guards. Return/DD này là kết quả của evaluator đó, không phải dự báo PnL hay full-risk parity với Demo. Không hạ gate hoặc rewrite evaluation cũ để làm candidate pass.</w:t>
      </w:r>
    </w:p>
    <w:p>
      <w:pPr>
        <w:pStyle w:val="Heading2"/>
      </w:pPr>
      <w:r>
        <w:rPr>
          <w:color w:val="0E3152"/>
        </w:rPr>
        <w:t>Perp bootstrap</w:t>
      </w:r>
    </w:p>
    <w:p>
      <w:pPr>
        <w:spacing w:after="60"/>
        <w:ind w:left="317" w:hanging="259"/>
      </w:pPr>
      <w:r>
        <w:t>1. Baseline decision soak trước replay: ≥14 ngày, ≥100 matured 15m outcomes,</w:t>
      </w:r>
      <w:r>
        <w:t xml:space="preserve"> outcome và 30s heartbeat coverage ≥95%.</w:t>
      </w:r>
    </w:p>
    <w:p>
      <w:pPr>
        <w:spacing w:after="60"/>
        <w:ind w:left="317" w:hanging="259"/>
      </w:pPr>
      <w:r>
        <w:t>2. Replay chỉ dùng evidence trước cutoff.</w:t>
      </w:r>
    </w:p>
    <w:p>
      <w:pPr>
        <w:spacing w:after="60"/>
        <w:ind w:left="317" w:hanging="259"/>
      </w:pPr>
      <w:r>
        <w:t>3. Post-replay validation dùng evidence riêng sau passing replay: ≥72 giờ,</w:t>
      </w:r>
      <w:r>
        <w:t xml:space="preserve"> ≥100 outcomes, coverage ≥95%, score sau chi phí &gt;0, không hard-risk violation.</w:t>
      </w:r>
    </w:p>
    <w:p>
      <w:pPr>
        <w:spacing w:after="60"/>
        <w:ind w:left="317" w:hanging="259"/>
      </w:pPr>
      <w:r>
        <w:t>4. Operator promote bằng đúng latest passing validation/soak ID; execution activation riêng.</w:t>
      </w:r>
    </w:p>
    <w:p>
      <w:r>
        <w:t xml:space="preserve">Vì vậy Perp mới thường cần </w:t>
      </w:r>
      <w:r>
        <w:rPr>
          <w:b/>
        </w:rPr>
        <w:t>ít nhất 14 ngày + 72 giờ</w:t>
      </w:r>
      <w:r>
        <w:t>, không chỉ 14 ngày. BTC Perp legacy có champion và portfolio evaluation riêng; Demo có compatibility exception cho passing BTC parent evaluation. Không copy exception sang coin khác.</w:t>
      </w:r>
    </w:p>
    <w:p>
      <w:r>
        <w:t>LLM chỉ đề xuất khi rejection/deterioration và đủ fresh evidence; không auto-replay, auto-start Spot soak, auto-promote hay auto-activate. Rejection là kết quả hợp lệ.</w:t>
      </w:r>
    </w:p>
    <w:p>
      <w:pPr>
        <w:pStyle w:val="Heading1"/>
      </w:pPr>
      <w:r>
        <w:rPr>
          <w:color w:val="0E3152"/>
        </w:rPr>
        <w:t>6. Demo execution và hard-risk</w:t>
      </w:r>
    </w:p>
    <w:p>
      <w:r>
        <w:rPr>
          <w:rFonts w:ascii="Liberation Mono" w:hAnsi="Liberation Mono"/>
          <w:color w:val="172033"/>
          <w:sz w:val="17"/>
        </w:rPr>
        <w:t>ExecutionAdapter</w:t>
      </w:r>
      <w:r>
        <w:t xml:space="preserve"> tách signing, filters, quotes, account, order/fill và native protection khỏi signal engine. Simulator là adapter/ledger tương thích; Binance Demo có transport Spot và USD-M Perp riêng. Chưa có concurrent multi-venue capital routing.</w:t>
      </w:r>
    </w:p>
    <w:p>
      <w:r>
        <w:t>Multi-route allocation do operator chọn: capital &gt;0 và ≤10.000 USDT; Spot/Perp budget 60%/40%; effective per-sleeve notional caps 30%/20% operator capital. Weights mỗi sleeve tổng ≤1; phần chưa phân bổ giữ reserve, không tự rebalance. ATR có thể giảm Spot size; tăng leverage không tăng allocation notional.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Chính sách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E3152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Multi-route Demo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Spot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USDT long-only; chỉ inventory từ confirmed AIGT fills, không nhận seeded holdings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Spot emergency stop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Mặc định operator-selected 10% dưới actual entry; native SELL stop; Donchian exit riêng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Perp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USD-M USDT; One-way, Single-asset, Isolated; leverage verified từng cặp 1–10x, default 3x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Gross / margin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Gross ≤50% strategy equity; isolated margin budget ≤10%, dùng actual leverage/initial margin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Loss guards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Daily loss 1,5%; high-water drawdown 8%; deterministic recovery/flatten/halt paths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Entry sanity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Fresh model/source/account/quote, filters, available cash/margin và Demo/mainnet dislocation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Unknown order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Intent persist trước submit; reconcile bằng reads, không retry submit mù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Protection</w:t>
            </w:r>
          </w:p>
        </w:tc>
        <w:tc>
          <w:tcPr>
            <w:tcW w:type="dxa" w:w="51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6F8"/>
          </w:tcPr>
          <w:p>
            <w:pPr>
              <w:spacing w:after="0" w:line="240" w:lineRule="auto"/>
            </w:pPr>
            <w:r>
              <w:rPr>
                <w:color w:val="172033"/>
                <w:sz w:val="16"/>
              </w:rPr>
              <w:t>Stop failure/drift/pending reconciliation chặn entries; không bỏ bảo vệ để đổi settings</w:t>
            </w:r>
          </w:p>
        </w:tc>
      </w:tr>
    </w:tbl>
    <w:p>
      <w:pPr>
        <w:spacing w:after="0"/>
      </w:pPr>
    </w:p>
    <w:p>
      <w:r>
        <w:t>Legacy BTC Demo và simulated parent paper có contract riêng (bao gồm fixed 3x). Standalone intraday engine cũ có risk policy riêng; không nhập nhằng các margin/tranche limits của thiết kế lịch sử với multi-runtime đang dùng.</w:t>
      </w:r>
    </w:p>
    <w:p>
      <w:r>
        <w:rPr>
          <w:rFonts w:ascii="Liberation Mono" w:hAnsi="Liberation Mono"/>
          <w:color w:val="172033"/>
          <w:sz w:val="17"/>
        </w:rPr>
        <w:t>aigt perp ETH</w:t>
      </w:r>
      <w:r>
        <w:t xml:space="preserve"> đọc route, vị thế, mark/entry, unrealized PnL và leverage. </w:t>
      </w:r>
      <w:r>
        <w:rPr>
          <w:rFonts w:ascii="Liberation Mono" w:hAnsi="Liberation Mono"/>
          <w:color w:val="172033"/>
          <w:sz w:val="17"/>
        </w:rPr>
        <w:t>aigt perp ETH -leverage</w:t>
      </w:r>
      <w:r>
        <w:t>: nhập 1–10 → preview → Confirm/Cancel → venue write → GET read-back. Cặp phải paused/flat/reconciled; margin mode không đổi tự động. Dashboard queue có control token, settings controller riêng; web không cầm exchange key. Leverage confirmation không activate trading; legacy fixed-3x cần chuyển multi khi flat/paused.</w:t>
      </w:r>
    </w:p>
    <w:p>
      <w:r>
        <w:t>Fee/dust/third-asset fees, account cash drift, uncertain stop cancellation được giữ trong journal và có thể pause để reconcile. Không sell số dư seeded hoặc bỏ evidence khó đối soát.</w:t>
      </w:r>
    </w:p>
    <w:p>
      <w:pPr>
        <w:pStyle w:val="Heading1"/>
      </w:pPr>
      <w:r>
        <w:rPr>
          <w:color w:val="0E3152"/>
        </w:rPr>
        <w:t>7. Vận hành, kiểm chứng và tài liệu chuẩn</w:t>
      </w:r>
    </w:p>
    <w:p>
      <w:pPr>
        <w:spacing w:after="60"/>
        <w:ind w:left="288" w:hanging="187"/>
      </w:pPr>
      <w:r>
        <w:t xml:space="preserve">• </w:t>
      </w:r>
      <w:hyperlink r:id="rId15">
        <w:r>
          <w:rPr>
            <w:color w:val="2F6FA3"/>
            <w:u w:val="single"/>
          </w:rPr>
          <w:t>Demo runbook</w:t>
        </w:r>
      </w:hyperlink>
      <w:r>
        <w:t>: native paths, isolated profiles,</w:t>
      </w:r>
      <w:r>
        <w:t xml:space="preserve"> onboarding, allocation, exact evaluation activation và supervised acceptance.</w:t>
      </w:r>
    </w:p>
    <w:p>
      <w:pPr>
        <w:spacing w:after="60"/>
        <w:ind w:left="288" w:hanging="187"/>
      </w:pPr>
      <w:r>
        <w:t xml:space="preserve">• </w:t>
      </w:r>
      <w:hyperlink r:id="rId17">
        <w:r>
          <w:rPr>
            <w:color w:val="2F6FA3"/>
            <w:u w:val="single"/>
          </w:rPr>
          <w:t>Portfolio/soak runbook</w:t>
        </w:r>
      </w:hyperlink>
      <w:r>
        <w:t>: Docker global routing,</w:t>
      </w:r>
      <w:r>
        <w:t xml:space="preserve"> legacy BTC parent evaluation, per-asset lifecycle và scope của simulator.</w:t>
      </w:r>
    </w:p>
    <w:p>
      <w:pPr>
        <w:spacing w:after="60"/>
        <w:ind w:left="288" w:hanging="187"/>
      </w:pPr>
      <w:r>
        <w:t xml:space="preserve">• </w:t>
      </w:r>
      <w:hyperlink r:id="rId18">
        <w:r>
          <w:rPr>
            <w:color w:val="2F6FA3"/>
            <w:u w:val="single"/>
          </w:rPr>
          <w:t>Provider runbook</w:t>
        </w:r>
      </w:hyperlink>
      <w:r>
        <w:t>: secret separation, model setup và health.</w:t>
      </w:r>
    </w:p>
    <w:p>
      <w:pPr>
        <w:spacing w:after="60"/>
        <w:ind w:left="288" w:hanging="187"/>
      </w:pPr>
      <w:r>
        <w:t xml:space="preserve">• </w:t>
      </w:r>
      <w:hyperlink r:id="rId19">
        <w:r>
          <w:rPr>
            <w:color w:val="2F6FA3"/>
            <w:u w:val="single"/>
          </w:rPr>
          <w:t>Roadmap</w:t>
        </w:r>
      </w:hyperlink>
      <w:r>
        <w:t xml:space="preserve">, </w:t>
      </w:r>
      <w:hyperlink r:id="rId20">
        <w:r>
          <w:rPr>
            <w:color w:val="2F6FA3"/>
            <w:u w:val="single"/>
          </w:rPr>
          <w:t>plan</w:t>
        </w:r>
      </w:hyperlink>
      <w:r>
        <w:t xml:space="preserve">, </w:t>
      </w:r>
      <w:hyperlink r:id="rId21">
        <w:r>
          <w:rPr>
            <w:color w:val="2F6FA3"/>
            <w:u w:val="single"/>
          </w:rPr>
          <w:t>checklist</w:t>
        </w:r>
      </w:hyperlink>
      <w:r>
        <w:t>:</w:t>
      </w:r>
      <w:r>
        <w:t xml:space="preserve"> trạng thái build/rollout/acceptance tách riêng.</w:t>
      </w:r>
    </w:p>
    <w:p>
      <w:r>
        <w:t xml:space="preserve">VPS source volume là </w:t>
      </w:r>
      <w:r>
        <w:rPr>
          <w:rFonts w:ascii="Liberation Mono" w:hAnsi="Liberation Mono"/>
          <w:color w:val="172033"/>
          <w:sz w:val="17"/>
        </w:rPr>
        <w:t>/app/state/intraday/intraday.sqlite3</w:t>
      </w:r>
      <w:r>
        <w:t>; native CLI mặc định XDG state. Không suy ra hai path là cùng campaign. Demo/source/secret paths cần nhất quán giữa host và container; execution commands không tự route vào admin deployment.</w:t>
      </w:r>
    </w:p>
    <w:p>
      <w:r>
        <w:t xml:space="preserve">Backup CLI tạo online consistent artifact + SHA-256 manifest ngoài volume; upgrade preflight mục tiêu v23 chỉ migrate/restore bản sao. Chưa có tự động backup schedule/retention/production restore hoặc unified multi-coin Demo positions. </w:t>
      </w:r>
      <w:r>
        <w:rPr>
          <w:rFonts w:ascii="Liberation Mono" w:hAnsi="Liberation Mono"/>
          <w:color w:val="172033"/>
          <w:sz w:val="17"/>
        </w:rPr>
        <w:t>aigt positions</w:t>
      </w:r>
      <w:r>
        <w:t xml:space="preserve"> hiện chỉ đọc BTC parent simulated ledger; không dùng để kết luận Demo flat.</w:t>
      </w:r>
    </w:p>
    <w:p>
      <w:r>
        <w:t xml:space="preserve">Nghiệm thu Demo order-write/protection/close phải được operator cho phép riêng; fake-exchange/browser tests và credentialed GET không chứng minh native-stop semantics. Profile </w:t>
      </w:r>
      <w:r>
        <w:rPr>
          <w:rFonts w:ascii="Liberation Mono" w:hAnsi="Liberation Mono"/>
          <w:color w:val="172033"/>
          <w:sz w:val="17"/>
        </w:rPr>
        <w:t>demo</w:t>
      </w:r>
      <w:r>
        <w:t xml:space="preserve"> và Perp settings controller không tự start khi deploy worker/web.</w:t>
      </w:r>
    </w:p>
    <w:p>
      <w:pPr>
        <w:pStyle w:val="Heading1"/>
      </w:pPr>
      <w:r>
        <w:rPr>
          <w:color w:val="0E3152"/>
        </w:rPr>
        <w:t>8. Snapshot triển khai, không phải trạng thái realtime</w:t>
      </w:r>
    </w:p>
    <w:p>
      <w:r>
        <w:t xml:space="preserve">Bằng chứng 2026-10-01 </w:t>
      </w:r>
      <w:r>
        <w:rPr>
          <w:b/>
        </w:rPr>
        <w:t>05:30 UTC / 12:30 UTC+7</w:t>
      </w:r>
      <w:r>
        <w:t xml:space="preserve">, implementation </w:t>
      </w:r>
      <w:r>
        <w:rPr>
          <w:rFonts w:ascii="Liberation Mono" w:hAnsi="Liberation Mono"/>
          <w:color w:val="172033"/>
          <w:sz w:val="17"/>
        </w:rPr>
        <w:t>29f05c8</w:t>
      </w:r>
      <w:r>
        <w:t>: worker/web deploy, schema v23, health endpoints HTTP 200 sau &gt;5 phút; source data và campaign starts được bảo toàn. BTC và ETH/HYPE/NEAR/ZEC/SOL Perp có success ticks mới. Demo trading không được bật trong rollout đó.</w:t>
      </w:r>
    </w:p>
    <w:p>
      <w:r>
        <w:t xml:space="preserve">BTC Spot 4h candidate 30/8 replay reject: return +4,93%, DD 11,03% ≥8%; candidate không được đưa vào soak. Đây không phải kết luận về candidate tương lai. Metadata artifact VPS (không nằm trong checkout): </w:t>
      </w:r>
      <w:r>
        <w:rPr>
          <w:rFonts w:ascii="Liberation Mono" w:hAnsi="Liberation Mono"/>
          <w:color w:val="172033"/>
          <w:sz w:val="17"/>
        </w:rPr>
        <w:t>XDG_STATE_HOME/aigorithmic-trading/reports/vps-rollout-20261001T043018/final-health.json</w:t>
      </w:r>
      <w:r>
        <w:t>. Xem report/runtime mới trước mọi quyết định tiếp theo; snapshot này có thể lỗi thời.</w:t>
      </w:r>
    </w:p>
    <w:p>
      <w:pPr>
        <w:pStyle w:val="Heading1"/>
      </w:pPr>
      <w:r>
        <w:rPr>
          <w:color w:val="0E3152"/>
        </w:rPr>
        <w:t>9. Quyết định kiến trúc và lịch sử</w:t>
      </w:r>
    </w:p>
    <w:p>
      <w:pPr>
        <w:spacing w:after="60"/>
        <w:ind w:left="288" w:hanging="187"/>
      </w:pPr>
      <w:r>
        <w:t xml:space="preserve">• </w:t>
      </w:r>
      <w:r>
        <w:rPr>
          <w:b/>
        </w:rPr>
        <w:t>Scoped lifecycle:</w:t>
      </w:r>
      <w:r>
        <w:t xml:space="preserve"> giữ symbol/scope riêng để không chuyển evidence hay quyền activation nhầm coin.</w:t>
      </w:r>
    </w:p>
    <w:p>
      <w:pPr>
        <w:spacing w:after="60"/>
        <w:ind w:left="288" w:hanging="187"/>
      </w:pPr>
      <w:r>
        <w:t xml:space="preserve">• </w:t>
      </w:r>
      <w:r>
        <w:rPr>
          <w:b/>
        </w:rPr>
        <w:t>Execution modules:</w:t>
      </w:r>
      <w:r>
        <w:t xml:space="preserve"> đổi venue không thay model/rule engine; mỗi adapter chịu semantics của sàn.</w:t>
      </w:r>
    </w:p>
    <w:p>
      <w:pPr>
        <w:spacing w:after="60"/>
        <w:ind w:left="288" w:hanging="187"/>
      </w:pPr>
      <w:r>
        <w:t xml:space="preserve">• </w:t>
      </w:r>
      <w:r>
        <w:rPr>
          <w:b/>
        </w:rPr>
        <w:t>Journal riêng, source read-only:</w:t>
      </w:r>
      <w:r>
        <w:t xml:space="preserve"> bảo vệ soak evidence và giữ reconciliation độc lập.</w:t>
      </w:r>
    </w:p>
    <w:p>
      <w:pPr>
        <w:spacing w:after="60"/>
        <w:ind w:left="288" w:hanging="187"/>
      </w:pPr>
      <w:r>
        <w:t xml:space="preserve">• </w:t>
      </w:r>
      <w:r>
        <w:rPr>
          <w:b/>
        </w:rPr>
        <w:t>Operator approval:</w:t>
      </w:r>
      <w:r>
        <w:t xml:space="preserve"> model proposal và key connection không phải lệnh giao dịch.</w:t>
      </w:r>
    </w:p>
    <w:p>
      <w:pPr>
        <w:spacing w:after="60"/>
        <w:ind w:left="288" w:hanging="187"/>
      </w:pPr>
      <w:r>
        <w:t xml:space="preserve">• </w:t>
      </w:r>
      <w:r>
        <w:rPr>
          <w:b/>
        </w:rPr>
        <w:t>UTC computation / UTC+7 UI:</w:t>
      </w:r>
      <w:r>
        <w:t xml:space="preserve"> không đổi candle boundaries chỉ vì timezone hiển thị.</w:t>
      </w:r>
    </w:p>
    <w:p>
      <w:hyperlink r:id="rId22">
        <w:r>
          <w:rPr>
            <w:color w:val="2F6FA3"/>
            <w:u w:val="single"/>
          </w:rPr>
          <w:t>Thiết kế BTC Perp 2026-09-22</w:t>
        </w:r>
      </w:hyperlink>
      <w:r>
        <w:t xml:space="preserve"> là bản lịch sử đã được supersede cho vận hành hiện hành; nội dung gốc vẫn được giữ. </w:t>
      </w:r>
      <w:hyperlink r:id="rId23">
        <w:r>
          <w:rPr>
            <w:color w:val="2F6FA3"/>
            <w:u w:val="single"/>
          </w:rPr>
          <w:t>Research architecture</w:t>
        </w:r>
      </w:hyperlink>
      <w:r>
        <w:t xml:space="preserve"> và </w:t>
      </w:r>
      <w:hyperlink r:id="rId24">
        <w:r>
          <w:rPr>
            <w:color w:val="2F6FA3"/>
            <w:u w:val="single"/>
          </w:rPr>
          <w:t>BTC daily lab runbook</w:t>
        </w:r>
      </w:hyperlink>
      <w:r>
        <w:t xml:space="preserve"> vẫn mô tả subsystem </w:t>
      </w:r>
      <w:r>
        <w:rPr>
          <w:rFonts w:ascii="Liberation Mono" w:hAnsi="Liberation Mono"/>
          <w:color w:val="172033"/>
          <w:sz w:val="17"/>
        </w:rPr>
        <w:t>lab/</w:t>
      </w:r>
      <w:r>
        <w:t xml:space="preserve"> độc lập, không phải execution architecture của AIGT.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893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86980"/>
        <w:sz w:val="16"/>
        <w:szCs w:val="16"/>
        <w:u w:val="none"/>
        <w:shd w:fill="auto" w:val="clear"/>
        <w:vertAlign w:val="baseline"/>
        <w:rtl w:val="0"/>
      </w:rPr>
      <w:t>AIGT | Current Architecture · source schema v23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40" w:lineRule="auto"/>
    </w:pPr>
    <w:rPr>
      <w:color w:val="172033"/>
      <w:sz w:val="19"/>
    </w:rPr>
  </w:style>
  <w:style w:type="paragraph" w:styleId="Heading1">
    <w:name w:val="heading 1"/>
    <w:basedOn w:val="Normal"/>
    <w:next w:val="Normal"/>
    <w:pPr>
      <w:keepNext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E3152"/>
      <w:sz w:val="27"/>
      <w:szCs w:val="27"/>
    </w:rPr>
  </w:style>
  <w:style w:type="paragraph" w:styleId="Heading2">
    <w:name w:val="heading 2"/>
    <w:basedOn w:val="Normal"/>
    <w:next w:val="Normal"/>
    <w:pPr>
      <w:keepNext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E3152"/>
      <w:sz w:val="19"/>
      <w:szCs w:val="19"/>
    </w:rPr>
  </w:style>
  <w:style w:type="paragraph" w:styleId="Heading3">
    <w:name w:val="heading 3"/>
    <w:basedOn w:val="Normal"/>
    <w:next w:val="Normal"/>
    <w:pPr>
      <w:keepNext/>
      <w:keepLines w:val="1"/>
    </w:pPr>
    <w:rPr>
      <w:rFonts w:ascii="Helvetica Neue" w:cs="Helvetica Neue" w:eastAsia="Helvetica Neue" w:hAnsi="Helvetica Neue"/>
      <w:b w:val="1"/>
      <w:bCs w:val="1"/>
      <w:color w:val="0E315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7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binance-demo-execution-runbook.md" TargetMode="External"/><Relationship Id="rId16" Type="http://schemas.openxmlformats.org/officeDocument/2006/relationships/hyperlink" Target="external-data-runbook.md" TargetMode="External"/><Relationship Id="rId17" Type="http://schemas.openxmlformats.org/officeDocument/2006/relationships/hyperlink" Target="shared-ai-portfolio-runbook.md" TargetMode="External"/><Relationship Id="rId18" Type="http://schemas.openxmlformats.org/officeDocument/2006/relationships/hyperlink" Target="intraday-provider-runbook.md" TargetMode="External"/><Relationship Id="rId19" Type="http://schemas.openxmlformats.org/officeDocument/2006/relationships/hyperlink" Target="../tasks/roadmap.md" TargetMode="External"/><Relationship Id="rId20" Type="http://schemas.openxmlformats.org/officeDocument/2006/relationships/hyperlink" Target="../tasks/plan.md" TargetMode="External"/><Relationship Id="rId21" Type="http://schemas.openxmlformats.org/officeDocument/2006/relationships/hyperlink" Target="../tasks/todo.md" TargetMode="External"/><Relationship Id="rId22" Type="http://schemas.openxmlformats.org/officeDocument/2006/relationships/hyperlink" Target="history/crypto-intraday-design-2026-09-22.md" TargetMode="External"/><Relationship Id="rId23" Type="http://schemas.openxmlformats.org/officeDocument/2006/relationships/hyperlink" Target="architecture.md" TargetMode="External"/><Relationship Id="rId24" Type="http://schemas.openxmlformats.org/officeDocument/2006/relationships/hyperlink" Target="btc-paper-runbook.md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AIGT — Multi-Asset Spot/Perp Architecture</dc:title>
  <cp:lastModifiedBy>python-docx</cp:lastModifiedBy>
  <cp:revision>1</cp:revision>
  <dcterms:modified xsi:type="dcterms:W3CDTF">2026-10-01T07:49:06Z</dcterms:modified>
  <dc:subject>Current v23 architecture with scoped evidence and opt-in Binance Demo execution</dc:subject>
  <dc:creator>Julius; OpenAI Codex</dc:creator>
  <cp:keywords>system design, multi-asset, Spot, Perp, Jev, LLM, Binance Demo, v23</cp:keywords>
  <dc:description>Generated from docs/crypto-intraday-system-design.md</dc:description>
</cp:coreProperties>
</file>