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56082"/>
          <w:sz w:val="50"/>
        </w:rPr>
        <w:t>INTRODUCTION TO DEEP LEARNING FOR CHEMISTRY</w:t>
      </w:r>
    </w:p>
    <w:p>
      <w:pPr>
        <w:jc w:val="center"/>
      </w:pPr>
      <w:r>
        <w:rPr>
          <w:i/>
          <w:color w:val="B4551F"/>
          <w:sz w:val="30"/>
        </w:rPr>
        <w:t>Speaker notes &amp; teaching guide</w:t>
      </w:r>
    </w:p>
    <w:p>
      <w:pPr>
        <w:spacing w:before="360"/>
        <w:jc w:val="center"/>
      </w:pPr>
      <w:r>
        <w:rPr>
          <w:color w:val="6E7480"/>
          <w:sz w:val="22"/>
        </w:rPr>
        <w:t>AI4ChemicalSciences BootCamp 2026  ·  41 slides  ·  J. Schleinitz</w:t>
      </w:r>
    </w:p>
    <w:p>
      <w:r>
        <w:br w:type="page"/>
      </w:r>
    </w:p>
    <w:p>
      <w:pPr>
        <w:keepNext/>
        <w:pBdr>
          <w:bottom w:val="single" w:sz="6" w:space="4" w:color="156082"/>
        </w:pBdr>
        <w:spacing w:before="360" w:after="120"/>
      </w:pPr>
      <w:r>
        <w:rPr>
          <w:b/>
          <w:color w:val="156082"/>
          <w:sz w:val="38"/>
        </w:rPr>
        <w:t>How to use this document</w:t>
      </w:r>
    </w:p>
    <w:p>
      <w:pPr>
        <w:spacing w:after="160"/>
      </w:pPr>
      <w:r>
        <w:rPr>
          <w:sz w:val="22"/>
        </w:rPr>
        <w:t>Each section below matches a section of the deck and gives, slide by slide, the talking points, the numbers to quote, and the transitions. Slide numbers are exact.</w:t>
      </w:r>
    </w:p>
    <w:p>
      <w:pPr>
        <w:spacing w:after="160"/>
      </w:pPr>
      <w:r>
        <w:rPr>
          <w:sz w:val="22"/>
        </w:rPr>
        <w:t>Everything quantitative in this lecture comes from a notebook that actually runs. Open generate_figures.ipynb and execute it top to bottom: it builds the dataset, trains the 4-5-1 network in NumPy, previews every figure, and writes figure_data.json. Then run build_deck.py to rebuild the slides. Change the task or the architecture, re-run, and every number on the slides follows automatically.</w:t>
      </w:r>
    </w:p>
    <w:p>
      <w:pPr>
        <w:spacing w:after="160"/>
      </w:pPr>
      <w:r>
        <w:rPr>
          <w:sz w:val="22"/>
        </w:rPr>
        <w:t>The figures in the deck are not images. Every plot is a real PowerPoint chart (right-click &gt; Edit Data) and every schematic is made of real shapes, so you can recolour, move or delete any element directly in PowerPoint.</w:t>
      </w:r>
    </w:p>
    <w:p>
      <w:pPr>
        <w:keepNext/>
        <w:spacing w:before="240" w:after="40"/>
      </w:pPr>
      <w:r>
        <w:rPr>
          <w:b/>
          <w:color w:val="156082"/>
          <w:sz w:val="26"/>
        </w:rPr>
        <w:t>The spine of the lecture</w:t>
      </w:r>
    </w:p>
    <w:p>
      <w:pPr>
        <w:spacing w:after="160"/>
      </w:pPr>
      <w:r>
        <w:rPr>
          <w:sz w:val="22"/>
        </w:rPr>
        <w:t>The whole lecture is built on one thread: predicting whether a molecule has an odd or even number of electrons. Because 6 and 8 are even, the parity of the electron count reduces to (nH + nN) mod 2 — an XOR. That single fact does a lot of work:</w:t>
      </w:r>
    </w:p>
    <w:p>
      <w:pPr>
        <w:pStyle w:val="ListBullet"/>
        <w:spacing w:after="60"/>
      </w:pPr>
      <w:r>
        <w:rPr>
          <w:sz w:val="22"/>
        </w:rPr>
        <w:t>It is the honest reason a linear model fails (Section 2) — not hand-waving.</w:t>
      </w:r>
    </w:p>
    <w:p>
      <w:pPr>
        <w:pStyle w:val="ListBullet"/>
        <w:spacing w:after="60"/>
      </w:pPr>
      <w:r>
        <w:rPr>
          <w:sz w:val="22"/>
        </w:rPr>
        <w:t>It motivates the hidden layer (Section 3) and gives a real 93% vs 48% comparison.</w:t>
      </w:r>
    </w:p>
    <w:p>
      <w:pPr>
        <w:pStyle w:val="ListBullet"/>
        <w:spacing w:after="60"/>
      </w:pPr>
      <w:r>
        <w:rPr>
          <w:sz w:val="22"/>
        </w:rPr>
        <w:t>It gives a network small enough to draw every weight, and to count parameters by hand.</w:t>
      </w:r>
    </w:p>
    <w:tbl>
      <w:tblPr>
        <w:tblW w:type="auto" w:w="0"/>
        <w:jc w:val="center"/>
        <w:tblLook w:firstColumn="1" w:firstRow="1" w:lastColumn="0" w:lastRow="0" w:noHBand="0" w:noVBand="1" w:val="04A0"/>
      </w:tblPr>
      <w:tblGrid>
        <w:gridCol w:w="9360"/>
      </w:tblGrid>
      <w:tr>
        <w:tc>
          <w:tcPr>
            <w:tcW w:type="dxa" w:w="9360"/>
            <w:shd w:val="clear" w:color="auto" w:fill="FBE4D6"/>
          </w:tcPr>
          <w:p>
            <w:pPr>
              <w:spacing w:before="80" w:after="80"/>
            </w:pPr>
            <w:r>
              <w:rPr>
                <w:b/>
                <w:color w:val="B4551F"/>
                <w:sz w:val="21"/>
              </w:rPr>
              <w:t xml:space="preserve">On the board / say out loud:  </w:t>
            </w:r>
            <w:r>
              <w:rPr>
                <w:sz w:val="21"/>
              </w:rPr>
              <w:t>electrons = 1·nH + 6·nC + 7·nN + 8·nO, so parity = (nH + nN) mod 2. Derive this live — it takes twenty seconds and it is the moment the lecture clicks.</w:t>
            </w:r>
          </w:p>
        </w:tc>
      </w:tr>
    </w:tbl>
    <w:p>
      <w:pPr>
        <w:spacing w:after="40"/>
      </w:pPr>
    </w:p>
    <w:p>
      <w:pPr>
        <w:keepNext/>
        <w:spacing w:before="240" w:after="40"/>
      </w:pPr>
      <w:r>
        <w:rPr>
          <w:b/>
          <w:color w:val="156082"/>
          <w:sz w:val="26"/>
        </w:rPr>
        <w:t>Timing</w:t>
      </w:r>
    </w:p>
    <w:tbl>
      <w:tblPr>
        <w:tblStyle w:val="LightGrid-Accent1"/>
        <w:tblW w:type="auto" w:w="0"/>
        <w:tblLayout w:type="fixed"/>
        <w:tblLook w:firstColumn="1" w:firstRow="1" w:lastColumn="0" w:lastRow="0" w:noHBand="0" w:noVBand="1" w:val="04A0"/>
      </w:tblPr>
      <w:tblGrid>
        <w:gridCol w:w="3120"/>
        <w:gridCol w:w="3120"/>
        <w:gridCol w:w="3120"/>
      </w:tblGrid>
      <w:tr>
        <w:tc>
          <w:tcPr>
            <w:tcW w:type="dxa" w:w="4896"/>
            <w:shd w:val="clear" w:color="auto" w:fill="156082"/>
          </w:tcPr>
          <w:p>
            <w:r>
              <w:rPr>
                <w:b/>
                <w:color w:val="FFFFFF"/>
                <w:sz w:val="21"/>
              </w:rPr>
              <w:t>Section</w:t>
            </w:r>
          </w:p>
        </w:tc>
        <w:tc>
          <w:tcPr>
            <w:tcW w:type="dxa" w:w="2736"/>
            <w:shd w:val="clear" w:color="auto" w:fill="156082"/>
          </w:tcPr>
          <w:p>
            <w:r>
              <w:rPr>
                <w:b/>
                <w:color w:val="FFFFFF"/>
                <w:sz w:val="21"/>
              </w:rPr>
              <w:t>Time</w:t>
            </w:r>
          </w:p>
        </w:tc>
        <w:tc>
          <w:tcPr>
            <w:tcW w:type="dxa" w:w="1728"/>
            <w:shd w:val="clear" w:color="auto" w:fill="156082"/>
          </w:tcPr>
          <w:p>
            <w:r>
              <w:rPr>
                <w:b/>
                <w:color w:val="FFFFFF"/>
                <w:sz w:val="21"/>
              </w:rPr>
              <w:t>Slides</w:t>
            </w:r>
          </w:p>
        </w:tc>
      </w:tr>
      <w:tr>
        <w:tc>
          <w:tcPr>
            <w:tcW w:type="dxa" w:w="3120"/>
          </w:tcPr>
          <w:p>
            <w:r>
              <w:rPr>
                <w:sz w:val="21"/>
              </w:rPr>
              <w:t>Framing (title, plan)</w:t>
            </w:r>
          </w:p>
        </w:tc>
        <w:tc>
          <w:tcPr>
            <w:tcW w:type="dxa" w:w="3120"/>
          </w:tcPr>
          <w:p>
            <w:r>
              <w:rPr>
                <w:sz w:val="21"/>
              </w:rPr>
              <w:t>0:00 – 0:05</w:t>
            </w:r>
          </w:p>
        </w:tc>
        <w:tc>
          <w:tcPr>
            <w:tcW w:type="dxa" w:w="3120"/>
          </w:tcPr>
          <w:p>
            <w:r>
              <w:rPr>
                <w:sz w:val="21"/>
              </w:rPr>
              <w:t>2</w:t>
            </w:r>
          </w:p>
        </w:tc>
      </w:tr>
      <w:tr>
        <w:tc>
          <w:tcPr>
            <w:tcW w:type="dxa" w:w="3120"/>
          </w:tcPr>
          <w:p>
            <w:r>
              <w:rPr>
                <w:sz w:val="21"/>
              </w:rPr>
              <w:t>1 · Why deep learning?</w:t>
            </w:r>
          </w:p>
        </w:tc>
        <w:tc>
          <w:tcPr>
            <w:tcW w:type="dxa" w:w="3120"/>
          </w:tcPr>
          <w:p>
            <w:r>
              <w:rPr>
                <w:sz w:val="21"/>
              </w:rPr>
              <w:t>0:05 – 0:17</w:t>
            </w:r>
          </w:p>
        </w:tc>
        <w:tc>
          <w:tcPr>
            <w:tcW w:type="dxa" w:w="3120"/>
          </w:tcPr>
          <w:p>
            <w:r>
              <w:rPr>
                <w:sz w:val="21"/>
              </w:rPr>
              <w:t>5</w:t>
            </w:r>
          </w:p>
        </w:tc>
      </w:tr>
      <w:tr>
        <w:tc>
          <w:tcPr>
            <w:tcW w:type="dxa" w:w="3120"/>
          </w:tcPr>
          <w:p>
            <w:r>
              <w:rPr>
                <w:sz w:val="21"/>
              </w:rPr>
              <w:t>2 · A reminder: linear models</w:t>
            </w:r>
          </w:p>
        </w:tc>
        <w:tc>
          <w:tcPr>
            <w:tcW w:type="dxa" w:w="3120"/>
          </w:tcPr>
          <w:p>
            <w:r>
              <w:rPr>
                <w:sz w:val="21"/>
              </w:rPr>
              <w:t>0:17 – 0:27</w:t>
            </w:r>
          </w:p>
        </w:tc>
        <w:tc>
          <w:tcPr>
            <w:tcW w:type="dxa" w:w="3120"/>
          </w:tcPr>
          <w:p>
            <w:r>
              <w:rPr>
                <w:sz w:val="21"/>
              </w:rPr>
              <w:t>3</w:t>
            </w:r>
          </w:p>
        </w:tc>
      </w:tr>
      <w:tr>
        <w:tc>
          <w:tcPr>
            <w:tcW w:type="dxa" w:w="3120"/>
          </w:tcPr>
          <w:p>
            <w:r>
              <w:rPr>
                <w:sz w:val="21"/>
              </w:rPr>
              <w:t>3 · Neural networks</w:t>
            </w:r>
          </w:p>
        </w:tc>
        <w:tc>
          <w:tcPr>
            <w:tcW w:type="dxa" w:w="3120"/>
          </w:tcPr>
          <w:p>
            <w:r>
              <w:rPr>
                <w:sz w:val="21"/>
              </w:rPr>
              <w:t>0:27 – 0:52</w:t>
            </w:r>
          </w:p>
        </w:tc>
        <w:tc>
          <w:tcPr>
            <w:tcW w:type="dxa" w:w="3120"/>
          </w:tcPr>
          <w:p>
            <w:r>
              <w:rPr>
                <w:sz w:val="21"/>
              </w:rPr>
              <w:t>11</w:t>
            </w:r>
          </w:p>
        </w:tc>
      </w:tr>
      <w:tr>
        <w:tc>
          <w:tcPr>
            <w:tcW w:type="dxa" w:w="3120"/>
          </w:tcPr>
          <w:p>
            <w:r>
              <w:rPr>
                <w:sz w:val="21"/>
              </w:rPr>
              <w:t>4 · Capacity, overfitting, regularization</w:t>
            </w:r>
          </w:p>
        </w:tc>
        <w:tc>
          <w:tcPr>
            <w:tcW w:type="dxa" w:w="3120"/>
          </w:tcPr>
          <w:p>
            <w:r>
              <w:rPr>
                <w:sz w:val="21"/>
              </w:rPr>
              <w:t>0:52 – 1:07</w:t>
            </w:r>
          </w:p>
        </w:tc>
        <w:tc>
          <w:tcPr>
            <w:tcW w:type="dxa" w:w="3120"/>
          </w:tcPr>
          <w:p>
            <w:r>
              <w:rPr>
                <w:sz w:val="21"/>
              </w:rPr>
              <w:t>5</w:t>
            </w:r>
          </w:p>
        </w:tc>
      </w:tr>
      <w:tr>
        <w:tc>
          <w:tcPr>
            <w:tcW w:type="dxa" w:w="3120"/>
          </w:tcPr>
          <w:p>
            <w:r>
              <w:rPr>
                <w:sz w:val="21"/>
              </w:rPr>
              <w:t>5 · Architectures</w:t>
            </w:r>
          </w:p>
        </w:tc>
        <w:tc>
          <w:tcPr>
            <w:tcW w:type="dxa" w:w="3120"/>
          </w:tcPr>
          <w:p>
            <w:r>
              <w:rPr>
                <w:sz w:val="21"/>
              </w:rPr>
              <w:t>1:07 – 1:18</w:t>
            </w:r>
          </w:p>
        </w:tc>
        <w:tc>
          <w:tcPr>
            <w:tcW w:type="dxa" w:w="3120"/>
          </w:tcPr>
          <w:p>
            <w:r>
              <w:rPr>
                <w:sz w:val="21"/>
              </w:rPr>
              <w:t>4</w:t>
            </w:r>
          </w:p>
        </w:tc>
      </w:tr>
      <w:tr>
        <w:tc>
          <w:tcPr>
            <w:tcW w:type="dxa" w:w="3120"/>
          </w:tcPr>
          <w:p>
            <w:r>
              <w:rPr>
                <w:sz w:val="21"/>
              </w:rPr>
              <w:t>6 · Physics-infused networks</w:t>
            </w:r>
          </w:p>
        </w:tc>
        <w:tc>
          <w:tcPr>
            <w:tcW w:type="dxa" w:w="3120"/>
          </w:tcPr>
          <w:p>
            <w:r>
              <w:rPr>
                <w:sz w:val="21"/>
              </w:rPr>
              <w:t>1:18 – 1:28</w:t>
            </w:r>
          </w:p>
        </w:tc>
        <w:tc>
          <w:tcPr>
            <w:tcW w:type="dxa" w:w="3120"/>
          </w:tcPr>
          <w:p>
            <w:r>
              <w:rPr>
                <w:sz w:val="21"/>
              </w:rPr>
              <w:t>4</w:t>
            </w:r>
          </w:p>
        </w:tc>
      </w:tr>
      <w:tr>
        <w:tc>
          <w:tcPr>
            <w:tcW w:type="dxa" w:w="3120"/>
          </w:tcPr>
          <w:p>
            <w:r>
              <w:rPr>
                <w:sz w:val="21"/>
              </w:rPr>
              <w:t>7 · When to use deep learning</w:t>
            </w:r>
          </w:p>
        </w:tc>
        <w:tc>
          <w:tcPr>
            <w:tcW w:type="dxa" w:w="3120"/>
          </w:tcPr>
          <w:p>
            <w:r>
              <w:rPr>
                <w:sz w:val="21"/>
              </w:rPr>
              <w:t>1:28 – 1:40</w:t>
            </w:r>
          </w:p>
        </w:tc>
        <w:tc>
          <w:tcPr>
            <w:tcW w:type="dxa" w:w="3120"/>
          </w:tcPr>
          <w:p>
            <w:r>
              <w:rPr>
                <w:sz w:val="21"/>
              </w:rPr>
              <w:t>7</w:t>
            </w:r>
          </w:p>
        </w:tc>
      </w:tr>
    </w:tbl>
    <w:p>
      <w:pPr>
        <w:spacing w:after="160"/>
      </w:pPr>
      <w:r>
        <w:rPr>
          <w:sz w:val="22"/>
        </w:rPr>
        <w:t>Section 3 is the heart of the lecture and deliberately gets the most time. If you are running late, compress Section 1 (the impact stories) rather than the perceptron build-up or the regularization visuals.</w:t>
      </w:r>
    </w:p>
    <w:p>
      <w:r>
        <w:br w:type="page"/>
      </w:r>
    </w:p>
    <w:p>
      <w:pPr>
        <w:keepNext/>
        <w:pBdr>
          <w:bottom w:val="single" w:sz="6" w:space="4" w:color="156082"/>
        </w:pBdr>
        <w:spacing w:before="360" w:after="120"/>
      </w:pPr>
      <w:r>
        <w:rPr>
          <w:b/>
          <w:color w:val="156082"/>
          <w:sz w:val="38"/>
        </w:rPr>
        <w:t>Section 1 — Why deep learning?  (slides 3–7)</w:t>
      </w:r>
    </w:p>
    <w:p>
      <w:pPr>
        <w:keepNext/>
        <w:spacing w:before="240" w:after="40"/>
      </w:pPr>
      <w:r>
        <w:rPr>
          <w:b/>
          <w:color w:val="156082"/>
          <w:sz w:val="26"/>
        </w:rPr>
        <w:t>Deep learning is a subset of machine learning</w:t>
      </w:r>
      <w:r>
        <w:rPr>
          <w:i/>
          <w:color w:val="B4551F"/>
          <w:sz w:val="19"/>
        </w:rPr>
        <w:t xml:space="preserve">   slide 4</w:t>
      </w:r>
    </w:p>
    <w:p>
      <w:pPr>
        <w:spacing w:after="160"/>
      </w:pPr>
      <w:r>
        <w:rPr>
          <w:sz w:val="22"/>
        </w:rPr>
        <w:t>Define the three nested terms before anything else — many chemists have absorbed fragments of this vocabulary from papers without ever seeing it defined. Point at the nested boxes: artificial intelligence contains machine learning, which contains deep learning. Deep learning is specifically the use of many-layer neural networks, which learn their own internal representation instead of relying on features you hand-craft.</w:t>
      </w:r>
    </w:p>
    <w:tbl>
      <w:tblPr>
        <w:tblW w:type="auto" w:w="0"/>
        <w:jc w:val="center"/>
        <w:tblLook w:firstColumn="1" w:firstRow="1" w:lastColumn="0" w:lastRow="0" w:noHBand="0" w:noVBand="1" w:val="04A0"/>
      </w:tblPr>
      <w:tblGrid>
        <w:gridCol w:w="9360"/>
      </w:tblGrid>
      <w:tr>
        <w:tc>
          <w:tcPr>
            <w:tcW w:type="dxa" w:w="9360"/>
            <w:shd w:val="clear" w:color="auto" w:fill="FBE4D6"/>
          </w:tcPr>
          <w:p>
            <w:pPr>
              <w:spacing w:before="80" w:after="80"/>
            </w:pPr>
            <w:r>
              <w:rPr>
                <w:b/>
                <w:color w:val="B4551F"/>
                <w:sz w:val="21"/>
              </w:rPr>
              <w:t xml:space="preserve">On the board / say out loud:  </w:t>
            </w:r>
            <w:r>
              <w:rPr>
                <w:sz w:val="21"/>
              </w:rPr>
              <w:t>A neural network is a stack of linear algebra operations glued together by nonlinear functions. Resist the brain metaphor — it makes the topic feel more mysterious than it is.</w:t>
            </w:r>
          </w:p>
        </w:tc>
      </w:tr>
    </w:tbl>
    <w:p>
      <w:pPr>
        <w:spacing w:after="40"/>
      </w:pPr>
    </w:p>
    <w:p>
      <w:pPr>
        <w:keepNext/>
        <w:spacing w:before="240" w:after="40"/>
      </w:pPr>
      <w:r>
        <w:rPr>
          <w:b/>
          <w:color w:val="156082"/>
          <w:sz w:val="26"/>
        </w:rPr>
        <w:t>Deep learning has already changed chemistry</w:t>
      </w:r>
      <w:r>
        <w:rPr>
          <w:i/>
          <w:color w:val="B4551F"/>
          <w:sz w:val="19"/>
        </w:rPr>
        <w:t xml:space="preserve">   slide 5</w:t>
      </w:r>
    </w:p>
    <w:p>
      <w:pPr>
        <w:spacing w:after="160"/>
      </w:pPr>
      <w:r>
        <w:rPr>
          <w:sz w:val="22"/>
        </w:rPr>
        <w:t>Four concrete wins, with citations on the slide. Do not linger on all four — pick the one closest to your audience and give it thirty seconds. AlphaFold2 is the safest choice: predicted structures to roughly 1 Å backbone accuracy and released around 200 million of them, largely closing a problem that had been open for fifty years.</w:t>
      </w:r>
    </w:p>
    <w:p>
      <w:pPr>
        <w:keepNext/>
        <w:spacing w:before="240" w:after="40"/>
      </w:pPr>
      <w:r>
        <w:rPr>
          <w:b/>
          <w:color w:val="156082"/>
          <w:sz w:val="26"/>
        </w:rPr>
        <w:t>2024: two Nobel Prizes</w:t>
      </w:r>
      <w:r>
        <w:rPr>
          <w:i/>
          <w:color w:val="B4551F"/>
          <w:sz w:val="19"/>
        </w:rPr>
        <w:t xml:space="preserve">   slide 6</w:t>
      </w:r>
    </w:p>
    <w:p>
      <w:pPr>
        <w:spacing w:after="160"/>
      </w:pPr>
      <w:r>
        <w:rPr>
          <w:sz w:val="22"/>
        </w:rPr>
        <w:t>This is the slide that earns the audience's attention. The Physics prize went to Hopfield and Hinton for the foundational work that makes machine learning with neural networks possible — and the methods came out of statistical physics, which is worth saying to a physical-science audience. The Chemistry prize went to Baker for computational protein design, and jointly to Hassabis and Jumper for protein structure prediction.</w:t>
      </w:r>
    </w:p>
    <w:p>
      <w:pPr>
        <w:keepNext/>
        <w:spacing w:before="240" w:after="40"/>
      </w:pPr>
      <w:r>
        <w:rPr>
          <w:b/>
          <w:color w:val="156082"/>
          <w:sz w:val="26"/>
        </w:rPr>
        <w:t>How did we get here?</w:t>
      </w:r>
      <w:r>
        <w:rPr>
          <w:i/>
          <w:color w:val="B4551F"/>
          <w:sz w:val="19"/>
        </w:rPr>
        <w:t xml:space="preserve">   slide 7</w:t>
      </w:r>
    </w:p>
    <w:p>
      <w:pPr>
        <w:spacing w:after="160"/>
      </w:pPr>
      <w:r>
        <w:rPr>
          <w:sz w:val="22"/>
        </w:rPr>
        <w:t>Walk the timeline from the title slide: perceptron 1958, backpropagation 1986, then two AI winters, then AlexNet in 2012 (15.3% versus 26.2% top-5 error on ImageNet). Land the punchline: the ideas were mostly in place by the late 1980s. What arrived later was data, GPUs and usable software. Flag that AlexNet's enabling tricks included ReLU and dropout — both of which reappear later in this lecture.</w:t>
      </w:r>
    </w:p>
    <w:p>
      <w:r>
        <w:br w:type="page"/>
      </w:r>
    </w:p>
    <w:p>
      <w:pPr>
        <w:keepNext/>
        <w:pBdr>
          <w:bottom w:val="single" w:sz="6" w:space="4" w:color="156082"/>
        </w:pBdr>
        <w:spacing w:before="360" w:after="120"/>
      </w:pPr>
      <w:r>
        <w:rPr>
          <w:b/>
          <w:color w:val="156082"/>
          <w:sz w:val="38"/>
        </w:rPr>
        <w:t>Section 2 — Linear models, and where they break  (slides 8–10)</w:t>
      </w:r>
    </w:p>
    <w:p>
      <w:pPr>
        <w:keepNext/>
        <w:spacing w:before="240" w:after="40"/>
      </w:pPr>
      <w:r>
        <w:rPr>
          <w:b/>
          <w:color w:val="156082"/>
          <w:sz w:val="26"/>
        </w:rPr>
        <w:t>The linear model and how its weights are trained</w:t>
      </w:r>
      <w:r>
        <w:rPr>
          <w:i/>
          <w:color w:val="B4551F"/>
          <w:sz w:val="19"/>
        </w:rPr>
        <w:t xml:space="preserve">   slide 9</w:t>
      </w:r>
    </w:p>
    <w:p>
      <w:pPr>
        <w:spacing w:after="160"/>
      </w:pPr>
      <w:r>
        <w:rPr>
          <w:sz w:val="22"/>
        </w:rPr>
        <w:t>Start from something the room already knows, so that “training” is demystified before any network appears. Left panel: the model ŷ = w·x + b, the residuals drawn as vertical sticks, and the fitted line. Right panel: the same loss plotted as a function of the single weight w — a clean parabola with exactly one minimum.</w:t>
      </w:r>
    </w:p>
    <w:p>
      <w:pPr>
        <w:spacing w:after="160"/>
      </w:pPr>
      <w:r>
        <w:rPr>
          <w:sz w:val="22"/>
        </w:rPr>
        <w:t>Make the point that for a linear model the loss surface is a single smooth bowl: there is one answer, and we can even solve for it in closed form. Everything that goes wrong later goes wrong because that stops being true.</w:t>
      </w:r>
    </w:p>
    <w:p>
      <w:pPr>
        <w:keepNext/>
        <w:spacing w:before="240" w:after="40"/>
      </w:pPr>
      <w:r>
        <w:rPr>
          <w:b/>
          <w:color w:val="156082"/>
          <w:sz w:val="26"/>
        </w:rPr>
        <w:t>Where the linear model breaks</w:t>
      </w:r>
      <w:r>
        <w:rPr>
          <w:i/>
          <w:color w:val="B4551F"/>
          <w:sz w:val="19"/>
        </w:rPr>
        <w:t xml:space="preserve">   slide 10</w:t>
      </w:r>
    </w:p>
    <w:p>
      <w:pPr>
        <w:spacing w:after="160"/>
      </w:pPr>
      <w:r>
        <w:rPr>
          <w:sz w:val="22"/>
        </w:rPr>
        <w:t>Two classes in opposite corners — XOR. The best possible straight line gets 48%, which is chance. This is not an optimizer failure and it is worth being emphatic about it: no amount of training, no learning-rate tuning, no extra data will fix it, because no straight line exists that separates these points.</w:t>
      </w:r>
    </w:p>
    <w:p>
      <w:pPr>
        <w:spacing w:after="160"/>
      </w:pPr>
      <w:r>
        <w:rPr>
          <w:sz w:val="22"/>
        </w:rPr>
        <w:t>Then the right panel: add a single hidden layer with eight units and the same data is separated perfectly. The decision boundary is now curved. That contrast is the entire motivation for the rest of the lecture.</w:t>
      </w:r>
    </w:p>
    <w:tbl>
      <w:tblPr>
        <w:tblW w:type="auto" w:w="0"/>
        <w:jc w:val="center"/>
        <w:tblLook w:firstColumn="1" w:firstRow="1" w:lastColumn="0" w:lastRow="0" w:noHBand="0" w:noVBand="1" w:val="04A0"/>
      </w:tblPr>
      <w:tblGrid>
        <w:gridCol w:w="9360"/>
      </w:tblGrid>
      <w:tr>
        <w:tc>
          <w:tcPr>
            <w:tcW w:type="dxa" w:w="9360"/>
            <w:shd w:val="clear" w:color="auto" w:fill="FBE4D6"/>
          </w:tcPr>
          <w:p>
            <w:pPr>
              <w:spacing w:before="80" w:after="80"/>
            </w:pPr>
            <w:r>
              <w:rPr>
                <w:b/>
                <w:color w:val="B4551F"/>
                <w:sz w:val="21"/>
              </w:rPr>
              <w:t xml:space="preserve">On the board / say out loud:  </w:t>
            </w:r>
            <w:r>
              <w:rPr>
                <w:sz w:val="21"/>
              </w:rPr>
              <w:t>Ask the room to try to draw the separating line before you reveal the right panel. It takes ten seconds and the failure is more convincing when they attempt it themselves.</w:t>
            </w:r>
          </w:p>
        </w:tc>
      </w:tr>
    </w:tbl>
    <w:p>
      <w:pPr>
        <w:spacing w:after="40"/>
      </w:pPr>
    </w:p>
    <w:p>
      <w:r>
        <w:br w:type="page"/>
      </w:r>
    </w:p>
    <w:p>
      <w:pPr>
        <w:keepNext/>
        <w:pBdr>
          <w:bottom w:val="single" w:sz="6" w:space="4" w:color="156082"/>
        </w:pBdr>
        <w:spacing w:before="360" w:after="120"/>
      </w:pPr>
      <w:r>
        <w:rPr>
          <w:b/>
          <w:color w:val="156082"/>
          <w:sz w:val="38"/>
        </w:rPr>
        <w:t>Section 3 — Neural networks  (slides 11–22)</w:t>
      </w:r>
    </w:p>
    <w:p>
      <w:pPr>
        <w:spacing w:after="160"/>
      </w:pPr>
      <w:r>
        <w:rPr>
          <w:sz w:val="22"/>
        </w:rPr>
        <w:t>The longest section, in three parts: the perceptron (12–16), the worked molecular example (17–19), and how learning actually happens (20–22).</w:t>
      </w:r>
    </w:p>
    <w:p>
      <w:pPr>
        <w:keepNext/>
        <w:spacing w:before="240" w:after="40"/>
      </w:pPr>
      <w:r>
        <w:rPr>
          <w:b/>
          <w:color w:val="156082"/>
          <w:sz w:val="26"/>
        </w:rPr>
        <w:t>(a) The perceptron, built up in four slides</w:t>
      </w:r>
      <w:r>
        <w:rPr>
          <w:i/>
          <w:color w:val="B4551F"/>
          <w:sz w:val="19"/>
        </w:rPr>
        <w:t xml:space="preserve">   slides 12–15</w:t>
      </w:r>
    </w:p>
    <w:p>
      <w:pPr>
        <w:spacing w:after="160"/>
      </w:pPr>
      <w:r>
        <w:rPr>
          <w:sz w:val="22"/>
        </w:rPr>
        <w:t>These four slides are a deliberate animation: advance them in order and one component appears at a time. Each has a single take-home line in the peach strip at the bottom.</w:t>
      </w:r>
    </w:p>
    <w:p>
      <w:pPr>
        <w:pStyle w:val="ListBullet"/>
        <w:spacing w:after="60"/>
      </w:pPr>
      <w:r>
        <w:rPr>
          <w:sz w:val="22"/>
        </w:rPr>
        <w:t>Slide 12 — inputs only. Three numbers describing a molecule: bond length, partial charge, electronegativity difference. This is all the neuron ever sees.</w:t>
      </w:r>
    </w:p>
    <w:p>
      <w:pPr>
        <w:pStyle w:val="ListBullet"/>
        <w:spacing w:after="60"/>
      </w:pPr>
      <w:r>
        <w:rPr>
          <w:sz w:val="22"/>
        </w:rPr>
        <w:t>Slide 13 — the weights appear, one per input, labelled w₁ w₂ w₃. Say clearly: these are the numbers that get learned. Everything else on the slide is fixed.</w:t>
      </w:r>
    </w:p>
    <w:p>
      <w:pPr>
        <w:pStyle w:val="ListBullet"/>
        <w:spacing w:after="60"/>
      </w:pPr>
      <w:r>
        <w:rPr>
          <w:sz w:val="22"/>
        </w:rPr>
        <w:t>Slide 14 — the bias input and the summation node appear, with z = w₁x₁ + w₂x₂ + w₃x₃ + b. Explain the bias as a threshold shift: without it the neuron is forced through the origin and cannot fire when every input is zero.</w:t>
      </w:r>
    </w:p>
    <w:p>
      <w:pPr>
        <w:pStyle w:val="ListBullet"/>
        <w:spacing w:after="60"/>
      </w:pPr>
      <w:r>
        <w:rPr>
          <w:sz w:val="22"/>
        </w:rPr>
        <w:t>Slide 15 — the activation function and the output. The ReLU curve is drawn inside the box; trace the kink at zero with your finger. Then the key point: without a nonlinear σ, stacking layers collapses algebraically back to a single linear model — and we just spent slide 10 establishing that a linear model cannot do the job.</w:t>
      </w:r>
    </w:p>
    <w:p>
      <w:pPr>
        <w:keepNext/>
        <w:spacing w:before="240" w:after="40"/>
      </w:pPr>
      <w:r>
        <w:rPr>
          <w:b/>
          <w:color w:val="156082"/>
          <w:sz w:val="26"/>
        </w:rPr>
        <w:t>Choosing the activation function</w:t>
      </w:r>
      <w:r>
        <w:rPr>
          <w:i/>
          <w:color w:val="B4551F"/>
          <w:sz w:val="19"/>
        </w:rPr>
        <w:t xml:space="preserve">   slide 16</w:t>
      </w:r>
    </w:p>
    <w:p>
      <w:pPr>
        <w:spacing w:after="160"/>
      </w:pPr>
      <w:r>
        <w:rPr>
          <w:sz w:val="22"/>
        </w:rPr>
        <w:t>ReLU, tanh and sigmoid side by side. ReLU is the default: cheap to compute and it lets a unit switch fully off. tanh and sigmoid saturate at both ends, which is useful at an output but slows learning in deep stacks — that is the vanishing-gradient problem you will mention again on slide 21. The only hard requirement is nonlinearity.</w:t>
      </w:r>
    </w:p>
    <w:p>
      <w:pPr>
        <w:keepNext/>
        <w:spacing w:before="240" w:after="40"/>
      </w:pPr>
      <w:r>
        <w:rPr>
          <w:b/>
          <w:color w:val="156082"/>
          <w:sz w:val="26"/>
        </w:rPr>
        <w:t>(b) The molecular task</w:t>
      </w:r>
      <w:r>
        <w:rPr>
          <w:i/>
          <w:color w:val="B4551F"/>
          <w:sz w:val="19"/>
        </w:rPr>
        <w:t xml:space="preserve">   slide 17</w:t>
      </w:r>
    </w:p>
    <w:p>
      <w:pPr>
        <w:spacing w:after="160"/>
      </w:pPr>
      <w:r>
        <w:rPr>
          <w:sz w:val="22"/>
        </w:rPr>
        <w:t>Introduce the task with the table of real molecules. Inputs are the four counts nH, nC, nN, nO. The target is whether the total electron count is odd or even — chemically, whether the species is a radical. Derive the reduction to (nH + nN) mod 2 live.</w:t>
      </w:r>
    </w:p>
    <w:p>
      <w:pPr>
        <w:spacing w:after="160"/>
      </w:pPr>
      <w:r>
        <w:rPr>
          <w:sz w:val="22"/>
        </w:rPr>
        <w:t>Then deliver the punchline: a linear model on these four counts scores 48.5%, against a 50% chance baseline. It is the XOR problem again, now wearing a lab coat.</w:t>
      </w:r>
    </w:p>
    <w:p>
      <w:pPr>
        <w:keepNext/>
        <w:spacing w:before="240" w:after="40"/>
      </w:pPr>
      <w:r>
        <w:rPr>
          <w:b/>
          <w:color w:val="156082"/>
          <w:sz w:val="26"/>
        </w:rPr>
        <w:t>The network and its initial weights</w:t>
      </w:r>
      <w:r>
        <w:rPr>
          <w:i/>
          <w:color w:val="B4551F"/>
          <w:sz w:val="19"/>
        </w:rPr>
        <w:t xml:space="preserve">   slide 18</w:t>
      </w:r>
    </w:p>
    <w:p>
      <w:pPr>
        <w:spacing w:after="160"/>
      </w:pPr>
      <w:r>
        <w:rPr>
          <w:sz w:val="22"/>
        </w:rPr>
        <w:t>Four inputs, five hidden units with tanh, one output. Every weight is drawn: teal for positive, orange for negative, thickness proportional to magnitude. Before training the weights are small random numbers and accuracy is 50.2% — exactly chance. Say explicitly that the picture is the model: there is nothing else hidden inside it.</w:t>
      </w:r>
    </w:p>
    <w:p>
      <w:pPr>
        <w:keepNext/>
        <w:spacing w:before="240" w:after="40"/>
      </w:pPr>
      <w:r>
        <w:rPr>
          <w:b/>
          <w:color w:val="156082"/>
          <w:sz w:val="26"/>
        </w:rPr>
        <w:t>What training does</w:t>
      </w:r>
      <w:r>
        <w:rPr>
          <w:i/>
          <w:color w:val="B4551F"/>
          <w:sz w:val="19"/>
        </w:rPr>
        <w:t xml:space="preserve">   slide 19</w:t>
      </w:r>
    </w:p>
    <w:p>
      <w:pPr>
        <w:spacing w:after="160"/>
      </w:pPr>
      <w:r>
        <w:rPr>
          <w:sz w:val="22"/>
        </w:rPr>
        <w:t>Initial and trained networks side by side, with the real training-loss curve. Trained on 1,492 molecules with up to three of each element, tested on 699 unseen ones. Test accuracy goes from 50.2% to 93.3%, while the linear model stays at 48.5%.</w:t>
      </w:r>
    </w:p>
    <w:p>
      <w:pPr>
        <w:spacing w:after="160"/>
      </w:pPr>
      <w:r>
        <w:rPr>
          <w:sz w:val="22"/>
        </w:rPr>
        <w:t>Draw attention to the loss curve: it drops, sits on a long plateau, then falls again. That plateau is the network failing to find the parity rule for hundreds of epochs. It is a genuine, unstaged illustration of how training actually behaves — and it sets up the next slide.</w:t>
      </w:r>
    </w:p>
    <w:p>
      <w:pPr>
        <w:keepNext/>
        <w:spacing w:before="240" w:after="40"/>
      </w:pPr>
      <w:r>
        <w:rPr>
          <w:b/>
          <w:color w:val="156082"/>
          <w:sz w:val="26"/>
        </w:rPr>
        <w:t>(c) Gradient descent</w:t>
      </w:r>
      <w:r>
        <w:rPr>
          <w:i/>
          <w:color w:val="B4551F"/>
          <w:sz w:val="19"/>
        </w:rPr>
        <w:t xml:space="preserve">   slide 20</w:t>
      </w:r>
    </w:p>
    <w:p>
      <w:pPr>
        <w:spacing w:after="160"/>
      </w:pPr>
      <w:r>
        <w:rPr>
          <w:sz w:val="22"/>
        </w:rPr>
        <w:t>One equation only, and it is on the slide: w ← w − η·∂L/∂w. Read it in words. The gradient ∂L/∂w answers “if I nudge this weight slightly, how much does the loss change?”. Backpropagation is simply an efficient way to get that number for every weight at once. Step in the opposite direction, repeat — that is the entire algorithm.</w:t>
      </w:r>
    </w:p>
    <w:p>
      <w:pPr>
        <w:spacing w:after="160"/>
      </w:pPr>
      <w:r>
        <w:rPr>
          <w:sz w:val="22"/>
        </w:rPr>
        <w:t>The figure plots the loss as a surface over two weights, with the descent path on it, and the same thing as a contour map. Say that the picture is honest about dimensionality: here we can draw two weights, but the real network has 31, and a modern model has billions of axes on the same picture.</w:t>
      </w:r>
    </w:p>
    <w:p>
      <w:pPr>
        <w:keepNext/>
        <w:spacing w:before="240" w:after="40"/>
      </w:pPr>
      <w:r>
        <w:rPr>
          <w:b/>
          <w:color w:val="156082"/>
          <w:sz w:val="26"/>
        </w:rPr>
        <w:t>Why it is not guaranteed to work</w:t>
      </w:r>
      <w:r>
        <w:rPr>
          <w:i/>
          <w:color w:val="B4551F"/>
          <w:sz w:val="19"/>
        </w:rPr>
        <w:t xml:space="preserve">   slide 21</w:t>
      </w:r>
    </w:p>
    <w:p>
      <w:pPr>
        <w:spacing w:after="160"/>
      </w:pPr>
      <w:r>
        <w:rPr>
          <w:sz w:val="22"/>
        </w:rPr>
        <w:t>The bar chart is the same architecture and the same data, trained six times from different random initializations: test accuracy ranges from 60% to 93%. Nothing changed except the starting weights. This makes the difficulties concrete rather than abstract — local minima and plateaus, initialization sensitivity, vanishing gradients, and the absence of convexity that the linear model on slide 9 enjoyed.</w:t>
      </w:r>
    </w:p>
    <w:tbl>
      <w:tblPr>
        <w:tblW w:type="auto" w:w="0"/>
        <w:jc w:val="center"/>
        <w:tblLook w:firstColumn="1" w:firstRow="1" w:lastColumn="0" w:lastRow="0" w:noHBand="0" w:noVBand="1" w:val="04A0"/>
      </w:tblPr>
      <w:tblGrid>
        <w:gridCol w:w="9360"/>
      </w:tblGrid>
      <w:tr>
        <w:tc>
          <w:tcPr>
            <w:tcW w:type="dxa" w:w="9360"/>
            <w:shd w:val="clear" w:color="auto" w:fill="FBE4D6"/>
          </w:tcPr>
          <w:p>
            <w:pPr>
              <w:spacing w:before="80" w:after="80"/>
            </w:pPr>
            <w:r>
              <w:rPr>
                <w:b/>
                <w:color w:val="B4551F"/>
                <w:sz w:val="21"/>
              </w:rPr>
              <w:t xml:space="preserve">On the board / say out loud:  </w:t>
            </w:r>
            <w:r>
              <w:rPr>
                <w:sz w:val="21"/>
              </w:rPr>
              <w:t>Practical advice worth stating plainly: always train several seeds, and never report a single run.</w:t>
            </w:r>
          </w:p>
        </w:tc>
      </w:tr>
    </w:tbl>
    <w:p>
      <w:pPr>
        <w:spacing w:after="40"/>
      </w:pPr>
    </w:p>
    <w:p>
      <w:pPr>
        <w:keepNext/>
        <w:spacing w:before="240" w:after="40"/>
      </w:pPr>
      <w:r>
        <w:rPr>
          <w:b/>
          <w:color w:val="156082"/>
          <w:sz w:val="26"/>
        </w:rPr>
        <w:t>The learning rate</w:t>
      </w:r>
      <w:r>
        <w:rPr>
          <w:i/>
          <w:color w:val="B4551F"/>
          <w:sz w:val="19"/>
        </w:rPr>
        <w:t xml:space="preserve">   slide 22</w:t>
      </w:r>
    </w:p>
    <w:p>
      <w:pPr>
        <w:spacing w:after="160"/>
      </w:pPr>
      <w:r>
        <w:rPr>
          <w:sz w:val="22"/>
        </w:rPr>
        <w:t>Three panels: too small and the loss creeps down while you burn your compute budget; about right and it converges quickly; too large and each step overshoots the valley and the loss diverges. Mention that in practice the learning rate is scheduled — warm up, then decay — and that adaptive optimizers such as Adam maintain an effective step size per weight, which is why they are the default everywhere.</w:t>
      </w:r>
    </w:p>
    <w:p>
      <w:r>
        <w:br w:type="page"/>
      </w:r>
    </w:p>
    <w:p>
      <w:pPr>
        <w:keepNext/>
        <w:pBdr>
          <w:bottom w:val="single" w:sz="6" w:space="4" w:color="156082"/>
        </w:pBdr>
        <w:spacing w:before="360" w:after="120"/>
      </w:pPr>
      <w:r>
        <w:rPr>
          <w:b/>
          <w:color w:val="156082"/>
          <w:sz w:val="38"/>
        </w:rPr>
        <w:t>Section 4 — Capacity, overfitting and regularization  (slides 23–27)</w:t>
      </w:r>
    </w:p>
    <w:p>
      <w:pPr>
        <w:keepNext/>
        <w:spacing w:before="240" w:after="40"/>
      </w:pPr>
      <w:r>
        <w:rPr>
          <w:b/>
          <w:color w:val="156082"/>
          <w:sz w:val="26"/>
        </w:rPr>
        <w:t>(a) Counting parameters</w:t>
      </w:r>
      <w:r>
        <w:rPr>
          <w:i/>
          <w:color w:val="B4551F"/>
          <w:sz w:val="19"/>
        </w:rPr>
        <w:t xml:space="preserve">   slide 24</w:t>
      </w:r>
    </w:p>
    <w:p>
      <w:pPr>
        <w:spacing w:after="160"/>
      </w:pPr>
      <w:r>
        <w:rPr>
          <w:sz w:val="22"/>
        </w:rPr>
        <w:t>A dense layer from D inputs to F outputs has D×F weights plus F biases. For our network: (4×5 + 5) + (5×1 + 1) = 31 trainable parameters, against about 1,500 training molecules — a comfortable ratio. For scale, AlexNet had roughly 60 million parameters and today's largest models have billions. Parameters are capacity to memorize.</w:t>
      </w:r>
    </w:p>
    <w:tbl>
      <w:tblPr>
        <w:tblW w:type="auto" w:w="0"/>
        <w:jc w:val="center"/>
        <w:tblLook w:firstColumn="1" w:firstRow="1" w:lastColumn="0" w:lastRow="0" w:noHBand="0" w:noVBand="1" w:val="04A0"/>
      </w:tblPr>
      <w:tblGrid>
        <w:gridCol w:w="9360"/>
      </w:tblGrid>
      <w:tr>
        <w:tc>
          <w:tcPr>
            <w:tcW w:type="dxa" w:w="9360"/>
            <w:shd w:val="clear" w:color="auto" w:fill="FBE4D6"/>
          </w:tcPr>
          <w:p>
            <w:pPr>
              <w:spacing w:before="80" w:after="80"/>
            </w:pPr>
            <w:r>
              <w:rPr>
                <w:b/>
                <w:color w:val="B4551F"/>
                <w:sz w:val="21"/>
              </w:rPr>
              <w:t xml:space="preserve">On the board / say out loud:  </w:t>
            </w:r>
            <w:r>
              <w:rPr>
                <w:sz w:val="21"/>
              </w:rPr>
              <w:t>Rule of thumb: if the number of parameters greatly exceeds the number of data points, expect trouble — and go looking for it rather than hoping.</w:t>
            </w:r>
          </w:p>
        </w:tc>
      </w:tr>
    </w:tbl>
    <w:p>
      <w:pPr>
        <w:spacing w:after="40"/>
      </w:pPr>
    </w:p>
    <w:p>
      <w:pPr>
        <w:keepNext/>
        <w:spacing w:before="240" w:after="40"/>
      </w:pPr>
      <w:r>
        <w:rPr>
          <w:b/>
          <w:color w:val="156082"/>
          <w:sz w:val="26"/>
        </w:rPr>
        <w:t>(b) Overfitting</w:t>
      </w:r>
      <w:r>
        <w:rPr>
          <w:i/>
          <w:color w:val="B4551F"/>
          <w:sz w:val="19"/>
        </w:rPr>
        <w:t xml:space="preserve">   slides 25–26</w:t>
      </w:r>
    </w:p>
    <w:p>
      <w:pPr>
        <w:spacing w:after="160"/>
      </w:pPr>
      <w:r>
        <w:rPr>
          <w:sz w:val="22"/>
        </w:rPr>
        <w:t>Slide 25 shows the same points fitted with a degree-1, degree-3 and degree-13 polynomial. Degree 1 underfits; degree 13 passes through every training point and predicts nonsense between them. Emphasize that the training error is lowest for the worst model — so training error alone can never tell you which situation you are in.</w:t>
      </w:r>
    </w:p>
    <w:p>
      <w:pPr>
        <w:spacing w:after="160"/>
      </w:pPr>
      <w:r>
        <w:rPr>
          <w:sz w:val="22"/>
        </w:rPr>
        <w:t>Slide 26 is the diagnostic. Split into train / validation / test. Training loss falls forever; validation loss turns around, and that turning point is where the model stops learning chemistry and starts memorizing. The shaded gap between the curves is the overfitting. Say the rule out loud: never tune on the test set, because the moment you do, it stops being a test set.</w:t>
      </w:r>
    </w:p>
    <w:p>
      <w:pPr>
        <w:keepNext/>
        <w:spacing w:before="240" w:after="40"/>
      </w:pPr>
      <w:r>
        <w:rPr>
          <w:b/>
          <w:color w:val="156082"/>
          <w:sz w:val="26"/>
        </w:rPr>
        <w:t>(c) Three regularizers</w:t>
      </w:r>
      <w:r>
        <w:rPr>
          <w:i/>
          <w:color w:val="B4551F"/>
          <w:sz w:val="19"/>
        </w:rPr>
        <w:t xml:space="preserve">   slide 27</w:t>
      </w:r>
    </w:p>
    <w:p>
      <w:pPr>
        <w:spacing w:after="160"/>
      </w:pPr>
      <w:r>
        <w:rPr>
          <w:sz w:val="22"/>
        </w:rPr>
        <w:t>Each panel is a visual interpretation, left to right:</w:t>
      </w:r>
    </w:p>
    <w:p>
      <w:pPr>
        <w:pStyle w:val="ListBullet"/>
        <w:spacing w:after="60"/>
      </w:pPr>
      <w:r>
        <w:rPr>
          <w:sz w:val="22"/>
        </w:rPr>
        <w:t>Early stopping — the loss curves with a vertical line at the validation minimum and the region beyond it greyed out. Keep the weights from the minimum. Free, and always worth doing.</w:t>
      </w:r>
    </w:p>
    <w:p>
      <w:pPr>
        <w:pStyle w:val="ListBullet"/>
        <w:spacing w:after="60"/>
      </w:pPr>
      <w:r>
        <w:rPr>
          <w:sz w:val="22"/>
        </w:rPr>
        <w:t>Weight decay (L2) — two histograms of weight values, with and without the penalty. Adding λ·Σwᵢ² to the loss pulls the whole distribution in toward zero, so a large weight has to earn its place. The result is a smoother fitted function.</w:t>
      </w:r>
    </w:p>
    <w:p>
      <w:pPr>
        <w:pStyle w:val="ListBullet"/>
        <w:spacing w:after="60"/>
      </w:pPr>
      <w:r>
        <w:rPr>
          <w:sz w:val="22"/>
        </w:rPr>
        <w:t>Dropout — the network with two hidden units crossed out and their connections faded. At each training step a random fraction of units is switched off, so no single pathway can be relied on. Worth noting that this was one of the tricks that made AlexNet work.</w:t>
      </w:r>
    </w:p>
    <w:p>
      <w:pPr>
        <w:spacing w:after="160"/>
      </w:pPr>
      <w:r>
        <w:rPr>
          <w:sz w:val="22"/>
        </w:rPr>
        <w:t>Close by saying that more data, and data augmentation, are also regularizers — usually the most effective ones available.</w:t>
      </w:r>
    </w:p>
    <w:p>
      <w:r>
        <w:br w:type="page"/>
      </w:r>
    </w:p>
    <w:p>
      <w:pPr>
        <w:keepNext/>
        <w:pBdr>
          <w:bottom w:val="single" w:sz="6" w:space="4" w:color="156082"/>
        </w:pBdr>
        <w:spacing w:before="360" w:after="120"/>
      </w:pPr>
      <w:r>
        <w:rPr>
          <w:b/>
          <w:color w:val="156082"/>
          <w:sz w:val="38"/>
        </w:rPr>
        <w:t>Section 5 — Architectures  (slides 28–31)</w:t>
      </w:r>
    </w:p>
    <w:p>
      <w:pPr>
        <w:keepNext/>
        <w:spacing w:before="240" w:after="40"/>
      </w:pPr>
      <w:r>
        <w:rPr>
          <w:b/>
          <w:color w:val="156082"/>
          <w:sz w:val="26"/>
        </w:rPr>
        <w:t>Architecture as built-in assumptions</w:t>
      </w:r>
      <w:r>
        <w:rPr>
          <w:i/>
          <w:color w:val="B4551F"/>
          <w:sz w:val="19"/>
        </w:rPr>
        <w:t xml:space="preserve">   slide 29</w:t>
      </w:r>
    </w:p>
    <w:p>
      <w:pPr>
        <w:spacing w:after="160"/>
      </w:pPr>
      <w:r>
        <w:rPr>
          <w:sz w:val="22"/>
        </w:rPr>
        <w:t>A dense layer assumes nothing about structure, which makes it flexible but means it must learn every regularity from scratch. If you already know something about your data's structure, build it in — the network then spends its capacity on chemistry instead of on rediscovering geometry. The table maps four kinds of structure onto four architectures with a chemistry example each. Flag that the third row, graph neural networks, is the whole of the next lecture.</w:t>
      </w:r>
    </w:p>
    <w:p>
      <w:pPr>
        <w:keepNext/>
        <w:spacing w:before="240" w:after="40"/>
      </w:pPr>
      <w:r>
        <w:rPr>
          <w:b/>
          <w:color w:val="156082"/>
          <w:sz w:val="26"/>
        </w:rPr>
        <w:t>Convolution and pooling</w:t>
      </w:r>
      <w:r>
        <w:rPr>
          <w:i/>
          <w:color w:val="B4551F"/>
          <w:sz w:val="19"/>
        </w:rPr>
        <w:t xml:space="preserve">   slide 30</w:t>
      </w:r>
    </w:p>
    <w:p>
      <w:pPr>
        <w:spacing w:after="160"/>
      </w:pPr>
      <w:r>
        <w:rPr>
          <w:sz w:val="22"/>
        </w:rPr>
        <w:t>Convolution: one small filter is slid across the input, reusing the same weights at every position — the dashed outlines show earlier positions. That weight-sharing is precisely what makes it translation-invariant, and it is why a cat detector does not need a separate example for every location in the image. Pooling: summarise each 2×2 neighbourhood by its strongest response, shrinking the map and buying tolerance to small shifts. Breakthrough to name: AlexNet, 2012.</w:t>
      </w:r>
    </w:p>
    <w:p>
      <w:pPr>
        <w:keepNext/>
        <w:spacing w:before="240" w:after="40"/>
      </w:pPr>
      <w:r>
        <w:rPr>
          <w:b/>
          <w:color w:val="156082"/>
          <w:sz w:val="26"/>
        </w:rPr>
        <w:t>Message passing</w:t>
      </w:r>
      <w:r>
        <w:rPr>
          <w:i/>
          <w:color w:val="B4551F"/>
          <w:sz w:val="19"/>
        </w:rPr>
        <w:t xml:space="preserve">   slide 31</w:t>
      </w:r>
    </w:p>
    <w:p>
      <w:pPr>
        <w:spacing w:after="160"/>
      </w:pPr>
      <w:r>
        <w:rPr>
          <w:sz w:val="22"/>
        </w:rPr>
        <w:t>The graph analogue. Each round, every atom collects a message from each neighbour and updates its own representation; after k rounds an atom knows about its k-bond neighbourhood. The two panels show round 1 and round 2, with the reached atoms filling in. This respects what a molecule actually is: variable in size, with no natural atom ordering, so relabelling the atoms leaves the prediction unchanged. Breakthrough to name: Gilmer et al., 2017, which unified these models as MPNNs and reached DFT-level accuracy on QM9.</w:t>
      </w:r>
    </w:p>
    <w:p>
      <w:r>
        <w:br w:type="page"/>
      </w:r>
    </w:p>
    <w:p>
      <w:pPr>
        <w:keepNext/>
        <w:pBdr>
          <w:bottom w:val="single" w:sz="6" w:space="4" w:color="156082"/>
        </w:pBdr>
        <w:spacing w:before="360" w:after="120"/>
      </w:pPr>
      <w:r>
        <w:rPr>
          <w:b/>
          <w:color w:val="156082"/>
          <w:sz w:val="38"/>
        </w:rPr>
        <w:t>Section 6 — Physics-infused neural networks  (slides 32–35)</w:t>
      </w:r>
    </w:p>
    <w:p>
      <w:pPr>
        <w:keepNext/>
        <w:spacing w:before="240" w:after="40"/>
      </w:pPr>
      <w:r>
        <w:rPr>
          <w:b/>
          <w:color w:val="156082"/>
          <w:sz w:val="26"/>
        </w:rPr>
        <w:t>Symmetry</w:t>
      </w:r>
      <w:r>
        <w:rPr>
          <w:i/>
          <w:color w:val="B4551F"/>
          <w:sz w:val="19"/>
        </w:rPr>
        <w:t xml:space="preserve">   slide 33</w:t>
      </w:r>
    </w:p>
    <w:p>
      <w:pPr>
        <w:spacing w:after="160"/>
      </w:pPr>
      <w:r>
        <w:rPr>
          <w:sz w:val="22"/>
        </w:rPr>
        <w:t>The cartoon shows a molecule and the same molecule rotated, with force vectors on the atoms. The energy is unchanged — it is invariant. The force vectors rotate with the molecule — they are equivariant. Define both words carefully; the distinction is easy to blur and it is the central concept of the next lecture.</w:t>
      </w:r>
    </w:p>
    <w:p>
      <w:pPr>
        <w:spacing w:after="160"/>
      </w:pPr>
      <w:r>
        <w:rPr>
          <w:sz w:val="22"/>
        </w:rPr>
        <w:t>Then the cost of not building it in: a plain network fed raw coordinates has to learn this from data, which wastes capacity, and if it learns it imperfectly it will predict different energies for the same molecule in two orientations — a physically absurd result that is entirely possible.</w:t>
      </w:r>
    </w:p>
    <w:p>
      <w:pPr>
        <w:keepNext/>
        <w:spacing w:before="240" w:after="40"/>
      </w:pPr>
      <w:r>
        <w:rPr>
          <w:b/>
          <w:color w:val="156082"/>
          <w:sz w:val="26"/>
        </w:rPr>
        <w:t>Ways to put physics in</w:t>
      </w:r>
      <w:r>
        <w:rPr>
          <w:i/>
          <w:color w:val="B4551F"/>
          <w:sz w:val="19"/>
        </w:rPr>
        <w:t xml:space="preserve">   slide 34</w:t>
      </w:r>
    </w:p>
    <w:p>
      <w:pPr>
        <w:spacing w:after="160"/>
      </w:pPr>
      <w:r>
        <w:rPr>
          <w:sz w:val="22"/>
        </w:rPr>
        <w:t>Four routes, in rough order of how much they are used in chemistry today:</w:t>
      </w:r>
    </w:p>
    <w:p>
      <w:pPr>
        <w:pStyle w:val="ListBullet"/>
        <w:spacing w:after="60"/>
      </w:pPr>
      <w:r>
        <w:rPr>
          <w:sz w:val="22"/>
        </w:rPr>
        <w:t>Symmetry in the architecture — invariant or equivariant layers. This is what modern machine-learned interatomic potentials do, and the data-efficiency gain is large: equivariant models have matched earlier architectures with up to about 1000× less training data (Batzner et al., Nat. Commun. 2022).</w:t>
      </w:r>
    </w:p>
    <w:p>
      <w:pPr>
        <w:pStyle w:val="ListBullet"/>
        <w:spacing w:after="60"/>
      </w:pPr>
      <w:r>
        <w:rPr>
          <w:sz w:val="22"/>
        </w:rPr>
        <w:t>Physics in the loss — physics-informed neural networks (PINNs). Add the residual of a governing equation to the loss so the network is penalised for violating known physics (Raissi, Perdikaris &amp; Karniadakis, J. Comput. Phys. 2019).</w:t>
      </w:r>
    </w:p>
    <w:p>
      <w:pPr>
        <w:pStyle w:val="ListBullet"/>
        <w:spacing w:after="60"/>
      </w:pPr>
      <w:r>
        <w:rPr>
          <w:sz w:val="22"/>
        </w:rPr>
        <w:t>Conservation by construction — predict the energy and obtain forces as −∂E/∂r. Energy conservation then holds because of how the model is built, not because it was learned.</w:t>
      </w:r>
    </w:p>
    <w:p>
      <w:pPr>
        <w:pStyle w:val="ListBullet"/>
        <w:spacing w:after="60"/>
      </w:pPr>
      <w:r>
        <w:rPr>
          <w:sz w:val="22"/>
        </w:rPr>
        <w:t>Physically meaningful inputs and multi-fidelity training — charges, spin and oxidation state as inputs; cheap abundant theory mixed with sparse expensive calculations.</w:t>
      </w:r>
    </w:p>
    <w:p>
      <w:pPr>
        <w:keepNext/>
        <w:spacing w:before="240" w:after="40"/>
      </w:pPr>
      <w:r>
        <w:rPr>
          <w:b/>
          <w:color w:val="156082"/>
          <w:sz w:val="26"/>
        </w:rPr>
        <w:t>Where this is heading</w:t>
      </w:r>
      <w:r>
        <w:rPr>
          <w:i/>
          <w:color w:val="B4551F"/>
          <w:sz w:val="19"/>
        </w:rPr>
        <w:t xml:space="preserve">   slide 35</w:t>
      </w:r>
    </w:p>
    <w:p>
      <w:pPr>
        <w:spacing w:after="160"/>
      </w:pPr>
      <w:r>
        <w:rPr>
          <w:sz w:val="22"/>
        </w:rPr>
        <w:t>Set up the next lecture, and be honest about the trade-off: more built-in physics buys data efficiency and generalization, but costs engineering effort, and it actively hurts if the symmetry you assumed is only approximate for your system.</w:t>
      </w:r>
    </w:p>
    <w:p>
      <w:r>
        <w:br w:type="page"/>
      </w:r>
    </w:p>
    <w:p>
      <w:pPr>
        <w:keepNext/>
        <w:pBdr>
          <w:bottom w:val="single" w:sz="6" w:space="4" w:color="156082"/>
        </w:pBdr>
        <w:spacing w:before="360" w:after="120"/>
      </w:pPr>
      <w:r>
        <w:rPr>
          <w:b/>
          <w:color w:val="156082"/>
          <w:sz w:val="38"/>
        </w:rPr>
        <w:t>Section 7 — When to use deep learning  (slides 36–41)</w:t>
      </w:r>
    </w:p>
    <w:p>
      <w:pPr>
        <w:keepNext/>
        <w:spacing w:before="240" w:after="40"/>
      </w:pPr>
      <w:r>
        <w:rPr>
          <w:b/>
          <w:color w:val="156082"/>
          <w:sz w:val="26"/>
        </w:rPr>
        <w:t>Dataset-size rule of thumb</w:t>
      </w:r>
      <w:r>
        <w:rPr>
          <w:i/>
          <w:color w:val="B4551F"/>
          <w:sz w:val="19"/>
        </w:rPr>
        <w:t xml:space="preserve">   slide 37</w:t>
      </w:r>
    </w:p>
    <w:p>
      <w:pPr>
        <w:spacing w:after="160"/>
      </w:pPr>
      <w:r>
        <w:rPr>
          <w:sz w:val="22"/>
        </w:rPr>
        <w:t>Below roughly a thousand labelled points, classical ML with good descriptors usually wins, because small networks memorize noise. Between about one and ten thousand is the genuinely competitive zone, and it is the right inductive bias — the physics from Section 6 — that decides it. Above ten thousand, or with a pretrained model you can fine-tune, deep learning has a clear advantage.</w:t>
      </w:r>
    </w:p>
    <w:p>
      <w:pPr>
        <w:keepNext/>
        <w:spacing w:before="240" w:after="40"/>
      </w:pPr>
      <w:r>
        <w:rPr>
          <w:b/>
          <w:color w:val="156082"/>
          <w:sz w:val="26"/>
        </w:rPr>
        <w:t>Four questions before you train</w:t>
      </w:r>
      <w:r>
        <w:rPr>
          <w:i/>
          <w:color w:val="B4551F"/>
          <w:sz w:val="19"/>
        </w:rPr>
        <w:t xml:space="preserve">   slide 38</w:t>
      </w:r>
    </w:p>
    <w:p>
      <w:pPr>
        <w:spacing w:after="160"/>
      </w:pPr>
      <w:r>
        <w:rPr>
          <w:sz w:val="22"/>
        </w:rPr>
        <w:t>Frame these as questions the audience should ask themselves next week, not as abstractions: is the relationship actually nonlinear (fit a linear baseline and find out); do you need gradients; will you run the model many times; and can you genuinely check it.</w:t>
      </w:r>
    </w:p>
    <w:p>
      <w:pPr>
        <w:keepNext/>
        <w:spacing w:before="240" w:after="40"/>
      </w:pPr>
      <w:r>
        <w:rPr>
          <w:b/>
          <w:color w:val="156082"/>
          <w:sz w:val="26"/>
        </w:rPr>
        <w:t>Take-home messages and close</w:t>
      </w:r>
      <w:r>
        <w:rPr>
          <w:i/>
          <w:color w:val="B4551F"/>
          <w:sz w:val="19"/>
        </w:rPr>
        <w:t xml:space="preserve">   slides 39–41</w:t>
      </w:r>
    </w:p>
    <w:p>
      <w:pPr>
        <w:spacing w:after="160"/>
      </w:pPr>
      <w:r>
        <w:rPr>
          <w:sz w:val="22"/>
        </w:rPr>
        <w:t>Four numbered take-homes, then further reading, then the discussion prompts. The reading list leads with dmol.pub and MIT 6.S191, both of which are free and both of which this lecture draws on directly — say so.</w:t>
      </w:r>
    </w:p>
    <w:p>
      <w:pPr>
        <w:spacing w:after="160"/>
      </w:pPr>
      <w:r>
        <w:rPr>
          <w:sz w:val="22"/>
        </w:rPr>
        <w:t>The three closing questions are deliberately about the audience's own work. The third — which symmetries in your system are exact and which are only approximate — is the one most likely to start a real argument, and it is the best possible bridge into the next lecture.</w:t>
      </w:r>
    </w:p>
    <w:p>
      <w:r>
        <w:br w:type="page"/>
      </w:r>
    </w:p>
    <w:p>
      <w:pPr>
        <w:keepNext/>
        <w:pBdr>
          <w:bottom w:val="single" w:sz="6" w:space="4" w:color="156082"/>
        </w:pBdr>
        <w:spacing w:before="360" w:after="120"/>
      </w:pPr>
      <w:r>
        <w:rPr>
          <w:b/>
          <w:color w:val="156082"/>
          <w:sz w:val="38"/>
        </w:rPr>
        <w:t>References</w:t>
      </w:r>
    </w:p>
    <w:p>
      <w:pPr>
        <w:spacing w:after="120"/>
        <w:ind w:left="432" w:hanging="432"/>
      </w:pPr>
      <w:r>
        <w:rPr>
          <w:b/>
          <w:sz w:val="21"/>
        </w:rPr>
        <w:t xml:space="preserve">1.  </w:t>
      </w:r>
      <w:r>
        <w:rPr>
          <w:sz w:val="21"/>
        </w:rPr>
        <w:t>Rosenblatt, F. The perceptron: a probabilistic model for information storage and organization in the brain. Psychol. Rev. 65, 386 (1958).</w:t>
      </w:r>
    </w:p>
    <w:p>
      <w:pPr>
        <w:spacing w:after="120"/>
        <w:ind w:left="432" w:hanging="432"/>
      </w:pPr>
      <w:r>
        <w:rPr>
          <w:b/>
          <w:sz w:val="21"/>
        </w:rPr>
        <w:t xml:space="preserve">2.  </w:t>
      </w:r>
      <w:r>
        <w:rPr>
          <w:sz w:val="21"/>
        </w:rPr>
        <w:t>Rumelhart, D. E., Hinton, G. E. &amp; Williams, R. J. Learning representations by back-propagating errors. Nature 323, 533 (1986).</w:t>
      </w:r>
    </w:p>
    <w:p>
      <w:pPr>
        <w:spacing w:after="120"/>
        <w:ind w:left="432" w:hanging="432"/>
      </w:pPr>
      <w:r>
        <w:rPr>
          <w:b/>
          <w:sz w:val="21"/>
        </w:rPr>
        <w:t xml:space="preserve">3.  </w:t>
      </w:r>
      <w:r>
        <w:rPr>
          <w:sz w:val="21"/>
        </w:rPr>
        <w:t>Krizhevsky, A., Sutskever, I. &amp; Hinton, G. E. ImageNet classification with deep convolutional neural networks. NeurIPS 25 (2012).  — AlexNet; 15.3% vs 26.2% top-5 error.</w:t>
      </w:r>
    </w:p>
    <w:p>
      <w:pPr>
        <w:spacing w:after="120"/>
        <w:ind w:left="432" w:hanging="432"/>
      </w:pPr>
      <w:r>
        <w:rPr>
          <w:b/>
          <w:sz w:val="21"/>
        </w:rPr>
        <w:t xml:space="preserve">4.  </w:t>
      </w:r>
      <w:r>
        <w:rPr>
          <w:sz w:val="21"/>
        </w:rPr>
        <w:t>Gilmer, J., Schoenholz, S. S., Riley, P. F., Vinyals, O. &amp; Dahl, G. E. Neural message passing for quantum chemistry. ICML (2017); arXiv:1704.01212.</w:t>
      </w:r>
    </w:p>
    <w:p>
      <w:pPr>
        <w:spacing w:after="120"/>
        <w:ind w:left="432" w:hanging="432"/>
      </w:pPr>
      <w:r>
        <w:rPr>
          <w:b/>
          <w:sz w:val="21"/>
        </w:rPr>
        <w:t xml:space="preserve">5.  </w:t>
      </w:r>
      <w:r>
        <w:rPr>
          <w:sz w:val="21"/>
        </w:rPr>
        <w:t>Segler, M. H. S., Preuss, M. &amp; Waller, M. P. Planning chemical syntheses with deep neural networks and symbolic AI. Nature 555, 604 (2018).</w:t>
      </w:r>
    </w:p>
    <w:p>
      <w:pPr>
        <w:spacing w:after="120"/>
        <w:ind w:left="432" w:hanging="432"/>
      </w:pPr>
      <w:r>
        <w:rPr>
          <w:b/>
          <w:sz w:val="21"/>
        </w:rPr>
        <w:t xml:space="preserve">6.  </w:t>
      </w:r>
      <w:r>
        <w:rPr>
          <w:sz w:val="21"/>
        </w:rPr>
        <w:t>Jumper, J. et al. Highly accurate protein structure prediction with AlphaFold. Nature 596, 583 (2021).</w:t>
      </w:r>
    </w:p>
    <w:p>
      <w:pPr>
        <w:spacing w:after="120"/>
        <w:ind w:left="432" w:hanging="432"/>
      </w:pPr>
      <w:r>
        <w:rPr>
          <w:b/>
          <w:sz w:val="21"/>
        </w:rPr>
        <w:t xml:space="preserve">7.  </w:t>
      </w:r>
      <w:r>
        <w:rPr>
          <w:sz w:val="21"/>
        </w:rPr>
        <w:t>Batzner, S. et al. E(3)-equivariant graph neural networks for data-efficient and accurate interatomic potentials. Nat. Commun. 13, 2453 (2022).</w:t>
      </w:r>
    </w:p>
    <w:p>
      <w:pPr>
        <w:spacing w:after="120"/>
        <w:ind w:left="432" w:hanging="432"/>
      </w:pPr>
      <w:r>
        <w:rPr>
          <w:b/>
          <w:sz w:val="21"/>
        </w:rPr>
        <w:t xml:space="preserve">8.  </w:t>
      </w:r>
      <w:r>
        <w:rPr>
          <w:sz w:val="21"/>
        </w:rPr>
        <w:t>Merchant, A. et al. Scaling deep learning for materials discovery. Nature 624, 80 (2023). — GNoME.</w:t>
      </w:r>
    </w:p>
    <w:p>
      <w:pPr>
        <w:spacing w:after="120"/>
        <w:ind w:left="432" w:hanging="432"/>
      </w:pPr>
      <w:r>
        <w:rPr>
          <w:b/>
          <w:sz w:val="21"/>
        </w:rPr>
        <w:t xml:space="preserve">9.  </w:t>
      </w:r>
      <w:r>
        <w:rPr>
          <w:sz w:val="21"/>
        </w:rPr>
        <w:t>Raissi, M., Perdikaris, P. &amp; Karniadakis, G. E. Physics-informed neural networks. J. Comput. Phys. 378, 686 (2019).</w:t>
      </w:r>
    </w:p>
    <w:p>
      <w:pPr>
        <w:spacing w:after="120"/>
        <w:ind w:left="432" w:hanging="432"/>
      </w:pPr>
      <w:r>
        <w:rPr>
          <w:b/>
          <w:sz w:val="21"/>
        </w:rPr>
        <w:t xml:space="preserve">10.  </w:t>
      </w:r>
      <w:r>
        <w:rPr>
          <w:sz w:val="21"/>
        </w:rPr>
        <w:t>The Nobel Prize in Physics 2024 — J. J. Hopfield and G. E. Hinton, “for foundational discoveries and inventions that enable machine learning with artificial neural networks”.</w:t>
      </w:r>
    </w:p>
    <w:p>
      <w:pPr>
        <w:spacing w:after="120"/>
        <w:ind w:left="432" w:hanging="432"/>
      </w:pPr>
      <w:r>
        <w:rPr>
          <w:b/>
          <w:sz w:val="21"/>
        </w:rPr>
        <w:t xml:space="preserve">11.  </w:t>
      </w:r>
      <w:r>
        <w:rPr>
          <w:sz w:val="21"/>
        </w:rPr>
        <w:t>The Nobel Prize in Chemistry 2024 — D. Baker, “for computational protein design”; D. Hassabis and J. M. Jumper, “for protein structure prediction”.</w:t>
      </w:r>
    </w:p>
    <w:p>
      <w:pPr>
        <w:spacing w:after="120"/>
        <w:ind w:left="432" w:hanging="432"/>
      </w:pPr>
      <w:r>
        <w:rPr>
          <w:b/>
          <w:sz w:val="21"/>
        </w:rPr>
        <w:t xml:space="preserve">12.  </w:t>
      </w:r>
      <w:r>
        <w:rPr>
          <w:sz w:val="21"/>
        </w:rPr>
        <w:t>White, A. D. Deep Learning for Molecules &amp; Materials. dmol.pub  — the closest thing to a textbook for this material, chemistry-first and with runnable notebooks.</w:t>
      </w:r>
    </w:p>
    <w:p>
      <w:pPr>
        <w:spacing w:after="120"/>
        <w:ind w:left="432" w:hanging="432"/>
      </w:pPr>
      <w:r>
        <w:rPr>
          <w:b/>
          <w:sz w:val="21"/>
        </w:rPr>
        <w:t xml:space="preserve">13.  </w:t>
      </w:r>
      <w:r>
        <w:rPr>
          <w:sz w:val="21"/>
        </w:rPr>
        <w:t>MIT 6.S191, Introduction to Deep Learning. introtodeeplearning.com  — source of the perceptron build-up used in Section 3.</w:t>
      </w:r>
    </w:p>
    <w:p>
      <w:pPr>
        <w:spacing w:before="280"/>
      </w:pPr>
      <w:r>
        <w:rPr>
          <w:i/>
          <w:color w:val="6E7480"/>
          <w:sz w:val="20"/>
        </w:rPr>
        <w:t>All figures in this deck are generated by make_figs.py, which also trains the 4→5→1 parity network in numpy. Every accuracy quoted on the slides is printed by that script.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Calibri" w:hAnsi="Calibri"/>
      <w:color w:val="2024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