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C38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36"/>
          <w:szCs w:val="36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冬季营</w:t>
      </w:r>
      <w:r>
        <w:rPr>
          <w:b/>
          <w:bCs/>
          <w:sz w:val="36"/>
          <w:szCs w:val="36"/>
        </w:rPr>
        <w:t>黑客松</w:t>
      </w:r>
      <w:r>
        <w:rPr>
          <w:rFonts w:hint="eastAsia"/>
          <w:b/>
          <w:bCs/>
          <w:sz w:val="36"/>
          <w:szCs w:val="36"/>
          <w:lang w:val="en-US" w:eastAsia="zh-CN"/>
        </w:rPr>
        <w:t>采购</w:t>
      </w:r>
      <w:r>
        <w:rPr>
          <w:b/>
          <w:bCs/>
          <w:sz w:val="36"/>
          <w:szCs w:val="36"/>
        </w:rPr>
        <w:t>需求</w:t>
      </w:r>
    </w:p>
    <w:p w14:paraId="321CF8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 w14:paraId="501B344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 w14:paraId="46CC9CA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项目背景</w:t>
      </w:r>
    </w:p>
    <w:p w14:paraId="69C88D50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北京中关村学院与中关村人工智能研究院（合称“两院”）是集教育、科研与人才培养于一体的综合性创新平台，携手国内31所合作高校，专注于人工智能前沿技术的探索与产业融合实践，旨在培养具有国际视野、能够引领AI产业变革的复合型领袖人才。</w:t>
      </w:r>
    </w:p>
    <w:p w14:paraId="01E3BA2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在此框架下，冬季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营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黑客松作为两院人才选拔与培育体系的核心环节，承载着三重关键使命：</w:t>
      </w:r>
    </w:p>
    <w:p w14:paraId="2211A8B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1.遴选功能：活动采用“科研攻坚”与“成果孵化”双轮驱动模式，系统评估参赛者在技术实现、模型构建、研究设计、创新落地、团队协作与表达展示等方面的综合能力，从而精准识别兼具学术潜质与产业意识的未来人才。</w:t>
      </w:r>
    </w:p>
    <w:p w14:paraId="1F8A3C2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2.培育功能：通过高强度、沉浸式的实战场景，使学生于真实的科研—转化闭环中得到锻炼，实现“在战斗中学习”，提前适应从技术探索到应用部署的全流程，强化其解决复杂问题的能力。</w:t>
      </w:r>
    </w:p>
    <w:p w14:paraId="3E46274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3.品牌与生态功能：本活动已发展成为两院在高校青年群体中的重要品牌项目，持续吸引全国优秀学子关注与参与，逐步构建起活跃的AI人才社群与创新生态，为两院在人工智能领域的影响力提升与长远发展注入活力。</w:t>
      </w:r>
    </w:p>
    <w:p w14:paraId="5A161C5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因此，本届黑客松不仅是一场技术比拼，更是一次面向未来的协同创新实验，对两院的人才储备、培养路径及创新生态建设具有战略意义。期待通过专业承办方的全流程支持，确保活动兼具学术严谨性与创新开放性，为后续人才培养与技术转化提供扎实支撑。</w:t>
      </w:r>
    </w:p>
    <w:p w14:paraId="6162C46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二、项目需求（供应商工作内容）</w:t>
      </w:r>
    </w:p>
    <w:p w14:paraId="33C8B50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本次冬季营黑客松共有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120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名学生参与，计划采用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4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人一组，共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30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个开发团队参赛。为确保活动顺利开展，并满足选拔和培养目标，供应商需提供以下关键支持：</w:t>
      </w:r>
    </w:p>
    <w:p w14:paraId="49F7158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0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整体活动策划与流程设计</w:t>
      </w:r>
    </w:p>
    <w:p w14:paraId="575B26D8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2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制定两天黑客松的完整活动方案，涵盖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赛前培训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（Day 1）与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黑客松实践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（Day 2）两阶段，安排合理的时间表和人员分工，确保流程高效紧凑。</w:t>
      </w:r>
    </w:p>
    <w:p w14:paraId="53F3480B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2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设计团队组成及分组方案，保障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30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支三人团队均衡竞争。</w:t>
      </w:r>
    </w:p>
    <w:p w14:paraId="52212FED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2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提供风险管理和应急预案，保障活动顺利进行。</w:t>
      </w:r>
    </w:p>
    <w:p w14:paraId="000834C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0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赛题设计与技术环境搭建</w:t>
      </w:r>
    </w:p>
    <w:p w14:paraId="76E59D3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0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导师及评审组织</w:t>
      </w:r>
    </w:p>
    <w:p w14:paraId="52753F6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（1）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协调邀请导师和行业专家，为参赛团队提供指导和技术支持。</w:t>
      </w:r>
    </w:p>
    <w:p w14:paraId="1A37200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（2）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组织科学、公正的评审机制，包括初评和决赛，确保评分公开透明。</w:t>
      </w:r>
    </w:p>
    <w:p w14:paraId="6D74F9E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0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场地执行与现场保障</w:t>
      </w:r>
    </w:p>
    <w:p w14:paraId="0D28B85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（1）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规划布置适合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 xml:space="preserve">30 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支团队协作的场地环境，确保网络、电源、设备等基础设施满足需求。</w:t>
      </w:r>
    </w:p>
    <w:p w14:paraId="7649CFE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（2）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负责相关物料准备，如团队识别牌、资料手册、奖励证书等。</w:t>
      </w:r>
    </w:p>
    <w:p w14:paraId="358DEAD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（3）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配备活动主持、助教及现场协调人员，保障签到、秩序和流程管理。</w:t>
      </w:r>
    </w:p>
    <w:p w14:paraId="7391D49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0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宣传与影像纪录</w:t>
      </w:r>
    </w:p>
    <w:p w14:paraId="27B7105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（1）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设计活动宣传和报名推广方案，吸引目标人群关注。</w:t>
      </w:r>
    </w:p>
    <w:p w14:paraId="37ECCB1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（2）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负责活动期间的影像采集及制作，输出高质量的活动视频和回顾材料。</w:t>
      </w:r>
    </w:p>
    <w:p w14:paraId="295DD1E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0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活动总结与资料交付</w:t>
      </w:r>
    </w:p>
    <w:p w14:paraId="24BBB22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（1）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汇编参赛数据、成绩及优秀作品总结报告。</w:t>
      </w:r>
    </w:p>
    <w:p w14:paraId="1A79B7A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（2）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提交所有技术文档、代码及多媒体资料，便于后续使用和传播。</w:t>
      </w:r>
    </w:p>
    <w:p w14:paraId="2EBCA03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20" w:afterAutospacing="0" w:line="360" w:lineRule="auto"/>
        <w:ind w:left="0" w:leftChars="0" w:right="0" w:rightChars="0" w:firstLine="400" w:firstLineChars="0"/>
        <w:jc w:val="both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项目需求清单</w:t>
      </w:r>
    </w:p>
    <w:tbl>
      <w:tblPr>
        <w:tblStyle w:val="6"/>
        <w:tblW w:w="5453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9"/>
        <w:gridCol w:w="3039"/>
        <w:gridCol w:w="2196"/>
        <w:gridCol w:w="1632"/>
        <w:gridCol w:w="1271"/>
      </w:tblGrid>
      <w:tr w14:paraId="6B47A075">
        <w:trPr>
          <w:trHeight w:val="381" w:hRule="atLeast"/>
          <w:tblHeader/>
          <w:tblCellSpacing w:w="15" w:type="dxa"/>
        </w:trPr>
        <w:tc>
          <w:tcPr>
            <w:tcW w:w="532" w:type="pct"/>
            <w:shd w:val="clear" w:color="auto" w:fill="auto"/>
            <w:vAlign w:val="center"/>
          </w:tcPr>
          <w:p w14:paraId="179423F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641BCB11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交付物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212B782E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交付形式</w:t>
            </w:r>
          </w:p>
        </w:tc>
        <w:tc>
          <w:tcPr>
            <w:tcW w:w="874" w:type="pct"/>
            <w:shd w:val="clear" w:color="auto" w:fill="auto"/>
            <w:vAlign w:val="center"/>
          </w:tcPr>
          <w:p w14:paraId="0000708E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交付时间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28856E81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预算（万元）</w:t>
            </w:r>
          </w:p>
        </w:tc>
      </w:tr>
      <w:tr w14:paraId="2A62A5ED">
        <w:trPr>
          <w:trHeight w:val="1288" w:hRule="atLeast"/>
          <w:tblCellSpacing w:w="15" w:type="dxa"/>
        </w:trPr>
        <w:tc>
          <w:tcPr>
            <w:tcW w:w="532" w:type="pct"/>
            <w:shd w:val="clear" w:color="auto" w:fill="auto"/>
            <w:vAlign w:val="center"/>
          </w:tcPr>
          <w:p w14:paraId="40202BED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1. 策划与统筹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24279D34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《活动策划执行方案》（含两天详细流程、时间表、人员安排、风险预案）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7C485B05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Word/PDF文档，含流程图、时间轴</w:t>
            </w:r>
          </w:p>
        </w:tc>
        <w:tc>
          <w:tcPr>
            <w:tcW w:w="874" w:type="pct"/>
            <w:shd w:val="clear" w:color="auto" w:fill="auto"/>
            <w:vAlign w:val="center"/>
          </w:tcPr>
          <w:p w14:paraId="5AA7A5BF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以甲方要求为准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1FFF36E2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不高于1.0</w:t>
            </w:r>
          </w:p>
        </w:tc>
      </w:tr>
      <w:tr w14:paraId="5F8294AB">
        <w:trPr>
          <w:trHeight w:val="981" w:hRule="atLeast"/>
          <w:tblCellSpacing w:w="15" w:type="dxa"/>
        </w:trPr>
        <w:tc>
          <w:tcPr>
            <w:tcW w:w="532" w:type="pct"/>
            <w:shd w:val="clear" w:color="auto" w:fill="auto"/>
            <w:vAlign w:val="center"/>
          </w:tcPr>
          <w:p w14:paraId="2CD368BD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2. 赛题与技术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0649CF30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《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黑客松赛题</w:t>
            </w:r>
            <w:r>
              <w:rPr>
                <w:sz w:val="21"/>
                <w:szCs w:val="21"/>
              </w:rPr>
              <w:t>与评分方案》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3411072E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文档</w:t>
            </w:r>
          </w:p>
        </w:tc>
        <w:tc>
          <w:tcPr>
            <w:tcW w:w="874" w:type="pct"/>
            <w:shd w:val="clear" w:color="auto" w:fill="auto"/>
            <w:vAlign w:val="center"/>
          </w:tcPr>
          <w:p w14:paraId="432E77CC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以甲方要求为准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5C688AF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不高于3.0</w:t>
            </w:r>
          </w:p>
        </w:tc>
      </w:tr>
      <w:tr w14:paraId="4EFF456B">
        <w:trPr>
          <w:trHeight w:val="367" w:hRule="atLeast"/>
          <w:tblCellSpacing w:w="15" w:type="dxa"/>
        </w:trPr>
        <w:tc>
          <w:tcPr>
            <w:tcW w:w="532" w:type="pct"/>
            <w:shd w:val="clear" w:color="auto" w:fill="auto"/>
            <w:vAlign w:val="center"/>
          </w:tcPr>
          <w:p w14:paraId="496A87A5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3. 导师与嘉宾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27EC096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导师/嘉宾邀请确认名单、日程表评审打分表与晋级规则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5C5C7C2C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Excel名单+议程PDF</w:t>
            </w:r>
          </w:p>
        </w:tc>
        <w:tc>
          <w:tcPr>
            <w:tcW w:w="874" w:type="pct"/>
            <w:shd w:val="clear" w:color="auto" w:fill="auto"/>
            <w:vAlign w:val="center"/>
          </w:tcPr>
          <w:p w14:paraId="1EA320C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以甲方要求为准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159A80FE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不高于2.0</w:t>
            </w:r>
          </w:p>
        </w:tc>
      </w:tr>
      <w:tr w14:paraId="2B053507">
        <w:trPr>
          <w:trHeight w:val="1288" w:hRule="atLeast"/>
          <w:tblCellSpacing w:w="15" w:type="dxa"/>
        </w:trPr>
        <w:tc>
          <w:tcPr>
            <w:tcW w:w="532" w:type="pct"/>
            <w:shd w:val="clear" w:color="auto" w:fill="auto"/>
            <w:vAlign w:val="center"/>
          </w:tcPr>
          <w:p w14:paraId="5BAAEF3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4. 场地与物料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699D1587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场地布置方案、桌椅布局图、网络与电源保障方案参赛手册、胸牌、海报、易拉宝、奖杯、证书、纪念品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4532CD3F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现场布置方案图+成品实物</w:t>
            </w:r>
          </w:p>
        </w:tc>
        <w:tc>
          <w:tcPr>
            <w:tcW w:w="874" w:type="pct"/>
            <w:shd w:val="clear" w:color="auto" w:fill="auto"/>
            <w:vAlign w:val="center"/>
          </w:tcPr>
          <w:p w14:paraId="2EACA4B0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以甲方要求为准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E2BEE9B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不高于2.0</w:t>
            </w:r>
          </w:p>
        </w:tc>
      </w:tr>
      <w:tr w14:paraId="5AF2F4D9">
        <w:trPr>
          <w:trHeight w:val="981" w:hRule="atLeast"/>
          <w:tblCellSpacing w:w="15" w:type="dxa"/>
        </w:trPr>
        <w:tc>
          <w:tcPr>
            <w:tcW w:w="532" w:type="pct"/>
            <w:shd w:val="clear" w:color="auto" w:fill="auto"/>
            <w:vAlign w:val="center"/>
          </w:tcPr>
          <w:p w14:paraId="5ACF6F3C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5. 现场执行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7D970B87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主持人、助教、执行人员名单现场签到表、时间管理计划、突发应急预案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4A3D89AB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Excel人员表+执行手册</w:t>
            </w:r>
          </w:p>
        </w:tc>
        <w:tc>
          <w:tcPr>
            <w:tcW w:w="874" w:type="pct"/>
            <w:shd w:val="clear" w:color="auto" w:fill="auto"/>
            <w:vAlign w:val="center"/>
          </w:tcPr>
          <w:p w14:paraId="2E2B6836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以甲方要求为准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6FEE8E2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不高于1</w:t>
            </w:r>
            <w:bookmarkStart w:id="0" w:name="_GoBack"/>
            <w:bookmarkEnd w:id="0"/>
            <w:r>
              <w:rPr>
                <w:rFonts w:hint="eastAsia"/>
                <w:sz w:val="21"/>
                <w:szCs w:val="21"/>
                <w:lang w:val="en-US" w:eastAsia="zh-CN"/>
              </w:rPr>
              <w:t>.0</w:t>
            </w:r>
          </w:p>
        </w:tc>
      </w:tr>
      <w:tr w14:paraId="773EAC87">
        <w:trPr>
          <w:trHeight w:val="995" w:hRule="atLeast"/>
          <w:tblCellSpacing w:w="15" w:type="dxa"/>
        </w:trPr>
        <w:tc>
          <w:tcPr>
            <w:tcW w:w="532" w:type="pct"/>
            <w:shd w:val="clear" w:color="auto" w:fill="auto"/>
            <w:vAlign w:val="center"/>
          </w:tcPr>
          <w:p w14:paraId="292574DA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6</w:t>
            </w:r>
            <w:r>
              <w:rPr>
                <w:b/>
                <w:bCs/>
                <w:sz w:val="21"/>
                <w:szCs w:val="21"/>
              </w:rPr>
              <w:t>. 赛后总结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5FE6BEA9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《活动总结报告》（含参赛数据、获奖名单、精彩瞬间）所有参赛作品与资料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PR文稿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1FFE560D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Word/PDF总结+完整资料打包</w:t>
            </w:r>
          </w:p>
        </w:tc>
        <w:tc>
          <w:tcPr>
            <w:tcW w:w="874" w:type="pct"/>
            <w:shd w:val="clear" w:color="auto" w:fill="auto"/>
            <w:vAlign w:val="center"/>
          </w:tcPr>
          <w:p w14:paraId="47189962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以甲方要求为准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23A871A6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不高于1.0</w:t>
            </w:r>
          </w:p>
        </w:tc>
      </w:tr>
    </w:tbl>
    <w:p w14:paraId="383AC223">
      <w:pPr>
        <w:keepNext w:val="0"/>
        <w:keepLines w:val="0"/>
        <w:widowControl/>
        <w:suppressLineNumbers w:val="0"/>
      </w:pPr>
    </w:p>
    <w:p w14:paraId="3E71A852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2"/>
          <w:lang w:val="en-US" w:eastAsia="zh-CN" w:bidi="ar-SA"/>
        </w:rPr>
        <w:t>预算合计：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2"/>
          <w:lang w:val="en-US" w:eastAsia="zh-CN" w:bidi="ar-SA"/>
        </w:rPr>
        <w:t>不高于10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2"/>
          <w:lang w:val="en-US" w:eastAsia="zh-CN" w:bidi="ar-SA"/>
        </w:rPr>
        <w:t>万元（含税）</w:t>
      </w:r>
    </w:p>
    <w:p w14:paraId="00262B1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B275E"/>
    <w:multiLevelType w:val="multilevel"/>
    <w:tmpl w:val="861B275E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3FE6C42A"/>
    <w:multiLevelType w:val="multilevel"/>
    <w:tmpl w:val="3FE6C42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B9958A"/>
    <w:rsid w:val="05A30D0A"/>
    <w:rsid w:val="301A205C"/>
    <w:rsid w:val="32F949D2"/>
    <w:rsid w:val="44CB1108"/>
    <w:rsid w:val="61161505"/>
    <w:rsid w:val="6A5F5CCB"/>
    <w:rsid w:val="6B0067C5"/>
    <w:rsid w:val="7A0D129F"/>
    <w:rsid w:val="B7B9958A"/>
    <w:rsid w:val="BDDDD202"/>
    <w:rsid w:val="BF370C1A"/>
    <w:rsid w:val="D7E7F2AB"/>
    <w:rsid w:val="FFAF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1820</Words>
  <Characters>1909</Characters>
  <Lines>0</Lines>
  <Paragraphs>0</Paragraphs>
  <TotalTime>127</TotalTime>
  <ScaleCrop>false</ScaleCrop>
  <LinksUpToDate>false</LinksUpToDate>
  <CharactersWithSpaces>2008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2025-09-20T00:26:00Z</dcterms:created>
  <dc:creator>凌家欣</dc:creator>
  <cp:lastModifiedBy>凌家欣</cp:lastModifiedBy>
  <dcterms:modified xsi:type="dcterms:W3CDTF">2026-01-06T17:09:49Z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5F17FAA2CBA0357C5DD15C694369A766_43</vt:lpwstr>
  </property>
  <property fmtid="{D5CDD505-2E9C-101B-9397-08002B2CF9AE}" pid="4" name="KSOTemplateDocerSaveRecord">
    <vt:lpwstr>eyJoZGlkIjoiMDhmMzkyNDRkYTg5Y2JiYTlkYmJlYjBmYzc2N2Y4NzkiLCJ1c2VySWQiOiIxMTQzNTM0MzE2In0=</vt:lpwstr>
  </property>
</Properties>
</file>