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200"/>
      </w:pPr>
      <w:r>
        <w:rPr>
          <w:rFonts w:ascii="Arial" w:hAnsi="Arial"/>
          <w:color w:val="144F6C"/>
          <w:sz w:val="40"/>
        </w:rPr>
        <w:t>PMC-010</w:t>
      </w:r>
    </w:p>
    <w:p>
      <w:pPr>
        <w:spacing w:after="200"/>
      </w:pPr>
      <w:r>
        <w:rPr>
          <w:rFonts w:ascii="Arial" w:hAnsi="Arial"/>
          <w:color w:val="144F6C"/>
          <w:sz w:val="56"/>
        </w:rPr>
        <w:t>ResearchOS Engineering Onboarding Guide</w:t>
      </w:r>
    </w:p>
    <w:p>
      <w:pPr>
        <w:pStyle w:val="FirstParagraph"/>
      </w:pPr>
      <w:r>
        <w:rPr>
          <w:rFonts w:ascii="Arial" w:hAnsi="Arial"/>
          <w:b/>
        </w:rPr>
      </w:r>
      <w:r>
        <w:rPr>
          <w:rFonts w:ascii="Arial" w:hAnsi="Arial"/>
        </w:rPr>
      </w:r>
      <w:r>
        <w:rPr>
          <w:rFonts w:ascii="Arial" w:hAnsi="Arial"/>
        </w:rPr>
      </w:r>
      <w:r>
        <w:rPr>
          <w:rFonts w:ascii="Arial" w:hAnsi="Arial"/>
          <w:b/>
        </w:rPr>
      </w:r>
      <w:r>
        <w:rPr>
          <w:rFonts w:ascii="Arial" w:hAnsi="Arial"/>
        </w:rPr>
      </w:r>
      <w:r>
        <w:rPr>
          <w:rFonts w:ascii="Arial" w:hAnsi="Arial"/>
        </w:rPr>
      </w:r>
      <w:r>
        <w:rPr>
          <w:rFonts w:ascii="Arial" w:hAnsi="Arial"/>
          <w:b/>
        </w:rPr>
      </w:r>
      <w:r>
        <w:rPr>
          <w:rFonts w:ascii="Arial" w:hAnsi="Arial"/>
        </w:rPr>
      </w:r>
      <w:r>
        <w:rPr>
          <w:rFonts w:ascii="Arial" w:hAnsi="Arial"/>
        </w:rPr>
      </w:r>
      <w:r>
        <w:rPr>
          <w:rFonts w:ascii="Arial" w:hAnsi="Arial"/>
          <w:b/>
        </w:rPr>
      </w:r>
      <w:r>
        <w:rPr>
          <w:rFonts w:ascii="Arial" w:hAnsi="Arial"/>
        </w:rPr>
      </w:r>
      <w:r>
        <w:rPr>
          <w:rFonts w:ascii="Arial" w:hAnsi="Arial"/>
        </w:rPr>
      </w:r>
      <w:r>
        <w:rPr>
          <w:rFonts w:ascii="Arial" w:hAnsi="Arial"/>
          <w:b/>
        </w:rPr>
      </w:r>
      <w:r>
        <w:rPr>
          <w:rFonts w:ascii="Arial" w:hAnsi="Arial"/>
        </w:rPr>
      </w:r>
      <w:r>
        <w:rPr>
          <w:rFonts w:ascii="Arial" w:hAnsi="Arial"/>
        </w:rPr>
      </w:r>
      <w:r>
        <w:rPr>
          <w:rFonts w:ascii="Arial" w:hAnsi="Arial"/>
          <w:b/>
        </w:rPr>
      </w:r>
      <w:r>
        <w:rPr>
          <w:rFonts w:ascii="Arial" w:hAnsi="Arial"/>
        </w:rPr>
      </w:r>
      <w:r>
        <w:rPr>
          <w:rFonts w:ascii="Arial" w:hAnsi="Arial"/>
        </w:rPr>
      </w:r>
      <w:r>
        <w:rPr>
          <w:rFonts w:ascii="Arial" w:hAnsi="Arial"/>
          <w:b/>
        </w:rPr>
      </w:r>
      <w:r>
        <w:rPr>
          <w:rFonts w:ascii="Arial" w:hAnsi="Arial"/>
        </w:rPr>
      </w:r>
      <w:r>
        <w:rPr>
          <w:rFonts w:ascii="Arial" w:hAnsi="Arial"/>
        </w:rPr>
      </w:r>
      <w:r>
        <w:rPr>
          <w:rFonts w:ascii="Arial" w:hAnsi="Arial"/>
          <w:b/>
        </w:rPr>
      </w:r>
      <w:r>
        <w:rPr>
          <w:rFonts w:ascii="Arial" w:hAnsi="Arial"/>
        </w:rPr>
      </w:r>
      <w:r>
        <w:rPr>
          <w:rFonts w:ascii="Arial" w:hAnsi="Arial"/>
        </w:rPr>
      </w:r>
      <w:r>
        <w:rPr>
          <w:rFonts w:ascii="Arial" w:hAnsi="Arial"/>
          <w:b/>
        </w:rPr>
      </w:r>
      <w:r>
        <w:rPr>
          <w:rFonts w:ascii="Arial" w:hAnsi="Arial"/>
        </w:rPr>
      </w:r>
      <w:r>
        <w:rPr>
          <w:rFonts w:ascii="Arial" w:hAnsi="Arial"/>
        </w:rPr>
      </w:r>
      <w:r>
        <w:rPr>
          <w:rFonts w:ascii="Arial" w:hAnsi="Arial"/>
          <w:b/>
        </w:rPr>
      </w:r>
      <w:r>
        <w:rPr>
          <w:rFonts w:ascii="Arial" w:hAnsi="Arial"/>
        </w:rPr>
      </w:r>
      <w:r>
        <w:rPr>
          <w:rFonts w:ascii="Arial" w:hAnsi="Arial"/>
        </w:rPr>
      </w:r>
      <w:r>
        <w:rPr>
          <w:rFonts w:ascii="Arial" w:hAnsi="Arial"/>
          <w:b/>
        </w:rPr>
      </w:r>
      <w:r>
        <w:rPr>
          <w:rFonts w:ascii="Arial" w:hAnsi="Arial"/>
        </w:rPr>
      </w:r>
      <w:r>
        <w:rPr>
          <w:b/>
        </w:rPr>
        <w:t xml:space="preserve">Project: </w:t>
      </w:r>
      <w:r>
        <w:t>ResearchOS</w:t>
      </w:r>
      <w:r>
        <w:br/>
      </w:r>
      <w:r>
        <w:rPr>
          <w:b/>
        </w:rPr>
        <w:t xml:space="preserve">Document ID: </w:t>
      </w:r>
      <w:r>
        <w:t>PMC-010</w:t>
      </w:r>
      <w:r>
        <w:br/>
      </w:r>
      <w:r>
        <w:rPr>
          <w:b/>
        </w:rPr>
        <w:t xml:space="preserve">Official Title: </w:t>
      </w:r>
      <w:r>
        <w:t>ResearchOS Engineering Onboarding Guide</w:t>
      </w:r>
      <w:r>
        <w:br/>
      </w:r>
      <w:r>
        <w:rPr>
          <w:b/>
        </w:rPr>
        <w:t xml:space="preserve">Version: </w:t>
      </w:r>
      <w:r>
        <w:t>0.2</w:t>
      </w:r>
      <w:r>
        <w:br/>
      </w:r>
      <w:r>
        <w:rPr>
          <w:b/>
        </w:rPr>
        <w:t xml:space="preserve">Status: </w:t>
      </w:r>
      <w:r>
        <w:t>Published Canonical Edition</w:t>
      </w:r>
      <w:r>
        <w:br/>
      </w:r>
      <w:r>
        <w:rPr>
          <w:b/>
        </w:rPr>
        <w:t xml:space="preserve">Artifact Family: </w:t>
      </w:r>
      <w:r>
        <w:t>PMC</w:t>
      </w:r>
      <w:r>
        <w:br/>
      </w:r>
      <w:r>
        <w:rPr>
          <w:b/>
        </w:rPr>
        <w:t xml:space="preserve">Artifact Class: </w:t>
      </w:r>
      <w:r>
        <w:t>Informative Engineering Onboarding Guide</w:t>
      </w:r>
      <w:r>
        <w:br/>
      </w:r>
      <w:r>
        <w:rPr>
          <w:b/>
        </w:rPr>
        <w:t xml:space="preserve">Parent Context: </w:t>
      </w:r>
      <w:r>
        <w:t>PMC-000 — ResearchOS Project Master Context</w:t>
      </w:r>
      <w:r>
        <w:br/>
      </w:r>
      <w:r>
        <w:rPr>
          <w:b/>
        </w:rPr>
        <w:t xml:space="preserve">Audience: </w:t>
      </w:r>
      <w:r>
        <w:t>Engineers, Codex, AI engineering assistants, contributors</w:t>
      </w:r>
      <w:r>
        <w:br/>
      </w:r>
      <w:r>
        <w:rPr>
          <w:b/>
        </w:rPr>
        <w:t xml:space="preserve">Authority: </w:t>
      </w:r>
      <w:r>
        <w:t>Informative only; no independent normative authority</w:t>
      </w:r>
      <w:r>
        <w:br/>
      </w:r>
      <w:r>
        <w:rPr>
          <w:b/>
        </w:rPr>
        <w:t xml:space="preserve">Human Ratifier: </w:t>
      </w:r>
      <w:r>
        <w:t>Jumadi</w:t>
      </w:r>
      <w:r>
        <w:br/>
      </w:r>
      <w:r>
        <w:rPr>
          <w:b/>
        </w:rPr>
        <w:t xml:space="preserve">Decision Date: </w:t>
      </w:r>
      <w:r>
        <w:t>2026-07-22</w:t>
      </w:r>
      <w:r>
        <w:br/>
      </w:r>
      <w:r>
        <w:rPr>
          <w:b/>
        </w:rPr>
        <w:t xml:space="preserve">Registration: </w:t>
      </w:r>
      <w:r>
        <w:t>Admitted to the ResearchOS Canonical Document Register</w:t>
      </w:r>
    </w:p>
    <w:p>
      <w:pPr>
        <w:pStyle w:val="Heading1"/>
        <w:keepNext/>
        <w:pageBreakBefore w:val="0"/>
      </w:pPr>
      <w:r>
        <w:rPr>
          <w:rFonts w:ascii="Arial" w:hAnsi="Arial"/>
        </w:rPr>
        <w:t>1. Purpose</w:t>
      </w:r>
    </w:p>
    <w:p>
      <w:pPr>
        <w:pStyle w:val="FirstParagraph"/>
      </w:pPr>
      <w:r>
        <w:rPr>
          <w:rFonts w:ascii="Arial" w:hAnsi="Arial"/>
        </w:rPr>
        <w:t>PMC-010 membantu engineer baru menemukan pintu masuk repository, sumber informasi, dan alur kerja engineering ResearchOS yang benar.</w:t>
      </w:r>
    </w:p>
    <w:p>
      <w:pPr>
        <w:pStyle w:val="BodyText"/>
      </w:pPr>
      <w:r>
        <w:rPr>
          <w:rFonts w:ascii="Arial" w:hAnsi="Arial"/>
        </w:rPr>
        <w:t>Dokumen ini tidak menetapkan:</w:t>
      </w:r>
    </w:p>
    <w:p>
      <w:pPr>
        <w:pStyle w:val="Compact"/>
        <w:numPr>
          <w:ilvl w:val="0"/>
          <w:numId w:val="1001"/>
        </w:numPr>
      </w:pPr>
      <w:r>
        <w:rPr>
          <w:rFonts w:ascii="Arial" w:hAnsi="Arial"/>
        </w:rPr>
        <w:t>arsitektur;</w:t>
      </w:r>
    </w:p>
    <w:p>
      <w:pPr>
        <w:pStyle w:val="Compact"/>
        <w:numPr>
          <w:ilvl w:val="0"/>
          <w:numId w:val="1001"/>
        </w:numPr>
      </w:pPr>
      <w:r>
        <w:rPr>
          <w:rFonts w:ascii="Arial" w:hAnsi="Arial"/>
        </w:rPr>
        <w:t>governance;</w:t>
      </w:r>
    </w:p>
    <w:p>
      <w:pPr>
        <w:pStyle w:val="Compact"/>
        <w:numPr>
          <w:ilvl w:val="0"/>
          <w:numId w:val="1001"/>
        </w:numPr>
      </w:pPr>
      <w:r>
        <w:rPr>
          <w:rFonts w:ascii="Arial" w:hAnsi="Arial"/>
        </w:rPr>
        <w:t>status kanonik;</w:t>
      </w:r>
    </w:p>
    <w:p>
      <w:pPr>
        <w:pStyle w:val="Compact"/>
        <w:numPr>
          <w:ilvl w:val="0"/>
          <w:numId w:val="1001"/>
        </w:numPr>
      </w:pPr>
      <w:r>
        <w:rPr>
          <w:rFonts w:ascii="Arial" w:hAnsi="Arial"/>
        </w:rPr>
        <w:t>authority;</w:t>
      </w:r>
    </w:p>
    <w:p>
      <w:pPr>
        <w:pStyle w:val="Compact"/>
        <w:numPr>
          <w:ilvl w:val="0"/>
          <w:numId w:val="1001"/>
        </w:numPr>
      </w:pPr>
      <w:r>
        <w:rPr>
          <w:rFonts w:ascii="Arial" w:hAnsi="Arial"/>
        </w:rPr>
        <w:t>scientific semantics; atau</w:t>
      </w:r>
    </w:p>
    <w:p>
      <w:pPr>
        <w:pStyle w:val="Compact"/>
        <w:numPr>
          <w:ilvl w:val="0"/>
          <w:numId w:val="1001"/>
        </w:numPr>
      </w:pPr>
      <w:r>
        <w:rPr>
          <w:rFonts w:ascii="Arial" w:hAnsi="Arial"/>
        </w:rPr>
        <w:t>izin deployment.</w:t>
      </w:r>
    </w:p>
    <w:p>
      <w:pPr>
        <w:pStyle w:val="FirstParagraph"/>
      </w:pPr>
      <w:r>
        <w:rPr>
          <w:rFonts w:ascii="Arial" w:hAnsi="Arial"/>
        </w:rPr>
        <w:t>Semua ketentuan mengikat tetap berasal dari file kerja repository dan dokumen kanonik yang dirujuk. PMC-010 hanya membantu onboarding. Status kanoniknya berasal dari admission record dan hash representasi yang terdaftar, bukan dari nama, ID, atau lokasi penyimpanan, serta tidak memperluas authority dokumen ini.</w:t>
      </w:r>
    </w:p>
    <w:p>
      <w:pPr>
        <w:pStyle w:val="Heading1"/>
        <w:keepNext/>
        <w:pageBreakBefore w:val="0"/>
      </w:pPr>
      <w:r>
        <w:rPr>
          <w:rFonts w:ascii="Arial" w:hAnsi="Arial"/>
        </w:rPr>
        <w:t>2. Before You Start</w:t>
      </w:r>
    </w:p>
    <w:p>
      <w:pPr>
        <w:pStyle w:val="FirstParagraph"/>
      </w:pPr>
      <w:r>
        <w:rPr>
          <w:rFonts w:ascii="Arial" w:hAnsi="Arial"/>
        </w:rPr>
        <w:t>Sebelum melakukan perubahan apa pun pada repository:</w:t>
      </w:r>
    </w:p>
    <w:p>
      <w:pPr>
        <w:pStyle w:val="Compact"/>
        <w:numPr>
          <w:ilvl w:val="0"/>
          <w:numId w:val="1001"/>
        </w:numPr>
      </w:pPr>
      <w:r>
        <w:rPr>
          <w:rFonts w:ascii="Arial" w:hAnsi="Arial"/>
        </w:rPr>
        <w:t>Baca AGENTS.md di root repository.</w:t>
      </w:r>
    </w:p>
    <w:p>
      <w:pPr>
        <w:pStyle w:val="Compact"/>
        <w:numPr>
          <w:ilvl w:val="0"/>
          <w:numId w:val="1001"/>
        </w:numPr>
      </w:pPr>
      <w:r>
        <w:rPr>
          <w:rFonts w:ascii="Arial" w:hAnsi="Arial"/>
        </w:rPr>
        <w:t>Ikuti rujukannya dan baca .agents/AGENTS.md sebagai working agreement ResearchOS.</w:t>
      </w:r>
    </w:p>
    <w:p>
      <w:pPr>
        <w:pStyle w:val="Compact"/>
        <w:numPr>
          <w:ilvl w:val="0"/>
          <w:numId w:val="1001"/>
        </w:numPr>
      </w:pPr>
      <w:r>
        <w:rPr>
          <w:rFonts w:ascii="Arial" w:hAnsi="Arial"/>
        </w:rPr>
        <w:t>Pahami tugas, ruang lingkup, dan hasil yang diminta.</w:t>
      </w:r>
    </w:p>
    <w:p>
      <w:pPr>
        <w:pStyle w:val="Compact"/>
        <w:numPr>
          <w:ilvl w:val="0"/>
          <w:numId w:val="1001"/>
        </w:numPr>
      </w:pPr>
      <w:r>
        <w:rPr>
          <w:rFonts w:ascii="Arial" w:hAnsi="Arial"/>
        </w:rPr>
        <w:t>Konsultasikan PMC-000 dan dokumen kanonik hanya sejauh relevan dengan tugas.</w:t>
      </w:r>
    </w:p>
    <w:p>
      <w:pPr>
        <w:pStyle w:val="Compact"/>
        <w:numPr>
          <w:ilvl w:val="0"/>
          <w:numId w:val="1001"/>
        </w:numPr>
      </w:pPr>
      <w:r>
        <w:rPr>
          <w:rFonts w:ascii="Arial" w:hAnsi="Arial"/>
        </w:rPr>
        <w:t>Periksa README.md, panduan setup, serta file yang terdampak.</w:t>
      </w:r>
    </w:p>
    <w:p>
      <w:pPr>
        <w:pStyle w:val="Compact"/>
        <w:numPr>
          <w:ilvl w:val="0"/>
          <w:numId w:val="1001"/>
        </w:numPr>
      </w:pPr>
      <w:r>
        <w:rPr>
          <w:rFonts w:ascii="Arial" w:hAnsi="Arial"/>
        </w:rPr>
        <w:t>Jangan mulai mengubah kode sebelum memahami konteks dan batas kewenangan pekerjaan.</w:t>
      </w:r>
    </w:p>
    <w:p>
      <w:pPr>
        <w:pStyle w:val="Heading1"/>
        <w:keepNext/>
        <w:pageBreakBefore w:val="0"/>
      </w:pPr>
      <w:r>
        <w:rPr>
          <w:rFonts w:ascii="Arial" w:hAnsi="Arial"/>
        </w:rPr>
        <w:t>3. Finding the Right Source</w:t>
      </w:r>
    </w:p>
    <w:p>
      <w:pPr>
        <w:pStyle w:val="FirstParagraph"/>
      </w:pPr>
      <w:r>
        <w:rPr>
          <w:rFonts w:ascii="Arial" w:hAnsi="Arial"/>
        </w:rPr>
        <w:t>Gunakan sumber berikut sesuai kebutuhan. Path ditulis relatif terhadap root repository.</w:t>
      </w:r>
    </w:p>
    <w:tbl>
      <w:tblPr>
        <w:tblW w:type="auto" w:w="0"/>
        <w:tblLayout w:type="fixed"/>
        <w:tblLook w:firstColumn="1" w:firstRow="1" w:lastColumn="0" w:lastRow="0" w:noHBand="0" w:noVBand="1" w:val="04A0"/>
      </w:tblPr>
      <w:tblGrid>
        <w:gridCol w:w="3528"/>
        <w:gridCol w:w="5832"/>
      </w:tblGrid>
      <w:tr>
        <w:trPr>
          <w:tblHeader w:val="true"/>
        </w:trPr>
        <w:tc>
          <w:tcPr>
            <w:tcW w:type="dxa" w:w="4680"/>
          </w:tcPr>
          <w:p>
            <w:r>
              <w:rPr>
                <w:b/>
              </w:rPr>
              <w:t>Jika membutuhkan…</w:t>
            </w:r>
          </w:p>
        </w:tc>
        <w:tc>
          <w:tcPr>
            <w:tcW w:type="dxa" w:w="4680"/>
          </w:tcPr>
          <w:p>
            <w:r>
              <w:rPr>
                <w:b/>
              </w:rPr>
              <w:t>Gunakan…</w:t>
            </w:r>
          </w:p>
        </w:tc>
      </w:tr>
      <w:tr>
        <w:tc>
          <w:tcPr>
            <w:tcW w:type="dxa" w:w="3528"/>
          </w:tcPr>
          <w:p>
            <w:r>
              <w:t>Instruksi kerja repository</w:t>
            </w:r>
          </w:p>
        </w:tc>
        <w:tc>
          <w:tcPr>
            <w:tcW w:type="dxa" w:w="5832"/>
          </w:tcPr>
          <w:p>
            <w:r/>
            <w:hyperlink r:id="rId9">
              <w:r>
                <w:rPr>
                  <w:color w:val="0563C1"/>
                  <w:u w:val="single"/>
                </w:rPr>
                <w:t>AGENTS.md</w:t>
              </w:r>
            </w:hyperlink>
          </w:p>
        </w:tc>
      </w:tr>
      <w:tr>
        <w:tc>
          <w:tcPr>
            <w:tcW w:type="dxa" w:w="3528"/>
          </w:tcPr>
          <w:p>
            <w:r>
              <w:t>Working agreement ResearchOS</w:t>
            </w:r>
          </w:p>
        </w:tc>
        <w:tc>
          <w:tcPr>
            <w:tcW w:type="dxa" w:w="5832"/>
          </w:tcPr>
          <w:p>
            <w:r/>
            <w:hyperlink r:id="rId10">
              <w:r>
                <w:rPr>
                  <w:color w:val="0563C1"/>
                  <w:u w:val="single"/>
                </w:rPr>
                <w:t>.agents/AGENTS.md</w:t>
              </w:r>
            </w:hyperlink>
          </w:p>
        </w:tc>
      </w:tr>
      <w:tr>
        <w:tc>
          <w:tcPr>
            <w:tcW w:type="dxa" w:w="3528"/>
          </w:tcPr>
          <w:p>
            <w:r>
              <w:t>Konteks dan indeks proyek</w:t>
            </w:r>
          </w:p>
        </w:tc>
        <w:tc>
          <w:tcPr>
            <w:tcW w:type="dxa" w:w="5832"/>
          </w:tcPr>
          <w:p>
            <w:r/>
            <w:hyperlink r:id="rId11">
              <w:r>
                <w:rPr>
                  <w:color w:val="0563C1"/>
                  <w:u w:val="single"/>
                </w:rPr>
                <w:t>PMC-000</w:t>
              </w:r>
            </w:hyperlink>
          </w:p>
        </w:tc>
      </w:tr>
      <w:tr>
        <w:tc>
          <w:tcPr>
            <w:tcW w:type="dxa" w:w="3528"/>
          </w:tcPr>
          <w:p>
            <w:r>
              <w:t>Status dokumen kanonik</w:t>
            </w:r>
          </w:p>
        </w:tc>
        <w:tc>
          <w:tcPr>
            <w:tcW w:type="dxa" w:w="5832"/>
          </w:tcPr>
          <w:p>
            <w:r/>
            <w:hyperlink r:id="rId12">
              <w:r>
                <w:rPr>
                  <w:color w:val="0563C1"/>
                  <w:u w:val="single"/>
                </w:rPr>
                <w:t>Documents/CANONICAL_DOCUMENT_REGISTER.md</w:t>
              </w:r>
            </w:hyperlink>
          </w:p>
        </w:tc>
      </w:tr>
      <w:tr>
        <w:tc>
          <w:tcPr>
            <w:tcW w:type="dxa" w:w="3528"/>
          </w:tcPr>
          <w:p>
            <w:r>
              <w:t>Gambaran perangkat lunak</w:t>
            </w:r>
          </w:p>
        </w:tc>
        <w:tc>
          <w:tcPr>
            <w:tcW w:type="dxa" w:w="5832"/>
          </w:tcPr>
          <w:p>
            <w:r/>
            <w:hyperlink r:id="rId13">
              <w:r>
                <w:rPr>
                  <w:color w:val="0563C1"/>
                  <w:u w:val="single"/>
                </w:rPr>
                <w:t>README.md</w:t>
              </w:r>
            </w:hyperlink>
          </w:p>
        </w:tc>
      </w:tr>
      <w:tr>
        <w:tc>
          <w:tcPr>
            <w:tcW w:type="dxa" w:w="3528"/>
          </w:tcPr>
          <w:p>
            <w:r>
              <w:t>Setup lokal awal</w:t>
            </w:r>
          </w:p>
        </w:tc>
        <w:tc>
          <w:tcPr>
            <w:tcW w:type="dxa" w:w="5832"/>
          </w:tcPr>
          <w:p>
            <w:r/>
            <w:hyperlink r:id="rId14">
              <w:r>
                <w:rPr>
                  <w:color w:val="0563C1"/>
                  <w:u w:val="single"/>
                </w:rPr>
                <w:t>Documents/GETTING_STARTED.md</w:t>
              </w:r>
            </w:hyperlink>
          </w:p>
        </w:tc>
      </w:tr>
      <w:tr>
        <w:tc>
          <w:tcPr>
            <w:tcW w:type="dxa" w:w="3528"/>
          </w:tcPr>
          <w:p>
            <w:r>
              <w:t>Target deployment</w:t>
            </w:r>
          </w:p>
        </w:tc>
        <w:tc>
          <w:tcPr>
            <w:tcW w:type="dxa" w:w="5832"/>
          </w:tcPr>
          <w:p>
            <w:r/>
            <w:hyperlink r:id="rId15">
              <w:r>
                <w:rPr>
                  <w:color w:val="0563C1"/>
                  <w:u w:val="single"/>
                </w:rPr>
                <w:t>deploy/production-registry.json</w:t>
              </w:r>
            </w:hyperlink>
          </w:p>
        </w:tc>
      </w:tr>
      <w:tr>
        <w:tc>
          <w:tcPr>
            <w:tcW w:type="dxa" w:w="3528"/>
          </w:tcPr>
          <w:p>
            <w:r>
              <w:t>Kebijakan acceptance</w:t>
            </w:r>
          </w:p>
        </w:tc>
        <w:tc>
          <w:tcPr>
            <w:tcW w:type="dxa" w:w="5832"/>
          </w:tcPr>
          <w:p>
            <w:r/>
            <w:hyperlink r:id="rId16">
              <w:r>
                <w:rPr>
                  <w:color w:val="0563C1"/>
                  <w:u w:val="single"/>
                </w:rPr>
                <w:t>Documents/REAL_ENVIRONMENT_ACCEPTANCE_POLICY.md</w:t>
              </w:r>
            </w:hyperlink>
          </w:p>
        </w:tc>
      </w:tr>
    </w:tbl>
    <w:p>
      <w:pPr>
        <w:pStyle w:val="FirstParagraph"/>
      </w:pPr>
      <w:r>
        <w:rPr>
          <w:rFonts w:ascii="Arial" w:hAnsi="Arial"/>
        </w:rPr>
        <w:t>PMC-010 tidak menggantikan sumber-sumber tersebut.</w:t>
      </w:r>
    </w:p>
    <w:p>
      <w:pPr>
        <w:pStyle w:val="Heading1"/>
        <w:keepNext/>
        <w:pageBreakBefore/>
      </w:pPr>
      <w:r>
        <w:rPr>
          <w:rFonts w:ascii="Arial" w:hAnsi="Arial"/>
        </w:rPr>
        <w:t>4. Repository Onboarding</w:t>
      </w:r>
    </w:p>
    <w:p>
      <w:pPr>
        <w:pStyle w:val="FirstParagraph"/>
      </w:pPr>
      <w:r>
        <w:rPr>
          <w:rFonts w:ascii="Arial" w:hAnsi="Arial"/>
        </w:rPr>
        <w:t>Urutan onboarding yang direkomendasikan:</w:t>
      </w:r>
    </w:p>
    <w:p>
      <w:pPr>
        <w:pStyle w:val="SourceCode"/>
        <w:keepLines/>
      </w:pPr>
      <w:r>
        <w:rPr>
          <w:rFonts w:ascii="Arial" w:hAnsi="Arial"/>
        </w:rPr>
        <w:t>Open repository</w:t>
        <w:br/>
      </w:r>
      <w:r>
        <w:rPr>
          <w:rFonts w:ascii="Arial" w:hAnsi="Arial"/>
        </w:rPr>
        <w:t xml:space="preserve">        ↓</w:t>
        <w:br/>
      </w:r>
      <w:r>
        <w:rPr>
          <w:rFonts w:ascii="Arial" w:hAnsi="Arial"/>
        </w:rPr>
        <w:t>Read AGENTS.md</w:t>
        <w:br/>
      </w:r>
      <w:r>
        <w:rPr>
          <w:rFonts w:ascii="Arial" w:hAnsi="Arial"/>
        </w:rPr>
        <w:t xml:space="preserve">        ↓</w:t>
        <w:br/>
      </w:r>
      <w:r>
        <w:rPr>
          <w:rFonts w:ascii="Arial" w:hAnsi="Arial"/>
        </w:rPr>
        <w:t>Read .agents/AGENTS.md</w:t>
        <w:br/>
      </w:r>
      <w:r>
        <w:rPr>
          <w:rFonts w:ascii="Arial" w:hAnsi="Arial"/>
        </w:rPr>
        <w:t xml:space="preserve">        ↓</w:t>
        <w:br/>
      </w:r>
      <w:r>
        <w:rPr>
          <w:rFonts w:ascii="Arial" w:hAnsi="Arial"/>
        </w:rPr>
        <w:t>Understand the assigned task</w:t>
        <w:br/>
      </w:r>
      <w:r>
        <w:rPr>
          <w:rFonts w:ascii="Arial" w:hAnsi="Arial"/>
        </w:rPr>
        <w:t xml:space="preserve">        ↓</w:t>
        <w:br/>
      </w:r>
      <w:r>
        <w:rPr>
          <w:rFonts w:ascii="Arial" w:hAnsi="Arial"/>
        </w:rPr>
        <w:t>Consult PMC-000 and relevant sources</w:t>
        <w:br/>
      </w:r>
      <w:r>
        <w:rPr>
          <w:rFonts w:ascii="Arial" w:hAnsi="Arial"/>
        </w:rPr>
        <w:t xml:space="preserve">        ↓</w:t>
        <w:br/>
      </w:r>
      <w:r>
        <w:rPr>
          <w:rFonts w:ascii="Arial" w:hAnsi="Arial"/>
        </w:rPr>
        <w:t>Inspect affected files and baseline</w:t>
        <w:br/>
      </w:r>
      <w:r>
        <w:rPr>
          <w:rFonts w:ascii="Arial" w:hAnsi="Arial"/>
        </w:rPr>
        <w:t xml:space="preserve">        ↓</w:t>
        <w:br/>
      </w:r>
      <w:r>
        <w:rPr>
          <w:rFonts w:ascii="Arial" w:hAnsi="Arial"/>
        </w:rPr>
        <w:t>Define verification needed</w:t>
        <w:br/>
      </w:r>
      <w:r>
        <w:rPr>
          <w:rFonts w:ascii="Arial" w:hAnsi="Arial"/>
        </w:rPr>
        <w:t xml:space="preserve">        ↓</w:t>
        <w:br/>
      </w:r>
      <w:r>
        <w:rPr>
          <w:rFonts w:ascii="Arial" w:hAnsi="Arial"/>
        </w:rPr>
        <w:t>Implement within approved scope</w:t>
      </w:r>
    </w:p>
    <w:p>
      <w:pPr>
        <w:pStyle w:val="FirstParagraph"/>
      </w:pPr>
      <w:r>
        <w:rPr>
          <w:rFonts w:ascii="Arial" w:hAnsi="Arial"/>
        </w:rPr>
        <w:t>Jika informasi bertentangan, ikuti instruksi repository yang berlaku, lalu sumber kanonik yang memiliki kewenangan atas pokok tersebut. Laporkan konflik yang belum dapat diselesaikan.</w:t>
      </w:r>
    </w:p>
    <w:p>
      <w:pPr>
        <w:pStyle w:val="Heading1"/>
        <w:keepNext/>
        <w:pageBreakBefore w:val="0"/>
      </w:pPr>
      <w:r>
        <w:rPr>
          <w:rFonts w:ascii="Arial" w:hAnsi="Arial"/>
        </w:rPr>
        <w:t>5. First Engineering Session</w:t>
      </w:r>
    </w:p>
    <w:p>
      <w:pPr>
        <w:pStyle w:val="FirstParagraph"/>
      </w:pPr>
      <w:r>
        <w:rPr>
          <w:rFonts w:ascii="Arial" w:hAnsi="Arial"/>
        </w:rPr>
        <w:t>Checklist sebelum mulai bekerja:</w:t>
      </w:r>
    </w:p>
    <w:p>
      <w:pPr>
        <w:pStyle w:val="BodyText"/>
        <w:ind w:left="432" w:hanging="288"/>
      </w:pPr>
      <w:r>
        <w:rPr>
          <w:rFonts w:ascii="Arial" w:hAnsi="Arial"/>
        </w:rPr>
        <w:t xml:space="preserve">☐ </w:t>
      </w:r>
      <w:r>
        <w:rPr>
          <w:rFonts w:ascii="Arial" w:hAnsi="Arial"/>
        </w:rPr>
        <w:t>Memahami tugas dan ruang lingkup yang diberikan.</w:t>
      </w:r>
    </w:p>
    <w:p>
      <w:pPr>
        <w:pStyle w:val="BodyText"/>
        <w:ind w:left="432" w:hanging="288"/>
      </w:pPr>
      <w:r>
        <w:rPr>
          <w:rFonts w:ascii="Arial" w:hAnsi="Arial"/>
        </w:rPr>
        <w:t xml:space="preserve">☐ </w:t>
      </w:r>
      <w:r>
        <w:rPr>
          <w:rFonts w:ascii="Arial" w:hAnsi="Arial"/>
        </w:rPr>
        <w:t>Membaca AGENTS.md dan .agents/AGENTS.md.</w:t>
      </w:r>
    </w:p>
    <w:p>
      <w:pPr>
        <w:pStyle w:val="BodyText"/>
        <w:ind w:left="432" w:hanging="288"/>
      </w:pPr>
      <w:r>
        <w:rPr>
          <w:rFonts w:ascii="Arial" w:hAnsi="Arial"/>
        </w:rPr>
        <w:t xml:space="preserve">☐ </w:t>
      </w:r>
      <w:r>
        <w:rPr>
          <w:rFonts w:ascii="Arial" w:hAnsi="Arial"/>
        </w:rPr>
        <w:t>Mengidentifikasi file serta dokumen rujukan yang relevan.</w:t>
      </w:r>
    </w:p>
    <w:p>
      <w:pPr>
        <w:pStyle w:val="BodyText"/>
        <w:ind w:left="432" w:hanging="288"/>
      </w:pPr>
      <w:r>
        <w:rPr>
          <w:rFonts w:ascii="Arial" w:hAnsi="Arial"/>
        </w:rPr>
        <w:t xml:space="preserve">☐ </w:t>
      </w:r>
      <w:r>
        <w:rPr>
          <w:rFonts w:ascii="Arial" w:hAnsi="Arial"/>
        </w:rPr>
        <w:t>Meninjau diff dan kondisi baseline yang relevan.</w:t>
      </w:r>
    </w:p>
    <w:p>
      <w:pPr>
        <w:pStyle w:val="BodyText"/>
        <w:ind w:left="432" w:hanging="288"/>
      </w:pPr>
      <w:r>
        <w:rPr>
          <w:rFonts w:ascii="Arial" w:hAnsi="Arial"/>
        </w:rPr>
        <w:t xml:space="preserve">☐ </w:t>
      </w:r>
      <w:r>
        <w:rPr>
          <w:rFonts w:ascii="Arial" w:hAnsi="Arial"/>
        </w:rPr>
        <w:t>Menentukan pengujian, verifikasi runtime, dan bukti yang diperlukan.</w:t>
      </w:r>
    </w:p>
    <w:p>
      <w:pPr>
        <w:pStyle w:val="BodyText"/>
        <w:ind w:left="432" w:hanging="288"/>
      </w:pPr>
      <w:r>
        <w:rPr>
          <w:rFonts w:ascii="Arial" w:hAnsi="Arial"/>
        </w:rPr>
        <w:t xml:space="preserve">☐ </w:t>
      </w:r>
      <w:r>
        <w:rPr>
          <w:rFonts w:ascii="Arial" w:hAnsi="Arial"/>
        </w:rPr>
        <w:t>Menyiapkan verifikasi persistence jika perubahan memengaruhi data.</w:t>
      </w:r>
    </w:p>
    <w:p>
      <w:pPr>
        <w:pStyle w:val="BodyText"/>
        <w:ind w:left="432" w:hanging="288"/>
      </w:pPr>
      <w:r>
        <w:rPr>
          <w:rFonts w:ascii="Arial" w:hAnsi="Arial"/>
        </w:rPr>
        <w:t xml:space="preserve">☐ </w:t>
      </w:r>
      <w:r>
        <w:rPr>
          <w:rFonts w:ascii="Arial" w:hAnsi="Arial"/>
        </w:rPr>
        <w:t>Memisahkan perubahan yang tidak berkaitan.</w:t>
      </w:r>
    </w:p>
    <w:p>
      <w:pPr>
        <w:pStyle w:val="FirstParagraph"/>
      </w:pPr>
      <w:r>
        <w:rPr>
          <w:rFonts w:ascii="Arial" w:hAnsi="Arial"/>
        </w:rPr>
        <w:t>Checklist ini bersifat panduan; authority tetap berada pada sumber yang dirujuk.</w:t>
      </w:r>
    </w:p>
    <w:p>
      <w:pPr>
        <w:pStyle w:val="Heading1"/>
        <w:keepNext/>
        <w:pageBreakBefore/>
      </w:pPr>
      <w:r>
        <w:rPr>
          <w:rFonts w:ascii="Arial" w:hAnsi="Arial"/>
        </w:rPr>
        <w:t>6. First Codex Session</w:t>
      </w:r>
    </w:p>
    <w:p>
      <w:pPr>
        <w:pStyle w:val="FirstParagraph"/>
      </w:pPr>
      <w:r>
        <w:rPr>
          <w:rFonts w:ascii="Arial" w:hAnsi="Arial"/>
        </w:rPr>
        <w:t>Urutan kerja yang direkomendasikan untuk Codex:</w:t>
      </w:r>
    </w:p>
    <w:p>
      <w:pPr>
        <w:pStyle w:val="SourceCode"/>
        <w:keepLines/>
      </w:pPr>
      <w:r>
        <w:rPr>
          <w:rFonts w:ascii="Arial" w:hAnsi="Arial"/>
        </w:rPr>
        <w:t>Read AGENTS.md</w:t>
        <w:br/>
      </w:r>
      <w:r>
        <w:rPr>
          <w:rFonts w:ascii="Arial" w:hAnsi="Arial"/>
        </w:rPr>
        <w:t xml:space="preserve">        ↓</w:t>
        <w:br/>
      </w:r>
      <w:r>
        <w:rPr>
          <w:rFonts w:ascii="Arial" w:hAnsi="Arial"/>
        </w:rPr>
        <w:t>Read .agents/AGENTS.md</w:t>
        <w:br/>
      </w:r>
      <w:r>
        <w:rPr>
          <w:rFonts w:ascii="Arial" w:hAnsi="Arial"/>
        </w:rPr>
        <w:t xml:space="preserve">        ↓</w:t>
        <w:br/>
      </w:r>
      <w:r>
        <w:rPr>
          <w:rFonts w:ascii="Arial" w:hAnsi="Arial"/>
        </w:rPr>
        <w:t>Understand the assigned task</w:t>
        <w:br/>
      </w:r>
      <w:r>
        <w:rPr>
          <w:rFonts w:ascii="Arial" w:hAnsi="Arial"/>
        </w:rPr>
        <w:t xml:space="preserve">        ↓</w:t>
        <w:br/>
      </w:r>
      <w:r>
        <w:rPr>
          <w:rFonts w:ascii="Arial" w:hAnsi="Arial"/>
        </w:rPr>
        <w:t>Consult PMC-000 and relevant sources</w:t>
        <w:br/>
      </w:r>
      <w:r>
        <w:rPr>
          <w:rFonts w:ascii="Arial" w:hAnsi="Arial"/>
        </w:rPr>
        <w:t xml:space="preserve">        ↓</w:t>
        <w:br/>
      </w:r>
      <w:r>
        <w:rPr>
          <w:rFonts w:ascii="Arial" w:hAnsi="Arial"/>
        </w:rPr>
        <w:t>Inspect affected files and current state</w:t>
        <w:br/>
      </w:r>
      <w:r>
        <w:rPr>
          <w:rFonts w:ascii="Arial" w:hAnsi="Arial"/>
        </w:rPr>
        <w:t xml:space="preserve">        ↓</w:t>
        <w:br/>
      </w:r>
      <w:r>
        <w:rPr>
          <w:rFonts w:ascii="Arial" w:hAnsi="Arial"/>
        </w:rPr>
        <w:t>State material assumptions</w:t>
        <w:br/>
      </w:r>
      <w:r>
        <w:rPr>
          <w:rFonts w:ascii="Arial" w:hAnsi="Arial"/>
        </w:rPr>
        <w:t xml:space="preserve">        ↓</w:t>
        <w:br/>
      </w:r>
      <w:r>
        <w:rPr>
          <w:rFonts w:ascii="Arial" w:hAnsi="Arial"/>
        </w:rPr>
        <w:t>Implement and verify within scope</w:t>
      </w:r>
    </w:p>
    <w:p>
      <w:pPr>
        <w:pStyle w:val="FirstParagraph"/>
      </w:pPr>
      <w:r>
        <w:rPr>
          <w:rFonts w:ascii="Arial" w:hAnsi="Arial"/>
        </w:rPr>
        <w:t>Codex meminta persetujuan hanya ketika tindakan memerlukan kewenangan baru, bersifat destruktif, mengubah sistem eksternal di luar ruang lingkup, atau ketika keputusan pengguna diperlukan untuk menentukan hasil.</w:t>
      </w:r>
    </w:p>
    <w:p>
      <w:pPr>
        <w:pStyle w:val="Heading1"/>
        <w:keepNext/>
        <w:pageBreakBefore w:val="0"/>
      </w:pPr>
      <w:r>
        <w:rPr>
          <w:rFonts w:ascii="Arial" w:hAnsi="Arial"/>
        </w:rPr>
        <w:t>7. Local-First Engineering Workflow</w:t>
      </w:r>
    </w:p>
    <w:p>
      <w:pPr>
        <w:pStyle w:val="FirstParagraph"/>
      </w:pPr>
      <w:r>
        <w:rPr>
          <w:rFonts w:ascii="Arial" w:hAnsi="Arial"/>
        </w:rPr>
        <w:t>Untuk perubahan implementasi, ikuti working agreement ResearchOS:</w:t>
      </w:r>
    </w:p>
    <w:p>
      <w:pPr>
        <w:pStyle w:val="Compact"/>
        <w:numPr>
          <w:ilvl w:val="0"/>
          <w:numId w:val="1001"/>
        </w:numPr>
      </w:pPr>
      <w:r>
        <w:rPr>
          <w:rFonts w:ascii="Arial" w:hAnsi="Arial"/>
        </w:rPr>
        <w:t>Tinjau scope dan diff sebelum mengakses atau mengubah VPS.</w:t>
      </w:r>
    </w:p>
    <w:p>
      <w:pPr>
        <w:pStyle w:val="Compact"/>
        <w:numPr>
          <w:ilvl w:val="0"/>
          <w:numId w:val="1001"/>
        </w:numPr>
      </w:pPr>
      <w:r>
        <w:rPr>
          <w:rFonts w:ascii="Arial" w:hAnsi="Arial"/>
        </w:rPr>
        <w:t>Jalankan pengujian yang relevan dan pastikan layanan lokal dapat dimulai.</w:t>
      </w:r>
    </w:p>
    <w:p>
      <w:pPr>
        <w:pStyle w:val="Compact"/>
        <w:numPr>
          <w:ilvl w:val="0"/>
          <w:numId w:val="1001"/>
        </w:numPr>
      </w:pPr>
      <w:r>
        <w:rPr>
          <w:rFonts w:ascii="Arial" w:hAnsi="Arial"/>
        </w:rPr>
        <w:t>Verifikasi perilaku melalui UI atau API lokal yang sebenarnya, bukan hanya mock atau unit test.</w:t>
      </w:r>
    </w:p>
    <w:p>
      <w:pPr>
        <w:pStyle w:val="Compact"/>
        <w:numPr>
          <w:ilvl w:val="0"/>
          <w:numId w:val="1001"/>
        </w:numPr>
      </w:pPr>
      <w:r>
        <w:rPr>
          <w:rFonts w:ascii="Arial" w:hAnsi="Arial"/>
        </w:rPr>
        <w:t>Verifikasi persistence setelah refresh, restart, atau sesi baru jika data berubah.</w:t>
      </w:r>
    </w:p>
    <w:p>
      <w:pPr>
        <w:pStyle w:val="Compact"/>
        <w:numPr>
          <w:ilvl w:val="0"/>
          <w:numId w:val="1001"/>
        </w:numPr>
      </w:pPr>
      <w:r>
        <w:rPr>
          <w:rFonts w:ascii="Arial" w:hAnsi="Arial"/>
        </w:rPr>
        <w:t>Labeli hasil sebagai simulated, local verified, production reachable, atau production accepted secara tepat.</w:t>
      </w:r>
    </w:p>
    <w:p>
      <w:pPr>
        <w:pStyle w:val="Compact"/>
        <w:numPr>
          <w:ilvl w:val="0"/>
          <w:numId w:val="1001"/>
        </w:numPr>
      </w:pPr>
      <w:r>
        <w:rPr>
          <w:rFonts w:ascii="Arial" w:hAnsi="Arial"/>
        </w:rPr>
        <w:t>Buat commit yang hanya memuat ruang lingkup yang disetujui.</w:t>
      </w:r>
    </w:p>
    <w:p>
      <w:pPr>
        <w:pStyle w:val="Compact"/>
        <w:numPr>
          <w:ilvl w:val="0"/>
          <w:numId w:val="1001"/>
        </w:numPr>
      </w:pPr>
      <w:r>
        <w:rPr>
          <w:rFonts w:ascii="Arial" w:hAnsi="Arial"/>
        </w:rPr>
        <w:t>Deployment dan production acceptance hanya dilakukan untuk perubahan produksi yang disetujui, menggunakan target dan bukti nyata yang berlaku.</w:t>
      </w:r>
    </w:p>
    <w:p>
      <w:pPr>
        <w:pStyle w:val="FirstParagraph"/>
      </w:pPr>
      <w:r>
        <w:rPr>
          <w:rFonts w:ascii="Arial" w:hAnsi="Arial"/>
        </w:rPr>
        <w:t>Kegagalan atau keterbatasan harus dicatat dan tidak boleh dipresentasikan sebagai bukti produksi.</w:t>
      </w:r>
    </w:p>
    <w:p>
      <w:pPr>
        <w:pStyle w:val="Heading1"/>
        <w:keepNext/>
        <w:pageBreakBefore w:val="0"/>
      </w:pPr>
      <w:r>
        <w:rPr>
          <w:rFonts w:ascii="Arial" w:hAnsi="Arial"/>
        </w:rPr>
        <w:t>8. Good Engineering Habits</w:t>
      </w:r>
    </w:p>
    <w:p>
      <w:pPr>
        <w:pStyle w:val="Compact"/>
        <w:numPr>
          <w:ilvl w:val="0"/>
          <w:numId w:val="1001"/>
        </w:numPr>
      </w:pPr>
      <w:r>
        <w:rPr>
          <w:rFonts w:ascii="Arial" w:hAnsi="Arial"/>
        </w:rPr>
        <w:t>Kerjakan perubahan secara bertahap dan jaga diff tetap mudah ditinjau.</w:t>
      </w:r>
    </w:p>
    <w:p>
      <w:pPr>
        <w:pStyle w:val="Compact"/>
        <w:numPr>
          <w:ilvl w:val="0"/>
          <w:numId w:val="1001"/>
        </w:numPr>
      </w:pPr>
      <w:r>
        <w:rPr>
          <w:rFonts w:ascii="Arial" w:hAnsi="Arial"/>
        </w:rPr>
        <w:t>Pertahankan perubahan pengguna yang tidak berkaitan.</w:t>
      </w:r>
    </w:p>
    <w:p>
      <w:pPr>
        <w:pStyle w:val="Compact"/>
        <w:numPr>
          <w:ilvl w:val="0"/>
          <w:numId w:val="1001"/>
        </w:numPr>
      </w:pPr>
      <w:r>
        <w:rPr>
          <w:rFonts w:ascii="Arial" w:hAnsi="Arial"/>
        </w:rPr>
        <w:t>Gunakan pengujian yang sebanding dengan risiko perubahan.</w:t>
      </w:r>
    </w:p>
    <w:p>
      <w:pPr>
        <w:pStyle w:val="Compact"/>
        <w:numPr>
          <w:ilvl w:val="0"/>
          <w:numId w:val="1001"/>
        </w:numPr>
      </w:pPr>
      <w:r>
        <w:rPr>
          <w:rFonts w:ascii="Arial" w:hAnsi="Arial"/>
        </w:rPr>
        <w:t>Dokumentasikan keputusan, keterbatasan, dan bukti penting.</w:t>
      </w:r>
    </w:p>
    <w:p>
      <w:pPr>
        <w:pStyle w:val="Compact"/>
        <w:numPr>
          <w:ilvl w:val="0"/>
          <w:numId w:val="1001"/>
        </w:numPr>
      </w:pPr>
      <w:r>
        <w:rPr>
          <w:rFonts w:ascii="Arial" w:hAnsi="Arial"/>
        </w:rPr>
        <w:t>Laporkan ketidakpastian sebelum memperluas ruang lingkup pekerjaan.</w:t>
      </w:r>
    </w:p>
    <w:p>
      <w:pPr>
        <w:pStyle w:val="Heading1"/>
        <w:keepNext/>
        <w:pageBreakBefore w:val="0"/>
      </w:pPr>
      <w:r>
        <w:rPr>
          <w:rFonts w:ascii="Arial" w:hAnsi="Arial"/>
        </w:rPr>
        <w:t>9. Common Mistakes</w:t>
      </w:r>
    </w:p>
    <w:p>
      <w:pPr>
        <w:pStyle w:val="Compact"/>
        <w:numPr>
          <w:ilvl w:val="0"/>
          <w:numId w:val="1001"/>
        </w:numPr>
      </w:pPr>
      <w:r>
        <w:rPr>
          <w:rFonts w:ascii="Arial" w:hAnsi="Arial"/>
        </w:rPr>
        <w:t>Mengubah dokumen kanonik tanpa lifecycle dan keputusan manusia yang berlaku.</w:t>
      </w:r>
    </w:p>
    <w:p>
      <w:pPr>
        <w:pStyle w:val="Compact"/>
        <w:numPr>
          <w:ilvl w:val="0"/>
          <w:numId w:val="1001"/>
        </w:numPr>
      </w:pPr>
      <w:r>
        <w:rPr>
          <w:rFonts w:ascii="Arial" w:hAnsi="Arial"/>
        </w:rPr>
        <w:t>Menganggap roadmap, draft, filename, atau lokasi repository sebagai authority.</w:t>
      </w:r>
    </w:p>
    <w:p>
      <w:pPr>
        <w:pStyle w:val="Compact"/>
        <w:numPr>
          <w:ilvl w:val="0"/>
          <w:numId w:val="1001"/>
        </w:numPr>
      </w:pPr>
      <w:r>
        <w:rPr>
          <w:rFonts w:ascii="Arial" w:hAnsi="Arial"/>
        </w:rPr>
        <w:t>Mengabaikan .agents/AGENTS.md atau mandatory local-first gate.</w:t>
      </w:r>
    </w:p>
    <w:p>
      <w:pPr>
        <w:pStyle w:val="Compact"/>
        <w:numPr>
          <w:ilvl w:val="0"/>
          <w:numId w:val="1001"/>
        </w:numPr>
      </w:pPr>
      <w:r>
        <w:rPr>
          <w:rFonts w:ascii="Arial" w:hAnsi="Arial"/>
        </w:rPr>
        <w:t>Mengubah banyak area repository sekaligus tanpa kebutuhan.</w:t>
      </w:r>
    </w:p>
    <w:p>
      <w:pPr>
        <w:pStyle w:val="Compact"/>
        <w:numPr>
          <w:ilvl w:val="0"/>
          <w:numId w:val="1001"/>
        </w:numPr>
      </w:pPr>
      <w:r>
        <w:rPr>
          <w:rFonts w:ascii="Arial" w:hAnsi="Arial"/>
        </w:rPr>
        <w:t>Menganggap hasil lokal, mock, health check, atau container berjalan sebagai bukti produksi.</w:t>
      </w:r>
    </w:p>
    <w:p>
      <w:pPr>
        <w:pStyle w:val="Compact"/>
        <w:numPr>
          <w:ilvl w:val="0"/>
          <w:numId w:val="1001"/>
        </w:numPr>
      </w:pPr>
      <w:r>
        <w:rPr>
          <w:rFonts w:ascii="Arial" w:hAnsi="Arial"/>
        </w:rPr>
        <w:t>Mengklaim persistence tanpa refresh dan pemeriksaan data yang sesuai.</w:t>
      </w:r>
    </w:p>
    <w:p>
      <w:pPr>
        <w:pStyle w:val="Heading1"/>
        <w:keepNext/>
        <w:pageBreakBefore w:val="0"/>
      </w:pPr>
      <w:r>
        <w:rPr>
          <w:rFonts w:ascii="Arial" w:hAnsi="Arial"/>
        </w:rPr>
        <w:t>10. Onboarding Complete</w:t>
      </w:r>
    </w:p>
    <w:p>
      <w:pPr>
        <w:pStyle w:val="FirstParagraph"/>
      </w:pPr>
      <w:r>
        <w:rPr>
          <w:rFonts w:ascii="Arial" w:hAnsi="Arial"/>
        </w:rPr>
        <w:t>Seorang engineer siap mulai bekerja apabila:</w:t>
      </w:r>
    </w:p>
    <w:p>
      <w:pPr>
        <w:pStyle w:val="Compact"/>
        <w:numPr>
          <w:ilvl w:val="0"/>
          <w:numId w:val="1001"/>
        </w:numPr>
      </w:pPr>
      <w:r>
        <w:rPr>
          <w:rFonts w:ascii="Arial" w:hAnsi="Arial"/>
        </w:rPr>
        <w:t>memahami tujuan, ruang lingkup, dan batas kewenangan tugas;</w:t>
      </w:r>
    </w:p>
    <w:p>
      <w:pPr>
        <w:pStyle w:val="Compact"/>
        <w:numPr>
          <w:ilvl w:val="0"/>
          <w:numId w:val="1001"/>
        </w:numPr>
      </w:pPr>
      <w:r>
        <w:rPr>
          <w:rFonts w:ascii="Arial" w:hAnsi="Arial"/>
        </w:rPr>
        <w:t>mengetahui instruksi repository dan dokumen rujukan yang benar;</w:t>
      </w:r>
    </w:p>
    <w:p>
      <w:pPr>
        <w:pStyle w:val="Compact"/>
        <w:numPr>
          <w:ilvl w:val="0"/>
          <w:numId w:val="1001"/>
        </w:numPr>
      </w:pPr>
      <w:r>
        <w:rPr>
          <w:rFonts w:ascii="Arial" w:hAnsi="Arial"/>
        </w:rPr>
        <w:t>mengetahui lokasi perubahan serta baseline yang relevan;</w:t>
      </w:r>
    </w:p>
    <w:p>
      <w:pPr>
        <w:pStyle w:val="Compact"/>
        <w:numPr>
          <w:ilvl w:val="0"/>
          <w:numId w:val="1001"/>
        </w:numPr>
      </w:pPr>
      <w:r>
        <w:rPr>
          <w:rFonts w:ascii="Arial" w:hAnsi="Arial"/>
        </w:rPr>
        <w:t>memahami local-first gate dan bukti yang diperlukan; dan</w:t>
      </w:r>
    </w:p>
    <w:p>
      <w:pPr>
        <w:pStyle w:val="Compact"/>
        <w:numPr>
          <w:ilvl w:val="0"/>
          <w:numId w:val="1001"/>
        </w:numPr>
      </w:pPr>
      <w:r>
        <w:rPr>
          <w:rFonts w:ascii="Arial" w:hAnsi="Arial"/>
        </w:rPr>
        <w:t>siap mengimplementasikan serta memverifikasi perubahan sesuai ruang lingkup yang disetujui.</w:t>
      </w:r>
    </w:p>
    <w:p>
      <w:pPr>
        <w:pStyle w:val="Heading1"/>
        <w:keepNext/>
        <w:pageBreakBefore w:val="0"/>
      </w:pPr>
      <w:r>
        <w:rPr>
          <w:rFonts w:ascii="Arial" w:hAnsi="Arial"/>
        </w:rPr>
        <w:t>Final Statement</w:t>
      </w:r>
    </w:p>
    <w:p>
      <w:pPr>
        <w:pStyle w:val="FirstParagraph"/>
      </w:pPr>
      <w:r>
        <w:rPr>
          <w:rFonts w:ascii="Arial" w:hAnsi="Arial"/>
        </w:rPr>
        <w:t>PMC-010 merupakan panduan onboarding informatif yang diterbitkan sebagai canonical reference.</w:t>
      </w:r>
    </w:p>
    <w:p>
      <w:pPr>
        <w:pStyle w:val="BodyText"/>
      </w:pPr>
      <w:r>
        <w:rPr>
          <w:rFonts w:ascii="Arial" w:hAnsi="Arial"/>
        </w:rPr>
        <w:t>Canonical admission membekukan representasi dan provenance dokumen ini, tetapi tidak menjadikannya sumber authority normatif, tidak menetapkan arsitektur, tidak memberi izin deployment, dan tidak menggantikan dokumen kanonik yang mengatur pokok tertentu maupun working agreement ResearchOS.</w:t>
      </w:r>
    </w:p>
    <w:p>
      <w:pPr>
        <w:pStyle w:val="BodyText"/>
      </w:pPr>
      <w:r>
        <w:rPr>
          <w:rFonts w:ascii="Arial" w:hAnsi="Arial"/>
        </w:rPr>
        <w:t>Jika PMC-010 berbeda dengan instruksi repository atau sumber kanonik yang memiliki kewenangan atas pokok tersebut, sumber yang berwenang itulah yang berlaku. Konflik yang belum jelas harus dilaporkan sebelum pekerjaan diperluas.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yperlink" Target="../../AGENTS.md" TargetMode="External"/><Relationship Id="rId10" Type="http://schemas.openxmlformats.org/officeDocument/2006/relationships/hyperlink" Target="../../.agents/AGENTS.md" TargetMode="External"/><Relationship Id="rId11" Type="http://schemas.openxmlformats.org/officeDocument/2006/relationships/hyperlink" Target="../PMC-000_ResearchOS_Project_Master_Context_v1.0_Published_Canonical_Edition.docx" TargetMode="External"/><Relationship Id="rId12" Type="http://schemas.openxmlformats.org/officeDocument/2006/relationships/hyperlink" Target="../CANONICAL_DOCUMENT_REGISTER.md" TargetMode="External"/><Relationship Id="rId13" Type="http://schemas.openxmlformats.org/officeDocument/2006/relationships/hyperlink" Target="../../README.md" TargetMode="External"/><Relationship Id="rId14" Type="http://schemas.openxmlformats.org/officeDocument/2006/relationships/hyperlink" Target="../GETTING_STARTED.md" TargetMode="External"/><Relationship Id="rId15" Type="http://schemas.openxmlformats.org/officeDocument/2006/relationships/hyperlink" Target="../../deploy/production-registry.json" TargetMode="External"/><Relationship Id="rId16" Type="http://schemas.openxmlformats.org/officeDocument/2006/relationships/hyperlink" Target="../REAL_ENVIRONMENT_ACCEPTANCE_POLIC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ResearchOS Engineering Onboarding Guide</dc:title>
  <dc:creator>ResearchOS</dc:creator>
  <cp:keywords/>
  <dcterms:created xsi:type="dcterms:W3CDTF">2026-07-22T00:39:02Z</dcterms:created>
  <dcterms:modified xsi:type="dcterms:W3CDTF">2026-07-22T00:39:02Z</dcterms:modified>
  <dc:subject>Published canonical informative onboarding reference</dc:subject>
  <cp:lastModifiedBy>ResearchOS canonical publication workflow</cp:lastModifiedBy>
  <cp:revision>1</cp:revision>
</cp:coreProperties>
</file>

<file path=docProps/custom.xml><?xml version="1.0" encoding="utf-8"?>
<Properties xmlns="http://schemas.openxmlformats.org/officeDocument/2006/custom-properties" xmlns:vt="http://schemas.openxmlformats.org/officeDocument/2006/docPropsVTypes"/>
</file>