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PROJECT GOVERNANCE CANDIDATE</w:t>
      </w:r>
    </w:p>
    <w:p>
      <w:pPr>
        <w:spacing w:after="80"/>
      </w:pPr>
      <w:r>
        <w:rPr>
          <w:rFonts w:ascii="Calibri" w:hAnsi="Calibri"/>
          <w:b/>
          <w:color w:val="000000"/>
          <w:sz w:val="46"/>
        </w:rPr>
        <w:t>RESEARCHOS PROJECT MASTER CONTEXT</w:t>
      </w:r>
    </w:p>
    <w:p>
      <w:pPr>
        <w:spacing w:after="280"/>
      </w:pPr>
      <w:r>
        <w:rPr>
          <w:rFonts w:ascii="Calibri" w:hAnsi="Calibri"/>
          <w:color w:val="666666"/>
          <w:sz w:val="25"/>
        </w:rPr>
        <w:t>Single entry point for project context, authority boundaries, documentation, and verified operational orientation</w:t>
      </w:r>
    </w:p>
    <w:p>
      <w:pPr>
        <w:spacing w:after="40"/>
      </w:pPr>
      <w:r>
        <w:rPr>
          <w:rFonts w:ascii="Calibri" w:hAnsi="Calibri"/>
          <w:b/>
          <w:color w:val="000000"/>
          <w:sz w:val="22"/>
        </w:rPr>
        <w:t xml:space="preserve">Document ID: </w:t>
      </w:r>
      <w:r>
        <w:rPr>
          <w:rFonts w:ascii="Calibri" w:hAnsi="Calibri"/>
          <w:color w:val="000000"/>
          <w:sz w:val="22"/>
        </w:rPr>
        <w:t>PMC-000</w:t>
      </w:r>
    </w:p>
    <w:p>
      <w:pPr>
        <w:spacing w:after="40"/>
      </w:pPr>
      <w:r>
        <w:rPr>
          <w:rFonts w:ascii="Calibri" w:hAnsi="Calibri"/>
          <w:b/>
          <w:color w:val="000000"/>
          <w:sz w:val="22"/>
        </w:rPr>
        <w:t xml:space="preserve">Version: </w:t>
      </w:r>
      <w:r>
        <w:rPr>
          <w:rFonts w:ascii="Calibri" w:hAnsi="Calibri"/>
          <w:color w:val="000000"/>
          <w:sz w:val="22"/>
        </w:rPr>
        <w:t>1.0</w:t>
      </w:r>
    </w:p>
    <w:p>
      <w:pPr>
        <w:spacing w:after="40"/>
      </w:pPr>
      <w:r>
        <w:rPr>
          <w:rFonts w:ascii="Calibri" w:hAnsi="Calibri"/>
          <w:b/>
          <w:color w:val="000000"/>
          <w:sz w:val="22"/>
        </w:rPr>
        <w:t xml:space="preserve">Status: </w:t>
      </w:r>
      <w:r>
        <w:rPr>
          <w:rFonts w:ascii="Calibri" w:hAnsi="Calibri"/>
          <w:color w:val="000000"/>
          <w:sz w:val="22"/>
        </w:rPr>
        <w:t>Draft for Human Review — non-canonical</w:t>
      </w:r>
    </w:p>
    <w:p>
      <w:pPr>
        <w:spacing w:after="40"/>
      </w:pPr>
      <w:r>
        <w:rPr>
          <w:rFonts w:ascii="Calibri" w:hAnsi="Calibri"/>
          <w:b/>
          <w:color w:val="000000"/>
          <w:sz w:val="22"/>
        </w:rPr>
        <w:t xml:space="preserve">Artifact class: </w:t>
      </w:r>
      <w:r>
        <w:rPr>
          <w:rFonts w:ascii="Calibri" w:hAnsi="Calibri"/>
          <w:color w:val="000000"/>
          <w:sz w:val="22"/>
        </w:rPr>
        <w:t>Master Project Context and Documentation Index</w:t>
      </w:r>
    </w:p>
    <w:p>
      <w:pPr>
        <w:spacing w:after="40"/>
      </w:pPr>
      <w:r>
        <w:rPr>
          <w:rFonts w:ascii="Calibri" w:hAnsi="Calibri"/>
          <w:b/>
          <w:color w:val="000000"/>
          <w:sz w:val="22"/>
        </w:rPr>
        <w:t xml:space="preserve">Scope: </w:t>
      </w:r>
      <w:r>
        <w:rPr>
          <w:rFonts w:ascii="Calibri" w:hAnsi="Calibri"/>
          <w:color w:val="000000"/>
          <w:sz w:val="22"/>
        </w:rPr>
        <w:t>ResearchOS program</w:t>
      </w:r>
    </w:p>
    <w:p>
      <w:pPr>
        <w:spacing w:after="40"/>
      </w:pPr>
      <w:r>
        <w:rPr>
          <w:rFonts w:ascii="Calibri" w:hAnsi="Calibri"/>
          <w:b/>
          <w:color w:val="000000"/>
          <w:sz w:val="22"/>
        </w:rPr>
        <w:t xml:space="preserve">Human authority: </w:t>
      </w:r>
      <w:r>
        <w:rPr>
          <w:rFonts w:ascii="Calibri" w:hAnsi="Calibri"/>
          <w:color w:val="000000"/>
          <w:sz w:val="22"/>
        </w:rPr>
        <w:t>Jumadi, ResearchOS project owner</w:t>
      </w:r>
    </w:p>
    <w:p>
      <w:pPr>
        <w:spacing w:after="40"/>
      </w:pPr>
      <w:r>
        <w:rPr>
          <w:rFonts w:ascii="Calibri" w:hAnsi="Calibri"/>
          <w:b/>
          <w:color w:val="000000"/>
          <w:sz w:val="22"/>
        </w:rPr>
        <w:t xml:space="preserve">Prepared: </w:t>
      </w:r>
      <w:r>
        <w:rPr>
          <w:rFonts w:ascii="Calibri" w:hAnsi="Calibri"/>
          <w:color w:val="000000"/>
          <w:sz w:val="22"/>
        </w:rPr>
        <w:t>22 July 2026, Asia/Makassar</w:t>
      </w:r>
    </w:p>
    <w:p>
      <w:pPr>
        <w:spacing w:after="40"/>
      </w:pPr>
      <w:r>
        <w:rPr>
          <w:rFonts w:ascii="Calibri" w:hAnsi="Calibri"/>
          <w:b/>
          <w:color w:val="000000"/>
          <w:sz w:val="22"/>
        </w:rPr>
        <w:t xml:space="preserve">Authority effect: </w:t>
      </w:r>
      <w:r>
        <w:rPr>
          <w:rFonts w:ascii="Calibri" w:hAnsi="Calibri"/>
          <w:color w:val="000000"/>
          <w:sz w:val="22"/>
        </w:rPr>
        <w:t>None until explicit human ratification and canonical admission</w:t>
      </w:r>
    </w:p>
    <w:p>
      <w:pPr>
        <w:pStyle w:val="Heading1"/>
      </w:pPr>
      <w:r>
        <w:t>1. Purpose and status</w:t>
      </w:r>
    </w:p>
    <w:p>
      <w:r>
        <w:t>PMC-000 is intended to become the single orientation point for understanding ResearchOS. It identifies authoritative sources, distinguishes canonical documents from operational evidence and roadmap material, and directs readers to the appropriate artifact without replacing that artifact.</w:t>
      </w:r>
    </w:p>
    <w:p>
      <w:r>
        <w:t>This representation is a review candidate. Repository presence, filename, review completion, or AI recommendation does not establish canonical status. Canonical effect requires explicit human ratification, a separate Published Canonical Edition, an immutable admission record, a verified representation hash, and entry in the Canonical Document Register.</w:t>
      </w:r>
    </w:p>
    <w:p>
      <w:pPr>
        <w:pStyle w:val="Heading1"/>
      </w:pPr>
      <w:r>
        <w:t>2. Authority and truth boundaries</w:t>
      </w:r>
    </w:p>
    <w:p>
      <w:pPr>
        <w:pStyle w:val="ListBullet"/>
        <w:spacing w:after="80" w:line="264" w:lineRule="auto"/>
      </w:pPr>
      <w:r>
        <w:t>Human accountability: consequential project and scientific decisions remain attributable to an authorized human actor.</w:t>
      </w:r>
    </w:p>
    <w:p>
      <w:pPr>
        <w:pStyle w:val="ListBullet"/>
        <w:spacing w:after="80" w:line="264" w:lineRule="auto"/>
      </w:pPr>
      <w:r>
        <w:t>AI boundary: AI systems may analyze, draft, retrieve, and recommend; they may not ratify, publish canonically, or claim scientific truth.</w:t>
      </w:r>
    </w:p>
    <w:p>
      <w:pPr>
        <w:pStyle w:val="ListBullet"/>
        <w:spacing w:after="80" w:line="264" w:lineRule="auto"/>
      </w:pPr>
      <w:r>
        <w:t>Document boundary: PMC-000 is an orientation and index artifact, not an architectural semantic owner and not a scientific evidence-admission instrument.</w:t>
      </w:r>
    </w:p>
    <w:p>
      <w:pPr>
        <w:pStyle w:val="ListBullet"/>
        <w:spacing w:after="80" w:line="264" w:lineRule="auto"/>
      </w:pPr>
      <w:r>
        <w:t>Precedence: when PMC-000 conflicts with a governing canonical artifact or a current verified registry, the governing artifact or registry controls and PMC-000 must be corrected through its lifecycle.</w:t>
      </w:r>
    </w:p>
    <w:p>
      <w:pPr>
        <w:pStyle w:val="ListBullet"/>
        <w:spacing w:after="80" w:line="264" w:lineRule="auto"/>
      </w:pPr>
      <w:r>
        <w:t>Temporal boundary: operational statements are snapshots tied to identified evidence and dates; they are not permanent guarantees.</w:t>
      </w:r>
    </w:p>
    <w:p>
      <w:pPr>
        <w:pStyle w:val="Heading1"/>
      </w:pPr>
      <w:r>
        <w:t>3. Source-of-truth hierarchy</w:t>
      </w:r>
    </w:p>
    <w:p>
      <w:pPr>
        <w:pStyle w:val="ListNumber"/>
        <w:numPr>
          <w:ilvl w:val="0"/>
          <w:numId w:val="1000"/>
        </w:numPr>
        <w:spacing w:after="80" w:line="264" w:lineRule="auto"/>
      </w:pPr>
      <w:r>
        <w:t>Canonical publication authority: DOC-000 and the Canonical Document Register.</w:t>
      </w:r>
    </w:p>
    <w:p>
      <w:pPr>
        <w:pStyle w:val="ListNumber"/>
        <w:numPr>
          <w:ilvl w:val="0"/>
          <w:numId w:val="1000"/>
        </w:numPr>
        <w:spacing w:after="80" w:line="264" w:lineRule="auto"/>
      </w:pPr>
      <w:r>
        <w:t>Foundational project authority: DOC-001 within its stated scope.</w:t>
      </w:r>
    </w:p>
    <w:p>
      <w:pPr>
        <w:pStyle w:val="ListNumber"/>
        <w:numPr>
          <w:ilvl w:val="0"/>
          <w:numId w:val="1000"/>
        </w:numPr>
        <w:spacing w:after="80" w:line="264" w:lineRule="auto"/>
      </w:pPr>
      <w:r>
        <w:t>Scientific governance authority: SGF-000 and separately admitted child standards such as SGF-020.</w:t>
      </w:r>
    </w:p>
    <w:p>
      <w:pPr>
        <w:pStyle w:val="ListNumber"/>
        <w:numPr>
          <w:ilvl w:val="0"/>
          <w:numId w:val="1000"/>
        </w:numPr>
        <w:spacing w:after="80" w:line="264" w:lineRule="auto"/>
      </w:pPr>
      <w:r>
        <w:t>Engineering working agreement: AGENTS.md and .agents/AGENTS.md.</w:t>
      </w:r>
    </w:p>
    <w:p>
      <w:pPr>
        <w:pStyle w:val="ListNumber"/>
        <w:numPr>
          <w:ilvl w:val="0"/>
          <w:numId w:val="1000"/>
        </w:numPr>
        <w:spacing w:after="80" w:line="264" w:lineRule="auto"/>
      </w:pPr>
      <w:r>
        <w:t>Real-environment targets: deploy/production-registry.json.</w:t>
      </w:r>
    </w:p>
    <w:p>
      <w:pPr>
        <w:pStyle w:val="ListNumber"/>
        <w:numPr>
          <w:ilvl w:val="0"/>
          <w:numId w:val="1000"/>
        </w:numPr>
        <w:spacing w:after="80" w:line="264" w:lineRule="auto"/>
      </w:pPr>
      <w:r>
        <w:t>Time-bounded behavior and deployment evidence: dated acceptance reports and exact Git revisions.</w:t>
      </w:r>
    </w:p>
    <w:p>
      <w:pPr>
        <w:pStyle w:val="ListNumber"/>
        <w:numPr>
          <w:ilvl w:val="0"/>
          <w:numId w:val="1000"/>
        </w:numPr>
        <w:spacing w:after="80" w:line="264" w:lineRule="auto"/>
      </w:pPr>
      <w:r>
        <w:t>Roadmaps, visions, drafts, review packets, and working documents: informative or candidate material unless separately admitted.</w:t>
      </w:r>
    </w:p>
    <w:p>
      <w:pPr>
        <w:pStyle w:val="Heading1"/>
      </w:pPr>
      <w:r>
        <w:t>4. Current canonical document set</w:t>
      </w:r>
    </w:p>
    <w:p>
      <w:r>
        <w:t>As recorded by the Canonical Document Register dated 19 July 2026, the following are the only admitted canonical documents. This table is descriptive; the register remains authoritative.</w:t>
      </w:r>
    </w:p>
    <w:tbl>
      <w:tblPr>
        <w:tblStyle w:val="TableGrid"/>
        <w:tblW w:type="dxa" w:w="9360"/>
        <w:jc w:val="left"/>
        <w:tblLayout w:type="fixed"/>
        <w:tblLook w:firstColumn="1" w:firstRow="1" w:lastColumn="0" w:lastRow="0" w:noHBand="0" w:noVBand="1" w:val="04A0"/>
        <w:tblInd w:w="120" w:type="dxa"/>
      </w:tblPr>
      <w:tblGrid>
        <w:gridCol w:w="1200"/>
        <w:gridCol w:w="900"/>
        <w:gridCol w:w="4560"/>
        <w:gridCol w:w="2700"/>
      </w:tblGrid>
      <w:tr>
        <w:trPr>
          <w:tblHeader w:val="true"/>
        </w:trPr>
        <w:tc>
          <w:tcPr>
            <w:tcW w:type="dxa" w:w="1200"/>
            <w:shd w:fill="F2F4F7"/>
            <w:tcMar>
              <w:top w:w="80" w:type="dxa"/>
              <w:start w:w="120" w:type="dxa"/>
              <w:bottom w:w="80" w:type="dxa"/>
              <w:end w:w="120" w:type="dxa"/>
            </w:tcMar>
            <w:vAlign w:val="center"/>
          </w:tcPr>
          <w:p>
            <w:r>
              <w:rPr>
                <w:rFonts w:ascii="Calibri" w:hAnsi="Calibri"/>
                <w:b/>
                <w:color w:val="1F4D78"/>
                <w:sz w:val="19"/>
              </w:rPr>
              <w:t>ID</w:t>
            </w:r>
          </w:p>
        </w:tc>
        <w:tc>
          <w:tcPr>
            <w:tcW w:type="dxa" w:w="900"/>
            <w:shd w:fill="F2F4F7"/>
            <w:tcMar>
              <w:top w:w="80" w:type="dxa"/>
              <w:start w:w="120" w:type="dxa"/>
              <w:bottom w:w="80" w:type="dxa"/>
              <w:end w:w="120" w:type="dxa"/>
            </w:tcMar>
            <w:vAlign w:val="center"/>
          </w:tcPr>
          <w:p>
            <w:r>
              <w:rPr>
                <w:rFonts w:ascii="Calibri" w:hAnsi="Calibri"/>
                <w:b/>
                <w:color w:val="1F4D78"/>
                <w:sz w:val="19"/>
              </w:rPr>
              <w:t>Version</w:t>
            </w:r>
          </w:p>
        </w:tc>
        <w:tc>
          <w:tcPr>
            <w:tcW w:type="dxa" w:w="4560"/>
            <w:shd w:fill="F2F4F7"/>
            <w:tcMar>
              <w:top w:w="80" w:type="dxa"/>
              <w:start w:w="120" w:type="dxa"/>
              <w:bottom w:w="80" w:type="dxa"/>
              <w:end w:w="120" w:type="dxa"/>
            </w:tcMar>
            <w:vAlign w:val="center"/>
          </w:tcPr>
          <w:p>
            <w:r>
              <w:rPr>
                <w:rFonts w:ascii="Calibri" w:hAnsi="Calibri"/>
                <w:b/>
                <w:color w:val="1F4D78"/>
                <w:sz w:val="19"/>
              </w:rPr>
              <w:t>Title / role</w:t>
            </w:r>
          </w:p>
        </w:tc>
        <w:tc>
          <w:tcPr>
            <w:tcW w:type="dxa" w:w="2700"/>
            <w:shd w:fill="F2F4F7"/>
            <w:tcMar>
              <w:top w:w="80" w:type="dxa"/>
              <w:start w:w="120" w:type="dxa"/>
              <w:bottom w:w="80" w:type="dxa"/>
              <w:end w:w="120" w:type="dxa"/>
            </w:tcMar>
            <w:vAlign w:val="center"/>
          </w:tcPr>
          <w:p>
            <w:r>
              <w:rPr>
                <w:rFonts w:ascii="Calibri" w:hAnsi="Calibri"/>
                <w:b/>
                <w:color w:val="1F4D78"/>
                <w:sz w:val="19"/>
              </w:rPr>
              <w:t>Status</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DOC-000</w:t>
            </w:r>
          </w:p>
        </w:tc>
        <w:tc>
          <w:tcPr>
            <w:tcW w:type="dxa" w:w="900"/>
            <w:tcMar>
              <w:top w:w="80" w:type="dxa"/>
              <w:start w:w="120" w:type="dxa"/>
              <w:bottom w:w="80" w:type="dxa"/>
              <w:end w:w="120" w:type="dxa"/>
            </w:tcMar>
            <w:vAlign w:val="center"/>
          </w:tcPr>
          <w:p>
            <w:pPr>
              <w:spacing w:after="0"/>
            </w:pPr>
            <w:r>
              <w:rPr>
                <w:rFonts w:ascii="Calibri" w:hAnsi="Calibri"/>
                <w:color w:val="1F2937"/>
                <w:sz w:val="18"/>
              </w:rPr>
              <w:t>0.2</w:t>
            </w:r>
          </w:p>
        </w:tc>
        <w:tc>
          <w:tcPr>
            <w:tcW w:type="dxa" w:w="4560"/>
            <w:tcMar>
              <w:top w:w="80" w:type="dxa"/>
              <w:start w:w="120" w:type="dxa"/>
              <w:bottom w:w="80" w:type="dxa"/>
              <w:end w:w="120" w:type="dxa"/>
            </w:tcMar>
            <w:vAlign w:val="center"/>
          </w:tcPr>
          <w:p>
            <w:pPr>
              <w:spacing w:after="0"/>
            </w:pPr>
            <w:r>
              <w:rPr>
                <w:rFonts w:ascii="Calibri" w:hAnsi="Calibri"/>
                <w:color w:val="1F2937"/>
                <w:sz w:val="18"/>
              </w:rPr>
              <w:t>Standar Publikasi Dokumen Kanonik — publication governance</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DOC-001</w:t>
            </w:r>
          </w:p>
        </w:tc>
        <w:tc>
          <w:tcPr>
            <w:tcW w:type="dxa" w:w="900"/>
            <w:tcMar>
              <w:top w:w="80" w:type="dxa"/>
              <w:start w:w="120" w:type="dxa"/>
              <w:bottom w:w="80" w:type="dxa"/>
              <w:end w:w="120" w:type="dxa"/>
            </w:tcMar>
            <w:vAlign w:val="center"/>
          </w:tcPr>
          <w:p>
            <w:pPr>
              <w:spacing w:after="0"/>
            </w:pPr>
            <w:r>
              <w:rPr>
                <w:rFonts w:ascii="Calibri" w:hAnsi="Calibri"/>
                <w:color w:val="1F2937"/>
                <w:sz w:val="18"/>
              </w:rPr>
              <w:t>1.0</w:t>
            </w:r>
          </w:p>
        </w:tc>
        <w:tc>
          <w:tcPr>
            <w:tcW w:type="dxa" w:w="4560"/>
            <w:tcMar>
              <w:top w:w="80" w:type="dxa"/>
              <w:start w:w="120" w:type="dxa"/>
              <w:bottom w:w="80" w:type="dxa"/>
              <w:end w:w="120" w:type="dxa"/>
            </w:tcMar>
            <w:vAlign w:val="center"/>
          </w:tcPr>
          <w:p>
            <w:pPr>
              <w:spacing w:after="0"/>
            </w:pPr>
            <w:r>
              <w:rPr>
                <w:rFonts w:ascii="Calibri" w:hAnsi="Calibri"/>
                <w:color w:val="1F2937"/>
                <w:sz w:val="18"/>
              </w:rPr>
              <w:t>Piagam Pendirian Proyek Ilmiah — foundational charter</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 transitional qualification</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SGF-000</w:t>
            </w:r>
          </w:p>
        </w:tc>
        <w:tc>
          <w:tcPr>
            <w:tcW w:type="dxa" w:w="900"/>
            <w:tcMar>
              <w:top w:w="80" w:type="dxa"/>
              <w:start w:w="120" w:type="dxa"/>
              <w:bottom w:w="80" w:type="dxa"/>
              <w:end w:w="120" w:type="dxa"/>
            </w:tcMar>
            <w:vAlign w:val="center"/>
          </w:tcPr>
          <w:p>
            <w:pPr>
              <w:spacing w:after="0"/>
            </w:pPr>
            <w:r>
              <w:rPr>
                <w:rFonts w:ascii="Calibri" w:hAnsi="Calibri"/>
                <w:color w:val="1F2937"/>
                <w:sz w:val="18"/>
              </w:rPr>
              <w:t>1.0</w:t>
            </w:r>
          </w:p>
        </w:tc>
        <w:tc>
          <w:tcPr>
            <w:tcW w:type="dxa" w:w="4560"/>
            <w:tcMar>
              <w:top w:w="80" w:type="dxa"/>
              <w:start w:w="120" w:type="dxa"/>
              <w:bottom w:w="80" w:type="dxa"/>
              <w:end w:w="120" w:type="dxa"/>
            </w:tcMar>
            <w:vAlign w:val="center"/>
          </w:tcPr>
          <w:p>
            <w:pPr>
              <w:spacing w:after="0"/>
            </w:pPr>
            <w:r>
              <w:rPr>
                <w:rFonts w:ascii="Calibri" w:hAnsi="Calibri"/>
                <w:color w:val="1F2937"/>
                <w:sz w:val="18"/>
              </w:rPr>
              <w:t>ResearchOS Scientific Governance Framework</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w:t>
            </w:r>
          </w:p>
        </w:tc>
      </w:tr>
      <w:tr>
        <w:tc>
          <w:tcPr>
            <w:tcW w:type="dxa" w:w="1200"/>
            <w:tcMar>
              <w:top w:w="80" w:type="dxa"/>
              <w:start w:w="120" w:type="dxa"/>
              <w:bottom w:w="80" w:type="dxa"/>
              <w:end w:w="120" w:type="dxa"/>
            </w:tcMar>
            <w:vAlign w:val="center"/>
          </w:tcPr>
          <w:p>
            <w:pPr>
              <w:spacing w:after="0"/>
            </w:pPr>
            <w:r>
              <w:rPr>
                <w:rFonts w:ascii="Calibri" w:hAnsi="Calibri"/>
                <w:color w:val="1F2937"/>
                <w:sz w:val="18"/>
              </w:rPr>
              <w:t>SGF-020</w:t>
            </w:r>
          </w:p>
        </w:tc>
        <w:tc>
          <w:tcPr>
            <w:tcW w:type="dxa" w:w="900"/>
            <w:tcMar>
              <w:top w:w="80" w:type="dxa"/>
              <w:start w:w="120" w:type="dxa"/>
              <w:bottom w:w="80" w:type="dxa"/>
              <w:end w:w="120" w:type="dxa"/>
            </w:tcMar>
            <w:vAlign w:val="center"/>
          </w:tcPr>
          <w:p>
            <w:pPr>
              <w:spacing w:after="0"/>
            </w:pPr>
            <w:r>
              <w:rPr>
                <w:rFonts w:ascii="Calibri" w:hAnsi="Calibri"/>
                <w:color w:val="1F2937"/>
                <w:sz w:val="18"/>
              </w:rPr>
              <w:t>1.0</w:t>
            </w:r>
          </w:p>
        </w:tc>
        <w:tc>
          <w:tcPr>
            <w:tcW w:type="dxa" w:w="4560"/>
            <w:tcMar>
              <w:top w:w="80" w:type="dxa"/>
              <w:start w:w="120" w:type="dxa"/>
              <w:bottom w:w="80" w:type="dxa"/>
              <w:end w:w="120" w:type="dxa"/>
            </w:tcMar>
            <w:vAlign w:val="center"/>
          </w:tcPr>
          <w:p>
            <w:pPr>
              <w:spacing w:after="0"/>
            </w:pPr>
            <w:r>
              <w:rPr>
                <w:rFonts w:ascii="Calibri" w:hAnsi="Calibri"/>
                <w:color w:val="1F2937"/>
                <w:sz w:val="18"/>
              </w:rPr>
              <w:t>Human Authority &amp; Decision Matrix</w:t>
            </w:r>
          </w:p>
        </w:tc>
        <w:tc>
          <w:tcPr>
            <w:tcW w:type="dxa" w:w="2700"/>
            <w:tcMar>
              <w:top w:w="80" w:type="dxa"/>
              <w:start w:w="120" w:type="dxa"/>
              <w:bottom w:w="80" w:type="dxa"/>
              <w:end w:w="120" w:type="dxa"/>
            </w:tcMar>
            <w:vAlign w:val="center"/>
          </w:tcPr>
          <w:p>
            <w:pPr>
              <w:spacing w:after="0"/>
            </w:pPr>
            <w:r>
              <w:rPr>
                <w:rFonts w:ascii="Calibri" w:hAnsi="Calibri"/>
                <w:color w:val="1F2937"/>
                <w:sz w:val="18"/>
              </w:rPr>
              <w:t>Published Canonical Edition; activation qualification</w:t>
            </w:r>
          </w:p>
        </w:tc>
      </w:tr>
    </w:tbl>
    <w:p>
      <w:pPr>
        <w:pStyle w:val="TableSpacer"/>
      </w:pPr>
    </w:p>
    <w:p>
      <w:pPr>
        <w:pStyle w:val="SourceReference"/>
      </w:pPr>
      <w:r>
        <w:rPr>
          <w:b/>
        </w:rPr>
        <w:t xml:space="preserve">Authoritative register: </w:t>
      </w:r>
      <w:hyperlink r:id="rId11">
        <w:r>
          <w:rPr>
            <w:color w:val="2E74B5"/>
            <w:u w:val="single"/>
          </w:rPr>
          <w:t>Documents/CANONICAL_DOCUMENT_REGISTER.md</w:t>
        </w:r>
      </w:hyperlink>
    </w:p>
    <w:p>
      <w:pPr>
        <w:pStyle w:val="Heading1"/>
      </w:pPr>
      <w:r>
        <w:t>5. Documentation classes</w:t>
      </w:r>
    </w:p>
    <w:tbl>
      <w:tblPr>
        <w:tblStyle w:val="TableGrid"/>
        <w:tblW w:type="dxa" w:w="9360"/>
        <w:jc w:val="left"/>
        <w:tblLayout w:type="fixed"/>
        <w:tblLook w:firstColumn="1" w:firstRow="1" w:lastColumn="0" w:lastRow="0" w:noHBand="0" w:noVBand="1" w:val="04A0"/>
        <w:tblInd w:w="120" w:type="dxa"/>
      </w:tblPr>
      <w:tblGrid>
        <w:gridCol w:w="1500"/>
        <w:gridCol w:w="4560"/>
        <w:gridCol w:w="3300"/>
      </w:tblGrid>
      <w:tr>
        <w:trPr>
          <w:tblHeader w:val="true"/>
        </w:trPr>
        <w:tc>
          <w:tcPr>
            <w:tcW w:type="dxa" w:w="1500"/>
            <w:shd w:fill="F2F4F7"/>
            <w:tcMar>
              <w:top w:w="80" w:type="dxa"/>
              <w:start w:w="120" w:type="dxa"/>
              <w:bottom w:w="80" w:type="dxa"/>
              <w:end w:w="120" w:type="dxa"/>
            </w:tcMar>
            <w:vAlign w:val="center"/>
          </w:tcPr>
          <w:p>
            <w:r>
              <w:rPr>
                <w:rFonts w:ascii="Calibri" w:hAnsi="Calibri"/>
                <w:b/>
                <w:color w:val="1F4D78"/>
                <w:sz w:val="19"/>
              </w:rPr>
              <w:t>Class</w:t>
            </w:r>
          </w:p>
        </w:tc>
        <w:tc>
          <w:tcPr>
            <w:tcW w:type="dxa" w:w="4560"/>
            <w:shd w:fill="F2F4F7"/>
            <w:tcMar>
              <w:top w:w="80" w:type="dxa"/>
              <w:start w:w="120" w:type="dxa"/>
              <w:bottom w:w="80" w:type="dxa"/>
              <w:end w:w="120" w:type="dxa"/>
            </w:tcMar>
            <w:vAlign w:val="center"/>
          </w:tcPr>
          <w:p>
            <w:r>
              <w:rPr>
                <w:rFonts w:ascii="Calibri" w:hAnsi="Calibri"/>
                <w:b/>
                <w:color w:val="1F4D78"/>
                <w:sz w:val="19"/>
              </w:rPr>
              <w:t>Meaning</w:t>
            </w:r>
          </w:p>
        </w:tc>
        <w:tc>
          <w:tcPr>
            <w:tcW w:type="dxa" w:w="3300"/>
            <w:shd w:fill="F2F4F7"/>
            <w:tcMar>
              <w:top w:w="80" w:type="dxa"/>
              <w:start w:w="120" w:type="dxa"/>
              <w:bottom w:w="80" w:type="dxa"/>
              <w:end w:w="120" w:type="dxa"/>
            </w:tcMar>
            <w:vAlign w:val="center"/>
          </w:tcPr>
          <w:p>
            <w:r>
              <w:rPr>
                <w:rFonts w:ascii="Calibri" w:hAnsi="Calibri"/>
                <w:b/>
                <w:color w:val="1F4D78"/>
                <w:sz w:val="19"/>
              </w:rPr>
              <w:t>Examples</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Canonical</w:t>
            </w:r>
          </w:p>
        </w:tc>
        <w:tc>
          <w:tcPr>
            <w:tcW w:type="dxa" w:w="4560"/>
            <w:tcMar>
              <w:top w:w="80" w:type="dxa"/>
              <w:start w:w="120" w:type="dxa"/>
              <w:bottom w:w="80" w:type="dxa"/>
              <w:end w:w="120" w:type="dxa"/>
            </w:tcMar>
            <w:vAlign w:val="center"/>
          </w:tcPr>
          <w:p>
            <w:pPr>
              <w:spacing w:after="0"/>
            </w:pPr>
            <w:r>
              <w:rPr>
                <w:rFonts w:ascii="Calibri" w:hAnsi="Calibri"/>
                <w:color w:val="1F2937"/>
                <w:sz w:val="18"/>
              </w:rPr>
              <w:t>Ratified, published, hash-frozen, and entered in the canonical register.</w:t>
            </w:r>
          </w:p>
        </w:tc>
        <w:tc>
          <w:tcPr>
            <w:tcW w:type="dxa" w:w="3300"/>
            <w:tcMar>
              <w:top w:w="80" w:type="dxa"/>
              <w:start w:w="120" w:type="dxa"/>
              <w:bottom w:w="80" w:type="dxa"/>
              <w:end w:w="120" w:type="dxa"/>
            </w:tcMar>
            <w:vAlign w:val="center"/>
          </w:tcPr>
          <w:p>
            <w:pPr>
              <w:spacing w:after="0"/>
            </w:pPr>
            <w:r>
              <w:rPr>
                <w:rFonts w:ascii="Calibri" w:hAnsi="Calibri"/>
                <w:color w:val="1F2937"/>
                <w:sz w:val="18"/>
              </w:rPr>
              <w:t>DOC-000, DOC-001, SGF-000, SGF-020</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Operational / evidentiary</w:t>
            </w:r>
          </w:p>
        </w:tc>
        <w:tc>
          <w:tcPr>
            <w:tcW w:type="dxa" w:w="4560"/>
            <w:tcMar>
              <w:top w:w="80" w:type="dxa"/>
              <w:start w:w="120" w:type="dxa"/>
              <w:bottom w:w="80" w:type="dxa"/>
              <w:end w:w="120" w:type="dxa"/>
            </w:tcMar>
            <w:vAlign w:val="center"/>
          </w:tcPr>
          <w:p>
            <w:pPr>
              <w:spacing w:after="0"/>
            </w:pPr>
            <w:r>
              <w:rPr>
                <w:rFonts w:ascii="Calibri" w:hAnsi="Calibri"/>
                <w:color w:val="1F2937"/>
                <w:sz w:val="18"/>
              </w:rPr>
              <w:t>Records implementation, testing, deployment, or acceptance; does not become canonical merely by being accurate.</w:t>
            </w:r>
          </w:p>
        </w:tc>
        <w:tc>
          <w:tcPr>
            <w:tcW w:type="dxa" w:w="3300"/>
            <w:tcMar>
              <w:top w:w="80" w:type="dxa"/>
              <w:start w:w="120" w:type="dxa"/>
              <w:bottom w:w="80" w:type="dxa"/>
              <w:end w:w="120" w:type="dxa"/>
            </w:tcMar>
            <w:vAlign w:val="center"/>
          </w:tcPr>
          <w:p>
            <w:pPr>
              <w:spacing w:after="0"/>
            </w:pPr>
            <w:r>
              <w:rPr>
                <w:rFonts w:ascii="Calibri" w:hAnsi="Calibri"/>
                <w:color w:val="1F2937"/>
                <w:sz w:val="18"/>
              </w:rPr>
              <w:t>Dated local and production acceptance reports</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Working direction</w:t>
            </w:r>
          </w:p>
        </w:tc>
        <w:tc>
          <w:tcPr>
            <w:tcW w:type="dxa" w:w="4560"/>
            <w:tcMar>
              <w:top w:w="80" w:type="dxa"/>
              <w:start w:w="120" w:type="dxa"/>
              <w:bottom w:w="80" w:type="dxa"/>
              <w:end w:w="120" w:type="dxa"/>
            </w:tcMar>
            <w:vAlign w:val="center"/>
          </w:tcPr>
          <w:p>
            <w:pPr>
              <w:spacing w:after="0"/>
            </w:pPr>
            <w:r>
              <w:rPr>
                <w:rFonts w:ascii="Calibri" w:hAnsi="Calibri"/>
                <w:color w:val="1F2937"/>
                <w:sz w:val="18"/>
              </w:rPr>
              <w:t>Guides current engineering behavior within its scope; may change through repository governance.</w:t>
            </w:r>
          </w:p>
        </w:tc>
        <w:tc>
          <w:tcPr>
            <w:tcW w:type="dxa" w:w="3300"/>
            <w:tcMar>
              <w:top w:w="80" w:type="dxa"/>
              <w:start w:w="120" w:type="dxa"/>
              <w:bottom w:w="80" w:type="dxa"/>
              <w:end w:w="120" w:type="dxa"/>
            </w:tcMar>
            <w:vAlign w:val="center"/>
          </w:tcPr>
          <w:p>
            <w:pPr>
              <w:spacing w:after="0"/>
            </w:pPr>
            <w:r>
              <w:rPr>
                <w:rFonts w:ascii="Calibri" w:hAnsi="Calibri"/>
                <w:color w:val="1F2937"/>
                <w:sz w:val="18"/>
              </w:rPr>
              <w:t>AGENTS.md, .agents/AGENTS.md</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Candidate</w:t>
            </w:r>
          </w:p>
        </w:tc>
        <w:tc>
          <w:tcPr>
            <w:tcW w:type="dxa" w:w="4560"/>
            <w:tcMar>
              <w:top w:w="80" w:type="dxa"/>
              <w:start w:w="120" w:type="dxa"/>
              <w:bottom w:w="80" w:type="dxa"/>
              <w:end w:w="120" w:type="dxa"/>
            </w:tcMar>
            <w:vAlign w:val="center"/>
          </w:tcPr>
          <w:p>
            <w:pPr>
              <w:spacing w:after="0"/>
            </w:pPr>
            <w:r>
              <w:rPr>
                <w:rFonts w:ascii="Calibri" w:hAnsi="Calibri"/>
                <w:color w:val="1F2937"/>
                <w:sz w:val="18"/>
              </w:rPr>
              <w:t>Prepared for review and explicit human decision; has no canonical effect.</w:t>
            </w:r>
          </w:p>
        </w:tc>
        <w:tc>
          <w:tcPr>
            <w:tcW w:type="dxa" w:w="3300"/>
            <w:tcMar>
              <w:top w:w="80" w:type="dxa"/>
              <w:start w:w="120" w:type="dxa"/>
              <w:bottom w:w="80" w:type="dxa"/>
              <w:end w:w="120" w:type="dxa"/>
            </w:tcMar>
            <w:vAlign w:val="center"/>
          </w:tcPr>
          <w:p>
            <w:pPr>
              <w:spacing w:after="0"/>
            </w:pPr>
            <w:r>
              <w:rPr>
                <w:rFonts w:ascii="Calibri" w:hAnsi="Calibri"/>
                <w:color w:val="1F2937"/>
                <w:sz w:val="18"/>
              </w:rPr>
              <w:t>Documents/Candidates/*</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Roadmap / vision</w:t>
            </w:r>
          </w:p>
        </w:tc>
        <w:tc>
          <w:tcPr>
            <w:tcW w:type="dxa" w:w="4560"/>
            <w:tcMar>
              <w:top w:w="80" w:type="dxa"/>
              <w:start w:w="120" w:type="dxa"/>
              <w:bottom w:w="80" w:type="dxa"/>
              <w:end w:w="120" w:type="dxa"/>
            </w:tcMar>
            <w:vAlign w:val="center"/>
          </w:tcPr>
          <w:p>
            <w:pPr>
              <w:spacing w:after="0"/>
            </w:pPr>
            <w:r>
              <w:rPr>
                <w:rFonts w:ascii="Calibri" w:hAnsi="Calibri"/>
                <w:color w:val="1F2937"/>
                <w:sz w:val="18"/>
              </w:rPr>
              <w:t>Describes intended direction or future capability; does not prove implementation.</w:t>
            </w:r>
          </w:p>
        </w:tc>
        <w:tc>
          <w:tcPr>
            <w:tcW w:type="dxa" w:w="3300"/>
            <w:tcMar>
              <w:top w:w="80" w:type="dxa"/>
              <w:start w:w="120" w:type="dxa"/>
              <w:bottom w:w="80" w:type="dxa"/>
              <w:end w:w="120" w:type="dxa"/>
            </w:tcMar>
            <w:vAlign w:val="center"/>
          </w:tcPr>
          <w:p>
            <w:pPr>
              <w:spacing w:after="0"/>
            </w:pPr>
            <w:r>
              <w:rPr>
                <w:rFonts w:ascii="Calibri" w:hAnsi="Calibri"/>
                <w:color w:val="1F2937"/>
                <w:sz w:val="18"/>
              </w:rPr>
              <w:t>Vision and roadmap documents</w:t>
            </w:r>
          </w:p>
        </w:tc>
      </w:tr>
      <w:tr>
        <w:tc>
          <w:tcPr>
            <w:tcW w:type="dxa" w:w="1500"/>
            <w:tcMar>
              <w:top w:w="80" w:type="dxa"/>
              <w:start w:w="120" w:type="dxa"/>
              <w:bottom w:w="80" w:type="dxa"/>
              <w:end w:w="120" w:type="dxa"/>
            </w:tcMar>
            <w:vAlign w:val="center"/>
          </w:tcPr>
          <w:p>
            <w:pPr>
              <w:spacing w:after="0"/>
            </w:pPr>
            <w:r>
              <w:rPr>
                <w:rFonts w:ascii="Calibri" w:hAnsi="Calibri"/>
                <w:color w:val="1F2937"/>
                <w:sz w:val="18"/>
              </w:rPr>
              <w:t>Historical / superseded</w:t>
            </w:r>
          </w:p>
        </w:tc>
        <w:tc>
          <w:tcPr>
            <w:tcW w:type="dxa" w:w="4560"/>
            <w:tcMar>
              <w:top w:w="80" w:type="dxa"/>
              <w:start w:w="120" w:type="dxa"/>
              <w:bottom w:w="80" w:type="dxa"/>
              <w:end w:w="120" w:type="dxa"/>
            </w:tcMar>
            <w:vAlign w:val="center"/>
          </w:tcPr>
          <w:p>
            <w:pPr>
              <w:spacing w:after="0"/>
            </w:pPr>
            <w:r>
              <w:rPr>
                <w:rFonts w:ascii="Calibri" w:hAnsi="Calibri"/>
                <w:color w:val="1F2937"/>
                <w:sz w:val="18"/>
              </w:rPr>
              <w:t>Preserved for provenance and audit; not current authority unless explicitly stated.</w:t>
            </w:r>
          </w:p>
        </w:tc>
        <w:tc>
          <w:tcPr>
            <w:tcW w:type="dxa" w:w="3300"/>
            <w:tcMar>
              <w:top w:w="80" w:type="dxa"/>
              <w:start w:w="120" w:type="dxa"/>
              <w:bottom w:w="80" w:type="dxa"/>
              <w:end w:w="120" w:type="dxa"/>
            </w:tcMar>
            <w:vAlign w:val="center"/>
          </w:tcPr>
          <w:p>
            <w:pPr>
              <w:spacing w:after="0"/>
            </w:pPr>
            <w:r>
              <w:rPr>
                <w:rFonts w:ascii="Calibri" w:hAnsi="Calibri"/>
                <w:color w:val="1F2937"/>
                <w:sz w:val="18"/>
              </w:rPr>
              <w:t>Earlier candidates and superseded editions</w:t>
            </w:r>
          </w:p>
        </w:tc>
      </w:tr>
    </w:tbl>
    <w:p>
      <w:pPr>
        <w:pStyle w:val="TableSpacer"/>
      </w:pPr>
    </w:p>
    <w:p>
      <w:pPr>
        <w:pStyle w:val="Heading1"/>
      </w:pPr>
      <w:r>
        <w:t>6. Project and system orientation</w:t>
      </w:r>
    </w:p>
    <w:p>
      <w:r>
        <w:t>ResearchOS is a provenance-first platform for scientific knowledge workflows and deterministic software architecture governance. Its implemented stack includes a FastAPI backend, PostgreSQL with pgvector, MinIO object storage, background workers, monitoring, and a browser workspace. Public interfaces remain under active development.</w:t>
      </w:r>
    </w:p>
    <w:p>
      <w:r>
        <w:t>AI is treated as a replaceable capability operating within human authority, provenance, evidence, lifecycle, and audit controls. The system must not silently promote evidence, approve theories, or represent machine output as an attributable human decision.</w:t>
      </w:r>
    </w:p>
    <w:p>
      <w:pPr>
        <w:pStyle w:val="Heading1"/>
      </w:pPr>
      <w:r>
        <w:t>7. Current verified operational orientation</w:t>
      </w:r>
    </w:p>
    <w:p>
      <w:r>
        <w:t>The canonical real-environment targets below are taken from deploy/production-registry.json, updated 20 July 2026. Operational behavior must be accepted against the real target and preserved in dated evidence; a health response alone is insufficient.</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F2F4F7"/>
            <w:tcMar>
              <w:top w:w="80" w:type="dxa"/>
              <w:start w:w="120" w:type="dxa"/>
              <w:bottom w:w="80" w:type="dxa"/>
              <w:end w:w="120" w:type="dxa"/>
            </w:tcMar>
            <w:vAlign w:val="center"/>
          </w:tcPr>
          <w:p>
            <w:r>
              <w:rPr>
                <w:rFonts w:ascii="Calibri" w:hAnsi="Calibri"/>
                <w:b/>
                <w:color w:val="1F4D78"/>
                <w:sz w:val="19"/>
              </w:rPr>
              <w:t>Target</w:t>
            </w:r>
          </w:p>
        </w:tc>
        <w:tc>
          <w:tcPr>
            <w:tcW w:type="dxa" w:w="3300"/>
            <w:shd w:fill="F2F4F7"/>
            <w:tcMar>
              <w:top w:w="80" w:type="dxa"/>
              <w:start w:w="120" w:type="dxa"/>
              <w:bottom w:w="80" w:type="dxa"/>
              <w:end w:w="120" w:type="dxa"/>
            </w:tcMar>
            <w:vAlign w:val="center"/>
          </w:tcPr>
          <w:p>
            <w:r>
              <w:rPr>
                <w:rFonts w:ascii="Calibri" w:hAnsi="Calibri"/>
                <w:b/>
                <w:color w:val="1F4D78"/>
                <w:sz w:val="19"/>
              </w:rPr>
              <w:t>Canonical location</w:t>
            </w:r>
          </w:p>
        </w:tc>
        <w:tc>
          <w:tcPr>
            <w:tcW w:type="dxa" w:w="4260"/>
            <w:shd w:fill="F2F4F7"/>
            <w:tcMar>
              <w:top w:w="80" w:type="dxa"/>
              <w:start w:w="120" w:type="dxa"/>
              <w:bottom w:w="80" w:type="dxa"/>
              <w:end w:w="120" w:type="dxa"/>
            </w:tcMar>
            <w:vAlign w:val="center"/>
          </w:tcPr>
          <w:p>
            <w:r>
              <w:rPr>
                <w:rFonts w:ascii="Calibri" w:hAnsi="Calibri"/>
                <w:b/>
                <w:color w:val="1F4D78"/>
                <w:sz w:val="19"/>
              </w:rPr>
              <w:t>Qualification</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Public UI</w:t>
            </w:r>
          </w:p>
        </w:tc>
        <w:tc>
          <w:tcPr>
            <w:tcW w:type="dxa" w:w="3300"/>
            <w:tcMar>
              <w:top w:w="80" w:type="dxa"/>
              <w:start w:w="120" w:type="dxa"/>
              <w:bottom w:w="80" w:type="dxa"/>
              <w:end w:w="120" w:type="dxa"/>
            </w:tcMar>
            <w:vAlign w:val="center"/>
          </w:tcPr>
          <w:p>
            <w:pPr>
              <w:spacing w:after="0"/>
            </w:pPr>
            <w:r>
              <w:rPr>
                <w:rFonts w:ascii="Calibri" w:hAnsi="Calibri"/>
                <w:color w:val="1F2937"/>
                <w:sz w:val="18"/>
              </w:rPr>
              <w:t>https://researchos.click/</w:t>
            </w:r>
          </w:p>
        </w:tc>
        <w:tc>
          <w:tcPr>
            <w:tcW w:type="dxa" w:w="4260"/>
            <w:tcMar>
              <w:top w:w="80" w:type="dxa"/>
              <w:start w:w="120" w:type="dxa"/>
              <w:bottom w:w="80" w:type="dxa"/>
              <w:end w:w="120" w:type="dxa"/>
            </w:tcMar>
            <w:vAlign w:val="center"/>
          </w:tcPr>
          <w:p>
            <w:pPr>
              <w:spacing w:after="0"/>
            </w:pPr>
            <w:r>
              <w:rPr>
                <w:rFonts w:ascii="Calibri" w:hAnsi="Calibri"/>
                <w:color w:val="1F2937"/>
                <w:sz w:val="18"/>
              </w:rPr>
              <w:t>Primary production user interface</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Public API</w:t>
            </w:r>
          </w:p>
        </w:tc>
        <w:tc>
          <w:tcPr>
            <w:tcW w:type="dxa" w:w="3300"/>
            <w:tcMar>
              <w:top w:w="80" w:type="dxa"/>
              <w:start w:w="120" w:type="dxa"/>
              <w:bottom w:w="80" w:type="dxa"/>
              <w:end w:w="120" w:type="dxa"/>
            </w:tcMar>
            <w:vAlign w:val="center"/>
          </w:tcPr>
          <w:p>
            <w:pPr>
              <w:spacing w:after="0"/>
            </w:pPr>
            <w:r>
              <w:rPr>
                <w:rFonts w:ascii="Calibri" w:hAnsi="Calibri"/>
                <w:color w:val="1F2937"/>
                <w:sz w:val="18"/>
              </w:rPr>
              <w:t>https://api.researchos.click</w:t>
            </w:r>
          </w:p>
        </w:tc>
        <w:tc>
          <w:tcPr>
            <w:tcW w:type="dxa" w:w="4260"/>
            <w:tcMar>
              <w:top w:w="80" w:type="dxa"/>
              <w:start w:w="120" w:type="dxa"/>
              <w:bottom w:w="80" w:type="dxa"/>
              <w:end w:w="120" w:type="dxa"/>
            </w:tcMar>
            <w:vAlign w:val="center"/>
          </w:tcPr>
          <w:p>
            <w:pPr>
              <w:spacing w:after="0"/>
            </w:pPr>
            <w:r>
              <w:rPr>
                <w:rFonts w:ascii="Calibri" w:hAnsi="Calibri"/>
                <w:color w:val="1F2937"/>
                <w:sz w:val="18"/>
              </w:rPr>
              <w:t>Primary production backend</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Production host</w:t>
            </w:r>
          </w:p>
        </w:tc>
        <w:tc>
          <w:tcPr>
            <w:tcW w:type="dxa" w:w="3300"/>
            <w:tcMar>
              <w:top w:w="80" w:type="dxa"/>
              <w:start w:w="120" w:type="dxa"/>
              <w:bottom w:w="80" w:type="dxa"/>
              <w:end w:w="120" w:type="dxa"/>
            </w:tcMar>
            <w:vAlign w:val="center"/>
          </w:tcPr>
          <w:p>
            <w:pPr>
              <w:spacing w:after="0"/>
            </w:pPr>
            <w:r>
              <w:rPr>
                <w:rFonts w:ascii="Calibri" w:hAnsi="Calibri"/>
                <w:color w:val="1F2937"/>
                <w:sz w:val="18"/>
              </w:rPr>
              <w:t>Hostinger srv1534304</w:t>
            </w:r>
          </w:p>
        </w:tc>
        <w:tc>
          <w:tcPr>
            <w:tcW w:type="dxa" w:w="4260"/>
            <w:tcMar>
              <w:top w:w="80" w:type="dxa"/>
              <w:start w:w="120" w:type="dxa"/>
              <w:bottom w:w="80" w:type="dxa"/>
              <w:end w:w="120" w:type="dxa"/>
            </w:tcMar>
            <w:vAlign w:val="center"/>
          </w:tcPr>
          <w:p>
            <w:pPr>
              <w:spacing w:after="0"/>
            </w:pPr>
            <w:r>
              <w:rPr>
                <w:rFonts w:ascii="Calibri" w:hAnsi="Calibri"/>
                <w:color w:val="1F2937"/>
                <w:sz w:val="18"/>
              </w:rPr>
              <w:t>Application directory /opt/researchos</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Production database</w:t>
            </w:r>
          </w:p>
        </w:tc>
        <w:tc>
          <w:tcPr>
            <w:tcW w:type="dxa" w:w="3300"/>
            <w:tcMar>
              <w:top w:w="80" w:type="dxa"/>
              <w:start w:w="120" w:type="dxa"/>
              <w:bottom w:w="80" w:type="dxa"/>
              <w:end w:w="120" w:type="dxa"/>
            </w:tcMar>
            <w:vAlign w:val="center"/>
          </w:tcPr>
          <w:p>
            <w:pPr>
              <w:spacing w:after="0"/>
            </w:pPr>
            <w:r>
              <w:rPr>
                <w:rFonts w:ascii="Calibri" w:hAnsi="Calibri"/>
                <w:color w:val="1F2937"/>
                <w:sz w:val="18"/>
              </w:rPr>
              <w:t>PostgreSQL database researchos</w:t>
            </w:r>
          </w:p>
        </w:tc>
        <w:tc>
          <w:tcPr>
            <w:tcW w:type="dxa" w:w="4260"/>
            <w:tcMar>
              <w:top w:w="80" w:type="dxa"/>
              <w:start w:w="120" w:type="dxa"/>
              <w:bottom w:w="80" w:type="dxa"/>
              <w:end w:w="120" w:type="dxa"/>
            </w:tcMar>
            <w:vAlign w:val="center"/>
          </w:tcPr>
          <w:p>
            <w:pPr>
              <w:spacing w:after="0"/>
            </w:pPr>
            <w:r>
              <w:rPr>
                <w:rFonts w:ascii="Calibri" w:hAnsi="Calibri"/>
                <w:color w:val="1F2937"/>
                <w:sz w:val="18"/>
              </w:rPr>
              <w:t>Persistence evidence required when data changes</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Object storage</w:t>
            </w:r>
          </w:p>
        </w:tc>
        <w:tc>
          <w:tcPr>
            <w:tcW w:type="dxa" w:w="3300"/>
            <w:tcMar>
              <w:top w:w="80" w:type="dxa"/>
              <w:start w:w="120" w:type="dxa"/>
              <w:bottom w:w="80" w:type="dxa"/>
              <w:end w:w="120" w:type="dxa"/>
            </w:tcMar>
            <w:vAlign w:val="center"/>
          </w:tcPr>
          <w:p>
            <w:pPr>
              <w:spacing w:after="0"/>
            </w:pPr>
            <w:r>
              <w:rPr>
                <w:rFonts w:ascii="Calibri" w:hAnsi="Calibri"/>
                <w:color w:val="1F2937"/>
                <w:sz w:val="18"/>
              </w:rPr>
              <w:t>MinIO on the production VPS</w:t>
            </w:r>
          </w:p>
        </w:tc>
        <w:tc>
          <w:tcPr>
            <w:tcW w:type="dxa" w:w="4260"/>
            <w:tcMar>
              <w:top w:w="80" w:type="dxa"/>
              <w:start w:w="120" w:type="dxa"/>
              <w:bottom w:w="80" w:type="dxa"/>
              <w:end w:w="120" w:type="dxa"/>
            </w:tcMar>
            <w:vAlign w:val="center"/>
          </w:tcPr>
          <w:p>
            <w:pPr>
              <w:spacing w:after="0"/>
            </w:pPr>
            <w:r>
              <w:rPr>
                <w:rFonts w:ascii="Calibri" w:hAnsi="Calibri"/>
                <w:color w:val="1F2937"/>
                <w:sz w:val="18"/>
              </w:rPr>
              <w:t>Object-state evidence required when storage changes</w:t>
            </w:r>
          </w:p>
        </w:tc>
      </w:tr>
      <w:tr>
        <w:tc>
          <w:tcPr>
            <w:tcW w:type="dxa" w:w="1800"/>
            <w:tcMar>
              <w:top w:w="80" w:type="dxa"/>
              <w:start w:w="120" w:type="dxa"/>
              <w:bottom w:w="80" w:type="dxa"/>
              <w:end w:w="120" w:type="dxa"/>
            </w:tcMar>
            <w:vAlign w:val="center"/>
          </w:tcPr>
          <w:p>
            <w:pPr>
              <w:spacing w:after="0"/>
            </w:pPr>
            <w:r>
              <w:rPr>
                <w:rFonts w:ascii="Calibri" w:hAnsi="Calibri"/>
                <w:color w:val="1F2937"/>
                <w:sz w:val="18"/>
              </w:rPr>
              <w:t>Local computer</w:t>
            </w:r>
          </w:p>
        </w:tc>
        <w:tc>
          <w:tcPr>
            <w:tcW w:type="dxa" w:w="3300"/>
            <w:tcMar>
              <w:top w:w="80" w:type="dxa"/>
              <w:start w:w="120" w:type="dxa"/>
              <w:bottom w:w="80" w:type="dxa"/>
              <w:end w:w="120" w:type="dxa"/>
            </w:tcMar>
            <w:vAlign w:val="center"/>
          </w:tcPr>
          <w:p>
            <w:pPr>
              <w:spacing w:after="0"/>
            </w:pPr>
            <w:r>
              <w:rPr>
                <w:rFonts w:ascii="Calibri" w:hAnsi="Calibri"/>
                <w:color w:val="1F2937"/>
                <w:sz w:val="18"/>
              </w:rPr>
              <w:t>ResearchOS source and local runtime</w:t>
            </w:r>
          </w:p>
        </w:tc>
        <w:tc>
          <w:tcPr>
            <w:tcW w:type="dxa" w:w="4260"/>
            <w:tcMar>
              <w:top w:w="80" w:type="dxa"/>
              <w:start w:w="120" w:type="dxa"/>
              <w:bottom w:w="80" w:type="dxa"/>
              <w:end w:w="120" w:type="dxa"/>
            </w:tcMar>
            <w:vAlign w:val="center"/>
          </w:tcPr>
          <w:p>
            <w:pPr>
              <w:spacing w:after="0"/>
            </w:pPr>
            <w:r>
              <w:rPr>
                <w:rFonts w:ascii="Calibri" w:hAnsi="Calibri"/>
                <w:color w:val="1F2937"/>
                <w:sz w:val="18"/>
              </w:rPr>
              <w:t>Development and preliminary acceptance; not production proof</w:t>
            </w:r>
          </w:p>
        </w:tc>
      </w:tr>
    </w:tbl>
    <w:p>
      <w:pPr>
        <w:pStyle w:val="TableSpacer"/>
      </w:pPr>
    </w:p>
    <w:p>
      <w:pPr>
        <w:pStyle w:val="SourceReference"/>
      </w:pPr>
      <w:r>
        <w:rPr>
          <w:b/>
        </w:rPr>
        <w:t xml:space="preserve">Registry: </w:t>
      </w:r>
      <w:hyperlink r:id="rId12">
        <w:r>
          <w:rPr>
            <w:color w:val="2E74B5"/>
            <w:u w:val="single"/>
          </w:rPr>
          <w:t>deploy/production-registry.json</w:t>
        </w:r>
      </w:hyperlink>
    </w:p>
    <w:p>
      <w:pPr>
        <w:pStyle w:val="Heading1"/>
      </w:pPr>
      <w:r>
        <w:t>8. Current capabilities and evidence boundary</w:t>
      </w:r>
    </w:p>
    <w:p>
      <w:r>
        <w:t>The repository currently describes capabilities for literature discovery, versioned provider snapshots, content-addressed representations, evidence extraction and human review, knowledge graphs, theory synthesis, architecture compliance, recovery, monitoring, and role-separated access. These are implementation claims, not canonical scientific claims.</w:t>
      </w:r>
    </w:p>
    <w:p>
      <w:r>
        <w:t>The latest repository acceptance evidence reviewed for this candidate includes a production operational-status acceptance dated 20 July 2026. It records an accepted production correction and authenticated visual confirmation for the specific behavior tested. It does not authorize generalization beyond that scope or erase earlier failed observations.</w:t>
      </w:r>
    </w:p>
    <w:p>
      <w:pPr>
        <w:pStyle w:val="SourceReference"/>
      </w:pPr>
      <w:r>
        <w:rPr>
          <w:b/>
        </w:rPr>
        <w:t xml:space="preserve">Capability overview: </w:t>
      </w:r>
      <w:hyperlink r:id="rId13">
        <w:r>
          <w:rPr>
            <w:color w:val="2E74B5"/>
            <w:u w:val="single"/>
          </w:rPr>
          <w:t>README.md</w:t>
        </w:r>
      </w:hyperlink>
    </w:p>
    <w:p>
      <w:pPr>
        <w:pStyle w:val="SourceReference"/>
      </w:pPr>
      <w:r>
        <w:rPr>
          <w:b/>
        </w:rPr>
        <w:t xml:space="preserve">Operational evidence: </w:t>
      </w:r>
      <w:hyperlink r:id="rId14">
        <w:r>
          <w:rPr>
            <w:color w:val="2E74B5"/>
            <w:u w:val="single"/>
          </w:rPr>
          <w:t>Documents/OPERATIONAL_STATUS_ACCEPTANCE_20260720.md</w:t>
        </w:r>
      </w:hyperlink>
    </w:p>
    <w:p>
      <w:pPr>
        <w:pStyle w:val="Heading1"/>
      </w:pPr>
      <w:r>
        <w:t>9. Documentation navigation</w:t>
      </w:r>
    </w:p>
    <w:p>
      <w:r>
        <w:t>Recommended reading order depends on the reader's objective:</w:t>
      </w:r>
    </w:p>
    <w:p>
      <w:pPr>
        <w:pStyle w:val="Heading2"/>
      </w:pPr>
      <w:r>
        <w:t>9.1 Project and governance orientation</w:t>
      </w:r>
    </w:p>
    <w:p>
      <w:pPr>
        <w:pStyle w:val="ListNumber"/>
        <w:numPr>
          <w:ilvl w:val="0"/>
          <w:numId w:val="1001"/>
        </w:numPr>
        <w:spacing w:after="80" w:line="264" w:lineRule="auto"/>
      </w:pPr>
      <w:r>
        <w:t>PMC-000 — start here after canonical admission; while still a candidate, use it only as reviewed orientation material.</w:t>
      </w:r>
    </w:p>
    <w:p>
      <w:pPr>
        <w:pStyle w:val="ListNumber"/>
        <w:numPr>
          <w:ilvl w:val="0"/>
          <w:numId w:val="1001"/>
        </w:numPr>
        <w:spacing w:after="80" w:line="264" w:lineRule="auto"/>
      </w:pPr>
      <w:r>
        <w:t>DOC-000 — understand publication, admission, immutability, correction, and supersession rules.</w:t>
      </w:r>
    </w:p>
    <w:p>
      <w:pPr>
        <w:pStyle w:val="ListNumber"/>
        <w:numPr>
          <w:ilvl w:val="0"/>
          <w:numId w:val="1001"/>
        </w:numPr>
        <w:spacing w:after="80" w:line="264" w:lineRule="auto"/>
      </w:pPr>
      <w:r>
        <w:t>DOC-001 — understand the foundational charter and scientific-truth boundary.</w:t>
      </w:r>
    </w:p>
    <w:p>
      <w:pPr>
        <w:pStyle w:val="ListNumber"/>
        <w:numPr>
          <w:ilvl w:val="0"/>
          <w:numId w:val="1001"/>
        </w:numPr>
        <w:spacing w:after="80" w:line="264" w:lineRule="auto"/>
      </w:pPr>
      <w:r>
        <w:t>SGF-000 — understand the scientific governance family and dependency order.</w:t>
      </w:r>
    </w:p>
    <w:p>
      <w:pPr>
        <w:pStyle w:val="ListNumber"/>
        <w:numPr>
          <w:ilvl w:val="0"/>
          <w:numId w:val="1001"/>
        </w:numPr>
        <w:spacing w:after="80" w:line="264" w:lineRule="auto"/>
      </w:pPr>
      <w:r>
        <w:t>SGF-020 — understand human authority, decision admission, appeal, and AI restrictions.</w:t>
      </w:r>
    </w:p>
    <w:p>
      <w:pPr>
        <w:pStyle w:val="Heading2"/>
      </w:pPr>
      <w:r>
        <w:t>9.2 Engineering and runtime orientation</w:t>
      </w:r>
    </w:p>
    <w:p>
      <w:pPr>
        <w:pStyle w:val="ListNumber"/>
        <w:numPr>
          <w:ilvl w:val="0"/>
          <w:numId w:val="1002"/>
        </w:numPr>
        <w:spacing w:after="80" w:line="264" w:lineRule="auto"/>
      </w:pPr>
      <w:r>
        <w:t>README.md — obtain the current platform overview and entry points.</w:t>
      </w:r>
    </w:p>
    <w:p>
      <w:pPr>
        <w:pStyle w:val="ListNumber"/>
        <w:numPr>
          <w:ilvl w:val="0"/>
          <w:numId w:val="1002"/>
        </w:numPr>
        <w:spacing w:after="80" w:line="264" w:lineRule="auto"/>
      </w:pPr>
      <w:r>
        <w:t>AGENTS.md, then .agents/AGENTS.md — follow the current working agreement and local-first production-proof workflow.</w:t>
      </w:r>
    </w:p>
    <w:p>
      <w:pPr>
        <w:pStyle w:val="ListNumber"/>
        <w:numPr>
          <w:ilvl w:val="0"/>
          <w:numId w:val="1002"/>
        </w:numPr>
        <w:spacing w:after="80" w:line="264" w:lineRule="auto"/>
      </w:pPr>
      <w:r>
        <w:t>deploy/production-registry.json — identify canonical real-environment targets.</w:t>
      </w:r>
    </w:p>
    <w:p>
      <w:pPr>
        <w:pStyle w:val="ListNumber"/>
        <w:numPr>
          <w:ilvl w:val="0"/>
          <w:numId w:val="1002"/>
        </w:numPr>
        <w:spacing w:after="80" w:line="264" w:lineRule="auto"/>
      </w:pPr>
      <w:r>
        <w:t>Documents/REAL_ENVIRONMENT_ACCEPTANCE_POLICY.md — apply the evidence requirements for real-environment acceptance.</w:t>
      </w:r>
    </w:p>
    <w:p>
      <w:pPr>
        <w:pStyle w:val="ListNumber"/>
        <w:numPr>
          <w:ilvl w:val="0"/>
          <w:numId w:val="1002"/>
        </w:numPr>
        <w:spacing w:after="80" w:line="264" w:lineRule="auto"/>
      </w:pPr>
      <w:r>
        <w:t>Use the dated acceptance report matching the behavior being evaluated; do not substitute unrelated reports.</w:t>
      </w:r>
    </w:p>
    <w:p>
      <w:pPr>
        <w:pStyle w:val="Heading1"/>
      </w:pPr>
      <w:r>
        <w:t>10. Candidate, planned, and non-admitted architecture</w:t>
      </w:r>
    </w:p>
    <w:p>
      <w:r>
        <w:t>Identifiers or concepts such as DKA, DEC, RCA, CFIC, SGF-ARCH, SOK, REA, and FMA must not be presented by PMC-000 as active canonical artifacts unless the Canonical Document Register separately admits an exact representation. Existing working documents may discuss equivalent domains without creating canonical identity or status.</w:t>
      </w:r>
    </w:p>
    <w:p>
      <w:r>
        <w:t>Planned governance extensions, ontology standards, lifecycle standards, architecture consolidation, and domain standards remain subject to their own dependency, review, evidence, and human-decision gates. PMC-000 cannot reserve identifiers as authority or bypass those gates.</w:t>
      </w:r>
    </w:p>
    <w:p>
      <w:pPr>
        <w:pStyle w:val="Heading1"/>
      </w:pPr>
      <w:r>
        <w:t>11. Engineering entry and change discipline</w:t>
      </w:r>
    </w:p>
    <w:p>
      <w:pPr>
        <w:pStyle w:val="ListBullet"/>
        <w:spacing w:after="80" w:line="264" w:lineRule="auto"/>
      </w:pPr>
      <w:r>
        <w:t>Read AGENTS.md and the canonical .agents/AGENTS.md working agreement before performing ResearchOS work.</w:t>
      </w:r>
    </w:p>
    <w:p>
      <w:pPr>
        <w:pStyle w:val="ListBullet"/>
        <w:spacing w:after="80" w:line="264" w:lineRule="auto"/>
      </w:pPr>
      <w:r>
        <w:t>Keep changes focused and test them in proportion to risk.</w:t>
      </w:r>
    </w:p>
    <w:p>
      <w:pPr>
        <w:pStyle w:val="ListBullet"/>
        <w:spacing w:after="80" w:line="264" w:lineRule="auto"/>
      </w:pPr>
      <w:r>
        <w:t>For production changes, pass the mandatory local-first gate before accessing or changing the VPS.</w:t>
      </w:r>
    </w:p>
    <w:p>
      <w:pPr>
        <w:pStyle w:val="ListBullet"/>
        <w:spacing w:after="80" w:line="264" w:lineRule="auto"/>
      </w:pPr>
      <w:r>
        <w:t>Distinguish local, simulated, staging, and production evidence explicitly.</w:t>
      </w:r>
    </w:p>
    <w:p>
      <w:pPr>
        <w:pStyle w:val="ListBullet"/>
        <w:spacing w:after="80" w:line="264" w:lineRule="auto"/>
      </w:pPr>
      <w:r>
        <w:t>Preserve timestamped before-and-after evidence and verify persistence whenever data changes.</w:t>
      </w:r>
    </w:p>
    <w:p>
      <w:pPr>
        <w:pStyle w:val="ListBullet"/>
        <w:spacing w:after="80" w:line="264" w:lineRule="auto"/>
      </w:pPr>
      <w:r>
        <w:t>Do not interpret this document as authorization for unrelated services, infrastructure, billing, domains, or destructive operations.</w:t>
      </w:r>
    </w:p>
    <w:p>
      <w:pPr>
        <w:pStyle w:val="Heading1"/>
      </w:pPr>
      <w:r>
        <w:t>12. Maintenance and lifecycle</w:t>
      </w:r>
    </w:p>
    <w:p>
      <w:pPr>
        <w:pStyle w:val="ListNumber"/>
        <w:numPr>
          <w:ilvl w:val="0"/>
          <w:numId w:val="1003"/>
        </w:numPr>
        <w:spacing w:after="80" w:line="264" w:lineRule="auto"/>
      </w:pPr>
      <w:r>
        <w:t>A proposed PMC correction remains a candidate until explicit human decision.</w:t>
      </w:r>
    </w:p>
    <w:p>
      <w:pPr>
        <w:pStyle w:val="ListNumber"/>
        <w:numPr>
          <w:ilvl w:val="0"/>
          <w:numId w:val="1003"/>
        </w:numPr>
        <w:spacing w:after="80" w:line="264" w:lineRule="auto"/>
      </w:pPr>
      <w:r>
        <w:t>Any published canonical PMC representation is immutable at the byte level.</w:t>
      </w:r>
    </w:p>
    <w:p>
      <w:pPr>
        <w:pStyle w:val="ListNumber"/>
        <w:numPr>
          <w:ilvl w:val="0"/>
          <w:numId w:val="1003"/>
        </w:numPr>
        <w:spacing w:after="80" w:line="264" w:lineRule="auto"/>
      </w:pPr>
      <w:r>
        <w:t>A byte-changing correction requires a new representation, hash, and attributable correction record.</w:t>
      </w:r>
    </w:p>
    <w:p>
      <w:pPr>
        <w:pStyle w:val="ListNumber"/>
        <w:numPr>
          <w:ilvl w:val="0"/>
          <w:numId w:val="1003"/>
        </w:numPr>
        <w:spacing w:after="80" w:line="264" w:lineRule="auto"/>
      </w:pPr>
      <w:r>
        <w:t>A substantive amendment or changed project orientation requires a new version and decision record.</w:t>
      </w:r>
    </w:p>
    <w:p>
      <w:pPr>
        <w:pStyle w:val="ListNumber"/>
        <w:numPr>
          <w:ilvl w:val="0"/>
          <w:numId w:val="1003"/>
        </w:numPr>
        <w:spacing w:after="80" w:line="264" w:lineRule="auto"/>
      </w:pPr>
      <w:r>
        <w:t>Historical candidates, rejected versions, and superseded editions are preserved for provenance.</w:t>
      </w:r>
    </w:p>
    <w:p>
      <w:pPr>
        <w:pStyle w:val="ListNumber"/>
        <w:numPr>
          <w:ilvl w:val="0"/>
          <w:numId w:val="1003"/>
        </w:numPr>
        <w:spacing w:after="80" w:line="264" w:lineRule="auto"/>
      </w:pPr>
      <w:r>
        <w:t>Time-sensitive operational statements must identify their evidence date and must be refreshed through a new reviewed version or external status source rather than silently edited.</w:t>
      </w:r>
    </w:p>
    <w:p>
      <w:pPr>
        <w:pStyle w:val="Heading1"/>
      </w:pPr>
      <w:r>
        <w:t>13. Known limitations of candidate v1.0</w:t>
      </w:r>
    </w:p>
    <w:p>
      <w:pPr>
        <w:pStyle w:val="ListBullet"/>
        <w:spacing w:after="80" w:line="264" w:lineRule="auto"/>
      </w:pPr>
      <w:r>
        <w:t>ResearchOS has one identified project owner and no separately demonstrated independent human governance reviewer; project-owner ratification is not independent peer review.</w:t>
      </w:r>
    </w:p>
    <w:p>
      <w:pPr>
        <w:pStyle w:val="ListBullet"/>
        <w:spacing w:after="80" w:line="264" w:lineRule="auto"/>
      </w:pPr>
      <w:r>
        <w:t>This candidate does not ratify scientific evidence, scientific ontology content, architectural frameworks, implementation maturity, or production fitness beyond cited evidence.</w:t>
      </w:r>
    </w:p>
    <w:p>
      <w:pPr>
        <w:pStyle w:val="ListBullet"/>
        <w:spacing w:after="80" w:line="264" w:lineRule="auto"/>
      </w:pPr>
      <w:r>
        <w:t>The canonical register dated 19 July 2026 and production registry updated 20 July 2026 may later change through their governed processes.</w:t>
      </w:r>
    </w:p>
    <w:p>
      <w:pPr>
        <w:pStyle w:val="ListBullet"/>
        <w:spacing w:after="80" w:line="264" w:lineRule="auto"/>
      </w:pPr>
      <w:r>
        <w:t>Operational capabilities and production state require current verification at the time of use.</w:t>
      </w:r>
    </w:p>
    <w:p>
      <w:pPr>
        <w:pStyle w:val="Heading1"/>
      </w:pPr>
      <w:r>
        <w:t>14. Review and decision gate</w:t>
      </w:r>
    </w:p>
    <w:p>
      <w:r>
        <w:t>This candidate is complete only up to the human-decision boundary. The associated review packet must bind the review to the exact candidate SHA-256 and record one explicit outcome: ratify, revise, or reject.</w:t>
      </w:r>
    </w:p>
    <w:p>
      <w:r>
        <w:t>If ratified, the publication workflow must create a separate Published Canonical Edition, preserve this candidate unchanged, generate a canonical admission record, verify the published representation, freeze its SHA-256, and add PMC-000 to the Canonical Document Register.</w:t>
      </w:r>
    </w:p>
    <w:p>
      <w:pPr>
        <w:pStyle w:val="Heading1"/>
        <w:pageBreakBefore/>
      </w:pPr>
      <w:r>
        <w:t>Appendix A — Core references</w:t>
      </w:r>
    </w:p>
    <w:p>
      <w:pPr>
        <w:pStyle w:val="SourceReference"/>
      </w:pPr>
      <w:r>
        <w:rPr>
          <w:b/>
        </w:rPr>
        <w:t xml:space="preserve">Publication standard: </w:t>
      </w:r>
      <w:hyperlink r:id="rId15">
        <w:r>
          <w:rPr>
            <w:color w:val="2E74B5"/>
            <w:u w:val="single"/>
          </w:rPr>
          <w:t>Documents/DOC-000_Standar_Publikasi_Dokumen_Kanonik_v0.2_Published_Canonical_Edition.docx</w:t>
        </w:r>
      </w:hyperlink>
    </w:p>
    <w:p>
      <w:pPr>
        <w:pStyle w:val="SourceReference"/>
      </w:pPr>
      <w:r>
        <w:rPr>
          <w:b/>
        </w:rPr>
        <w:t xml:space="preserve">Canonical register: </w:t>
      </w:r>
      <w:hyperlink r:id="rId11">
        <w:r>
          <w:rPr>
            <w:color w:val="2E74B5"/>
            <w:u w:val="single"/>
          </w:rPr>
          <w:t>Documents/CANONICAL_DOCUMENT_REGISTER.md</w:t>
        </w:r>
      </w:hyperlink>
    </w:p>
    <w:p>
      <w:pPr>
        <w:pStyle w:val="SourceReference"/>
      </w:pPr>
      <w:r>
        <w:rPr>
          <w:b/>
        </w:rPr>
        <w:t xml:space="preserve">Foundational charter: </w:t>
      </w:r>
      <w:hyperlink r:id="rId16">
        <w:r>
          <w:rPr>
            <w:color w:val="2E74B5"/>
            <w:u w:val="single"/>
          </w:rPr>
          <w:t>Documents/DOC-001_Piagam_Pendirian_Proyek_Ilmiah_v1.0_Published_Canonical_Edition.docx</w:t>
        </w:r>
      </w:hyperlink>
    </w:p>
    <w:p>
      <w:pPr>
        <w:pStyle w:val="SourceReference"/>
      </w:pPr>
      <w:r>
        <w:rPr>
          <w:b/>
        </w:rPr>
        <w:t xml:space="preserve">Scientific governance: </w:t>
      </w:r>
      <w:hyperlink r:id="rId17">
        <w:r>
          <w:rPr>
            <w:color w:val="2E74B5"/>
            <w:u w:val="single"/>
          </w:rPr>
          <w:t>Documents/SGF-000_ResearchOS_Scientific_Governance_Framework_v1.0_Published_Canonical_Edition.docx</w:t>
        </w:r>
      </w:hyperlink>
    </w:p>
    <w:p>
      <w:pPr>
        <w:pStyle w:val="SourceReference"/>
      </w:pPr>
      <w:r>
        <w:rPr>
          <w:b/>
        </w:rPr>
        <w:t xml:space="preserve">Human authority: </w:t>
      </w:r>
      <w:hyperlink r:id="rId18">
        <w:r>
          <w:rPr>
            <w:color w:val="2E74B5"/>
            <w:u w:val="single"/>
          </w:rPr>
          <w:t>Documents/SGF-020_Human_Authority_Decision_Matrix_v1.0_Published_Canonical_Edition.docx</w:t>
        </w:r>
      </w:hyperlink>
    </w:p>
    <w:p>
      <w:pPr>
        <w:pStyle w:val="SourceReference"/>
      </w:pPr>
      <w:r>
        <w:rPr>
          <w:b/>
        </w:rPr>
        <w:t xml:space="preserve">Working agreement: </w:t>
      </w:r>
      <w:hyperlink r:id="rId19">
        <w:r>
          <w:rPr>
            <w:color w:val="2E74B5"/>
            <w:u w:val="single"/>
          </w:rPr>
          <w:t>.agents/AGENTS.md</w:t>
        </w:r>
      </w:hyperlink>
    </w:p>
    <w:p>
      <w:pPr>
        <w:pStyle w:val="SourceReference"/>
      </w:pPr>
      <w:r>
        <w:rPr>
          <w:b/>
        </w:rPr>
        <w:t xml:space="preserve">Production registry: </w:t>
      </w:r>
      <w:hyperlink r:id="rId12">
        <w:r>
          <w:rPr>
            <w:color w:val="2E74B5"/>
            <w:u w:val="single"/>
          </w:rPr>
          <w:t>deploy/production-registry.json</w:t>
        </w:r>
      </w:hyperlink>
    </w:p>
    <w:p>
      <w:pPr>
        <w:pStyle w:val="SourceReference"/>
      </w:pPr>
      <w:r>
        <w:rPr>
          <w:b/>
        </w:rPr>
        <w:t xml:space="preserve">Acceptance policy: </w:t>
      </w:r>
      <w:hyperlink r:id="rId20">
        <w:r>
          <w:rPr>
            <w:color w:val="2E74B5"/>
            <w:u w:val="single"/>
          </w:rPr>
          <w:t>Documents/REAL_ENVIRONMENT_ACCEPTANCE_POLICY.md</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ResearchOS Project Master Context | Candidate v1.0 | 22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7"/>
      </w:rPr>
      <w:t>PMC-000 | Draft for Human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0">
    <w:multiLevelType w:val="singleLevel"/>
    <w:lvl w:ilvl="0">
      <w:start w:val="1"/>
      <w:numFmt w:val="decimal"/>
      <w:lvlText w:val="%1."/>
      <w:suff w:val="tab"/>
      <w:pPr>
        <w:tabs>
          <w:tab w:val="num" w:pos="720"/>
        </w:tabs>
        <w:ind w:left="720" w:hanging="360"/>
        <w:spacing w:after="80" w:line="264" w:lineRule="auto"/>
      </w:pPr>
    </w:lvl>
  </w:abstractNum>
  <w:abstractNum w:abstractNumId="1001">
    <w:multiLevelType w:val="singleLevel"/>
    <w:lvl w:ilvl="0">
      <w:start w:val="1"/>
      <w:numFmt w:val="decimal"/>
      <w:lvlText w:val="%1."/>
      <w:suff w:val="tab"/>
      <w:pPr>
        <w:tabs>
          <w:tab w:val="num" w:pos="720"/>
        </w:tabs>
        <w:ind w:left="720" w:hanging="360"/>
        <w:spacing w:after="80" w:line="264" w:lineRule="auto"/>
      </w:pPr>
    </w:lvl>
  </w:abstractNum>
  <w:abstractNum w:abstractNumId="1002">
    <w:multiLevelType w:val="singleLevel"/>
    <w:lvl w:ilvl="0">
      <w:start w:val="1"/>
      <w:numFmt w:val="decimal"/>
      <w:lvlText w:val="%1."/>
      <w:suff w:val="tab"/>
      <w:pPr>
        <w:tabs>
          <w:tab w:val="num" w:pos="720"/>
        </w:tabs>
        <w:ind w:left="720" w:hanging="360"/>
        <w:spacing w:after="80" w:line="264" w:lineRule="auto"/>
      </w:pPr>
    </w:lvl>
  </w:abstractNum>
  <w:abstractNum w:abstractNumId="1003">
    <w:multiLevelType w:val="singleLevel"/>
    <w:lvl w:ilvl="0">
      <w:start w:val="1"/>
      <w:numFmt w:val="decimal"/>
      <w:lvlText w:val="%1."/>
      <w:suff w:val="tab"/>
      <w:pPr>
        <w:tabs>
          <w:tab w:val="num" w:pos="720"/>
        </w:tabs>
        <w:ind w:left="720" w:hanging="360"/>
        <w:spacing w:after="80" w:line="264"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1000"/>
  </w:num>
  <w:num w:numId="1001">
    <w:abstractNumId w:val="1001"/>
  </w:num>
  <w:num w:numId="1002">
    <w:abstractNumId w:val="1002"/>
  </w:num>
  <w:num w:numId="1003">
    <w:abstractNumId w:val="10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ference">
    <w:name w:val="Source Reference"/>
    <w:pPr>
      <w:spacing w:before="80" w:after="80"/>
    </w:pPr>
    <w:rPr>
      <w:rFonts w:ascii="Calibri" w:hAnsi="Calibri"/>
      <w:color w:val="666666"/>
      <w:sz w:val="18"/>
    </w:rPr>
  </w:style>
  <w:style w:type="paragraph" w:customStyle="1" w:styleId="TableSpacer">
    <w:name w:val="Table Spacer"/>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CANONICAL_DOCUMENT_REGISTER.md" TargetMode="External"/><Relationship Id="rId12" Type="http://schemas.openxmlformats.org/officeDocument/2006/relationships/hyperlink" Target="../../deploy/production-registry.json" TargetMode="External"/><Relationship Id="rId13" Type="http://schemas.openxmlformats.org/officeDocument/2006/relationships/hyperlink" Target="../../README.md" TargetMode="External"/><Relationship Id="rId14" Type="http://schemas.openxmlformats.org/officeDocument/2006/relationships/hyperlink" Target="../OPERATIONAL_STATUS_ACCEPTANCE_20260720.md" TargetMode="External"/><Relationship Id="rId15" Type="http://schemas.openxmlformats.org/officeDocument/2006/relationships/hyperlink" Target="../DOC-000_Standar_Publikasi_Dokumen_Kanonik_v0.2_Published_Canonical_Edition.docx" TargetMode="External"/><Relationship Id="rId16" Type="http://schemas.openxmlformats.org/officeDocument/2006/relationships/hyperlink" Target="../DOC-001_Piagam_Pendirian_Proyek_Ilmiah_v1.0_Published_Canonical_Edition.docx" TargetMode="External"/><Relationship Id="rId17" Type="http://schemas.openxmlformats.org/officeDocument/2006/relationships/hyperlink" Target="../SGF-000_ResearchOS_Scientific_Governance_Framework_v1.0_Published_Canonical_Edition.docx" TargetMode="External"/><Relationship Id="rId18" Type="http://schemas.openxmlformats.org/officeDocument/2006/relationships/hyperlink" Target="../SGF-020_Human_Authority_Decision_Matrix_v1.0_Published_Canonical_Edition.docx" TargetMode="External"/><Relationship Id="rId19" Type="http://schemas.openxmlformats.org/officeDocument/2006/relationships/hyperlink" Target="../../.agents/AGENTS.md" TargetMode="External"/><Relationship Id="rId20" Type="http://schemas.openxmlformats.org/officeDocument/2006/relationships/hyperlink" Target="../REAL_ENVIRONMENT_ACCEPTANCE_POLIC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ResearchOS Project Master Context</dc:title>
  <dc:subject>PMC-000 v1.0 Draft for Human Review</dc:subject>
  <dc:creator>ResearchOS AI-assisted drafting workflow under project-owner direction</dc:creator>
  <cp:keywords>ResearchOS, PMC-000, project context, governance, documentation index</cp:keywords>
  <dc:description>Non-canonical candidate prepared for explicit human review.</dc:description>
  <cp:lastModifiedBy/>
  <cp:revision>1</cp:revision>
  <dcterms:created xsi:type="dcterms:W3CDTF">2013-12-23T23:15:00Z</dcterms:created>
  <dcterms:modified xsi:type="dcterms:W3CDTF">2013-12-23T23:15:00Z</dcterms:modified>
  <cp:category/>
</cp:coreProperties>
</file>