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28"/>
        </w:rPr>
        <w:t>REA-000</w:t>
      </w:r>
    </w:p>
    <w:p>
      <w:pPr>
        <w:spacing w:after="80"/>
      </w:pPr>
      <w:r>
        <w:rPr>
          <w:rFonts w:ascii="Calibri" w:hAnsi="Calibri"/>
          <w:b/>
          <w:color w:val="0B2545"/>
          <w:sz w:val="50"/>
        </w:rPr>
        <w:t>RESEARCHOS ENGINEERING ARCHITECTURE</w:t>
      </w:r>
    </w:p>
    <w:p>
      <w:pPr>
        <w:spacing w:after="320"/>
      </w:pPr>
      <w:r>
        <w:rPr>
          <w:rFonts w:ascii="Calibri" w:hAnsi="Calibri"/>
          <w:color w:val="5A626C"/>
          <w:sz w:val="26"/>
        </w:rPr>
        <w:t>Revision-bound architecture baseline and conformance framework</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700"/>
        <w:gridCol w:w="6660"/>
      </w:tblGrid>
      <w:tr>
        <w:trPr>
          <w:tblHeader w:val="true"/>
        </w:trPr>
        <w:tc>
          <w:tcPr>
            <w:tcW w:type="dxa" w:w="2700"/>
            <w:tcMar>
              <w:top w:w="80" w:type="dxa"/>
              <w:start w:w="120" w:type="dxa"/>
              <w:bottom w:w="80" w:type="dxa"/>
              <w:end w:w="120" w:type="dxa"/>
            </w:tcMar>
            <w:vAlign w:val="top"/>
            <w:shd w:fill="E8EEF5"/>
          </w:tcPr>
          <w:p>
            <w:r>
              <w:rPr>
                <w:b/>
              </w:rPr>
              <w:t>Field</w:t>
            </w:r>
          </w:p>
        </w:tc>
        <w:tc>
          <w:tcPr>
            <w:tcW w:type="dxa" w:w="6660"/>
            <w:tcMar>
              <w:top w:w="80" w:type="dxa"/>
              <w:start w:w="120" w:type="dxa"/>
              <w:bottom w:w="80" w:type="dxa"/>
              <w:end w:w="120" w:type="dxa"/>
            </w:tcMar>
            <w:vAlign w:val="top"/>
            <w:shd w:fill="E8EEF5"/>
          </w:tcPr>
          <w:p>
            <w:r>
              <w:rPr>
                <w:b/>
              </w:rPr>
              <w:t>Value</w:t>
            </w:r>
          </w:p>
        </w:tc>
      </w:tr>
      <w:tr>
        <w:tc>
          <w:tcPr>
            <w:tcW w:type="dxa" w:w="2700"/>
          </w:tcPr>
          <w:p>
            <w:r>
              <w:t>Project</w:t>
            </w:r>
          </w:p>
        </w:tc>
        <w:tc>
          <w:tcPr>
            <w:tcW w:type="dxa" w:w="6660"/>
          </w:tcPr>
          <w:p>
            <w:r>
              <w:t>ResearchOS</w:t>
            </w:r>
          </w:p>
        </w:tc>
      </w:tr>
      <w:tr>
        <w:tc>
          <w:tcPr>
            <w:tcW w:type="dxa" w:w="2700"/>
          </w:tcPr>
          <w:p>
            <w:r>
              <w:t>Document ID</w:t>
            </w:r>
          </w:p>
        </w:tc>
        <w:tc>
          <w:tcPr>
            <w:tcW w:type="dxa" w:w="6660"/>
          </w:tcPr>
          <w:p>
            <w:r>
              <w:t>REA-000</w:t>
            </w:r>
          </w:p>
        </w:tc>
      </w:tr>
      <w:tr>
        <w:tc>
          <w:tcPr>
            <w:tcW w:type="dxa" w:w="2700"/>
          </w:tcPr>
          <w:p>
            <w:r>
              <w:t>Version</w:t>
            </w:r>
          </w:p>
        </w:tc>
        <w:tc>
          <w:tcPr>
            <w:tcW w:type="dxa" w:w="6660"/>
          </w:tcPr>
          <w:p>
            <w:r>
              <w:t>2.1 Draft for Human Review</w:t>
            </w:r>
          </w:p>
        </w:tc>
      </w:tr>
      <w:tr>
        <w:tc>
          <w:tcPr>
            <w:tcW w:type="dxa" w:w="2700"/>
          </w:tcPr>
          <w:p>
            <w:r>
              <w:t>Status</w:t>
            </w:r>
          </w:p>
        </w:tc>
        <w:tc>
          <w:tcPr>
            <w:tcW w:type="dxa" w:w="6660"/>
          </w:tcPr>
          <w:p>
            <w:r>
              <w:t>Candidate; not admitted to the Canonical Document Register</w:t>
            </w:r>
          </w:p>
        </w:tc>
      </w:tr>
      <w:tr>
        <w:tc>
          <w:tcPr>
            <w:tcW w:type="dxa" w:w="2700"/>
          </w:tcPr>
          <w:p>
            <w:r>
              <w:t>Classification</w:t>
            </w:r>
          </w:p>
        </w:tc>
        <w:tc>
          <w:tcPr>
            <w:tcW w:type="dxa" w:w="6660"/>
          </w:tcPr>
          <w:p>
            <w:r>
              <w:t>Engineering Architecture Candidate</w:t>
            </w:r>
          </w:p>
        </w:tc>
      </w:tr>
      <w:tr>
        <w:tc>
          <w:tcPr>
            <w:tcW w:type="dxa" w:w="2700"/>
          </w:tcPr>
          <w:p>
            <w:r>
              <w:t>Repository baseline</w:t>
            </w:r>
          </w:p>
        </w:tc>
        <w:tc>
          <w:tcPr>
            <w:tcW w:type="dxa" w:w="6660"/>
          </w:tcPr>
          <w:p>
            <w:r>
              <w:t>793c9870fa6d521a921c9fb97c5423970c00d6cf</w:t>
            </w:r>
          </w:p>
        </w:tc>
      </w:tr>
      <w:tr>
        <w:tc>
          <w:tcPr>
            <w:tcW w:type="dxa" w:w="2700"/>
          </w:tcPr>
          <w:p>
            <w:r>
              <w:t>Source candidate</w:t>
            </w:r>
          </w:p>
        </w:tc>
        <w:tc>
          <w:tcPr>
            <w:tcW w:type="dxa" w:w="6660"/>
          </w:tcPr>
          <w:p>
            <w:r>
              <w:t>REA-000 v2.0; SHA-256 5b43e57957f5ddd2c21ba5b647d2d1bacb77dc91173beb383d6646bc7c2ba3ef</w:t>
            </w:r>
          </w:p>
        </w:tc>
      </w:tr>
      <w:tr>
        <w:tc>
          <w:tcPr>
            <w:tcW w:type="dxa" w:w="2700"/>
          </w:tcPr>
          <w:p>
            <w:r>
              <w:t>Prepared</w:t>
            </w:r>
          </w:p>
        </w:tc>
        <w:tc>
          <w:tcPr>
            <w:tcW w:type="dxa" w:w="6660"/>
          </w:tcPr>
          <w:p>
            <w:r>
              <w:t>22 July 2026</w:t>
            </w:r>
          </w:p>
        </w:tc>
      </w:tr>
      <w:tr>
        <w:tc>
          <w:tcPr>
            <w:tcW w:type="dxa" w:w="2700"/>
          </w:tcPr>
          <w:p>
            <w:r>
              <w:t>Human decision</w:t>
            </w:r>
          </w:p>
        </w:tc>
        <w:tc>
          <w:tcPr>
            <w:tcW w:type="dxa" w:w="6660"/>
          </w:tcPr>
          <w:p>
            <w:r>
              <w:t>Pending</w:t>
            </w:r>
          </w:p>
        </w:tc>
      </w:tr>
    </w:tbl>
    <w:p>
      <w:pPr>
        <w:spacing w:after="0"/>
      </w:pPr>
    </w:p>
    <w:p>
      <w:pPr>
        <w:spacing w:before="60" w:after="160"/>
        <w:ind w:left="144" w:right="144"/>
        <w:shd w:fill="E8EEF5"/>
        <w:pBdr>
          <w:top w:val="single" w:sz="4" w:space="4" w:color="CCD4DE"/>
          <w:left w:val="single" w:sz="4" w:space="4" w:color="CCD4DE"/>
          <w:bottom w:val="single" w:sz="4" w:space="4" w:color="CCD4DE"/>
          <w:right w:val="single" w:sz="4" w:space="4" w:color="CCD4DE"/>
        </w:pBdr>
      </w:pPr>
      <w:r>
        <w:rPr>
          <w:b/>
        </w:rPr>
        <w:t xml:space="preserve">Review outcome: </w:t>
      </w:r>
      <w:r>
        <w:t>v2.1 resolves semantic and publication blockers identified in the v2.0 Architecture Review. It remains a candidate and does not claim full repository or production conformance.</w:t>
      </w:r>
    </w:p>
    <w:p>
      <w:pPr>
        <w:pStyle w:val="Heading1"/>
        <w:keepNext/>
      </w:pPr>
      <w:r>
        <w:t>Document Navigation</w:t>
      </w:r>
    </w:p>
    <w:p>
      <w:r>
        <w:t>This static contents list mirrors the real Word heading hierarchy.</w:t>
      </w:r>
    </w:p>
    <w:p>
      <w:pPr>
        <w:pStyle w:val="ListBullet"/>
      </w:pPr>
      <w:r>
        <w:t>1. Decision and Authority Boundary</w:t>
      </w:r>
    </w:p>
    <w:p>
      <w:pPr>
        <w:pStyle w:val="ListBullet"/>
      </w:pPr>
      <w:r>
        <w:t>2. Source Hierarchy and Evidence Classes</w:t>
      </w:r>
    </w:p>
    <w:p>
      <w:pPr>
        <w:pStyle w:val="ListBullet"/>
      </w:pPr>
      <w:r>
        <w:t>3. Current Repository Baseline</w:t>
      </w:r>
    </w:p>
    <w:p>
      <w:pPr>
        <w:pStyle w:val="ListBullet"/>
      </w:pPr>
      <w:r>
        <w:t>4. Engineering Architecture Model</w:t>
      </w:r>
    </w:p>
    <w:p>
      <w:pPr>
        <w:pStyle w:val="ListBullet"/>
      </w:pPr>
      <w:r>
        <w:t>5. Mapping to Implemented Architecture Governance</w:t>
      </w:r>
    </w:p>
    <w:p>
      <w:pPr>
        <w:pStyle w:val="ListBullet"/>
      </w:pPr>
      <w:r>
        <w:t>6. Dependency and Contract Constraints</w:t>
      </w:r>
    </w:p>
    <w:p>
      <w:pPr>
        <w:pStyle w:val="ListBullet"/>
      </w:pPr>
      <w:r>
        <w:t>7. Conformance and Audit Model</w:t>
      </w:r>
    </w:p>
    <w:p>
      <w:pPr>
        <w:pStyle w:val="ListBullet"/>
      </w:pPr>
      <w:r>
        <w:t>8. Quality, Verification, and Evolution</w:t>
      </w:r>
    </w:p>
    <w:p>
      <w:pPr>
        <w:pStyle w:val="ListBullet"/>
      </w:pPr>
      <w:r>
        <w:t>9. AI-Assisted Engineering Boundary</w:t>
      </w:r>
    </w:p>
    <w:p>
      <w:pPr>
        <w:pStyle w:val="ListBullet"/>
      </w:pPr>
      <w:r>
        <w:t>10. Gap and Deviation Baseline</w:t>
      </w:r>
    </w:p>
    <w:p>
      <w:pPr>
        <w:pStyle w:val="ListBullet"/>
      </w:pPr>
      <w:r>
        <w:t>11. Candidate Adoption and Change Rule</w:t>
      </w:r>
    </w:p>
    <w:p>
      <w:pPr>
        <w:pStyle w:val="ListBullet"/>
      </w:pPr>
      <w:r>
        <w:t>Appendix A — Candidate Architecture Principles</w:t>
      </w:r>
    </w:p>
    <w:p>
      <w:pPr>
        <w:pStyle w:val="ListBullet"/>
      </w:pPr>
      <w:r>
        <w:t>Appendix B — Review Questions</w:t>
      </w:r>
    </w:p>
    <w:p>
      <w:pPr>
        <w:pStyle w:val="Heading1"/>
        <w:keepNext/>
      </w:pPr>
      <w:r>
        <w:t>1. Decision and Authority Boundary</w:t>
      </w:r>
    </w:p>
    <w:p>
      <w:pPr>
        <w:pStyle w:val="Heading2"/>
        <w:keepNext/>
      </w:pPr>
      <w:r>
        <w:t>1.1 Purpose</w:t>
      </w:r>
    </w:p>
    <w:p>
      <w:r>
        <w:t>REA-000 defines the engineering architecture used to interpret governed requirements as software responsibilities, contracts, dependencies, evidence, and controlled evolution. It is an architecture baseline, not an operational working agreement and not proof of repository conformance.</w:t>
      </w:r>
    </w:p>
    <w:p>
      <w:pPr>
        <w:pStyle w:val="Heading2"/>
        <w:keepNext/>
      </w:pPr>
      <w:r>
        <w:t>1.2 Candidate effect</w:t>
      </w:r>
    </w:p>
    <w:p>
      <w:pPr>
        <w:pStyle w:val="ListBullet"/>
      </w:pPr>
      <w:r>
        <w:t>The document may guide review, audit, gap analysis, and candidate design decisions.</w:t>
      </w:r>
    </w:p>
    <w:p>
      <w:pPr>
        <w:pStyle w:val="ListBullet"/>
      </w:pPr>
      <w:r>
        <w:t>The document does not create scientific truth, governance authority, canonical admission, deployment permission, or production acceptance.</w:t>
      </w:r>
    </w:p>
    <w:p>
      <w:pPr>
        <w:pStyle w:val="ListBullet"/>
      </w:pPr>
      <w:r>
        <w:t>A repository path, filename, repeated practice, test result, or architecture diagram does not create authority by itself.</w:t>
      </w:r>
    </w:p>
    <w:p>
      <w:pPr>
        <w:pStyle w:val="ListBullet"/>
      </w:pPr>
      <w:r>
        <w:t>Canonical effect requires a reviewed representation, explicit human decision, publication record, verified hash, and register admission.</w:t>
      </w:r>
    </w:p>
    <w:p>
      <w:pPr>
        <w:pStyle w:val="Heading2"/>
        <w:keepNext/>
      </w:pPr>
      <w:r>
        <w:t>1.3 Precedence</w:t>
      </w:r>
    </w:p>
    <w:p>
      <w:r>
        <w:t>When sources conflict, the source with authority over the subject applies. REA describes engineering consequences and must not silently restate or supersede upstream authority.</w:t>
      </w:r>
    </w:p>
    <w:p>
      <w:pPr>
        <w:pStyle w:val="Heading1"/>
        <w:keepNext/>
      </w:pPr>
      <w:r>
        <w:t>2. Source Hierarchy and Evidence Classes</w:t>
      </w:r>
    </w:p>
    <w:p>
      <w:pPr>
        <w:pStyle w:val="Heading2"/>
        <w:keepNext/>
      </w:pPr>
      <w:r>
        <w:t>2.1 Governing and operational sources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100"/>
        <w:gridCol w:w="3420"/>
        <w:gridCol w:w="3840"/>
      </w:tblGrid>
      <w:tr>
        <w:trPr>
          <w:tblHeader w:val="true"/>
        </w:trPr>
        <w:tc>
          <w:tcPr>
            <w:tcW w:type="dxa" w:w="2100"/>
            <w:tcMar>
              <w:top w:w="80" w:type="dxa"/>
              <w:start w:w="120" w:type="dxa"/>
              <w:bottom w:w="80" w:type="dxa"/>
              <w:end w:w="120" w:type="dxa"/>
            </w:tcMar>
            <w:vAlign w:val="top"/>
            <w:shd w:fill="E8EEF5"/>
          </w:tcPr>
          <w:p>
            <w:r>
              <w:rPr>
                <w:b/>
              </w:rPr>
              <w:t>Subject</w:t>
            </w:r>
          </w:p>
        </w:tc>
        <w:tc>
          <w:tcPr>
            <w:tcW w:type="dxa" w:w="3420"/>
            <w:tcMar>
              <w:top w:w="80" w:type="dxa"/>
              <w:start w:w="120" w:type="dxa"/>
              <w:bottom w:w="80" w:type="dxa"/>
              <w:end w:w="120" w:type="dxa"/>
            </w:tcMar>
            <w:vAlign w:val="top"/>
            <w:shd w:fill="E8EEF5"/>
          </w:tcPr>
          <w:p>
            <w:r>
              <w:rPr>
                <w:b/>
              </w:rPr>
              <w:t>Source</w:t>
            </w:r>
          </w:p>
        </w:tc>
        <w:tc>
          <w:tcPr>
            <w:tcW w:type="dxa" w:w="3840"/>
            <w:tcMar>
              <w:top w:w="80" w:type="dxa"/>
              <w:start w:w="120" w:type="dxa"/>
              <w:bottom w:w="80" w:type="dxa"/>
              <w:end w:w="120" w:type="dxa"/>
            </w:tcMar>
            <w:vAlign w:val="top"/>
            <w:shd w:fill="E8EEF5"/>
          </w:tcPr>
          <w:p>
            <w:r>
              <w:rPr>
                <w:b/>
              </w:rPr>
              <w:t>REA use</w:t>
            </w:r>
          </w:p>
        </w:tc>
      </w:tr>
      <w:tr>
        <w:tc>
          <w:tcPr>
            <w:tcW w:type="dxa" w:w="2100"/>
          </w:tcPr>
          <w:p>
            <w:r>
              <w:t>Project orientation</w:t>
            </w:r>
          </w:p>
        </w:tc>
        <w:tc>
          <w:tcPr>
            <w:tcW w:type="dxa" w:w="3420"/>
          </w:tcPr>
          <w:p>
            <w:r>
              <w:t>PMC-000</w:t>
            </w:r>
          </w:p>
        </w:tc>
        <w:tc>
          <w:tcPr>
            <w:tcW w:type="dxa" w:w="3840"/>
          </w:tcPr>
          <w:p>
            <w:r>
              <w:t>Canonical navigation and context</w:t>
            </w:r>
          </w:p>
        </w:tc>
      </w:tr>
      <w:tr>
        <w:tc>
          <w:tcPr>
            <w:tcW w:type="dxa" w:w="2100"/>
          </w:tcPr>
          <w:p>
            <w:r>
              <w:t>Publication and admission</w:t>
            </w:r>
          </w:p>
        </w:tc>
        <w:tc>
          <w:tcPr>
            <w:tcW w:type="dxa" w:w="3420"/>
          </w:tcPr>
          <w:p>
            <w:r>
              <w:t>DOC-000 and Canonical Document Register</w:t>
            </w:r>
          </w:p>
        </w:tc>
        <w:tc>
          <w:tcPr>
            <w:tcW w:type="dxa" w:w="3840"/>
          </w:tcPr>
          <w:p>
            <w:r>
              <w:t>Canonical lifecycle and exact representation</w:t>
            </w:r>
          </w:p>
        </w:tc>
      </w:tr>
      <w:tr>
        <w:tc>
          <w:tcPr>
            <w:tcW w:type="dxa" w:w="2100"/>
          </w:tcPr>
          <w:p>
            <w:r>
              <w:t>Project boundary</w:t>
            </w:r>
          </w:p>
        </w:tc>
        <w:tc>
          <w:tcPr>
            <w:tcW w:type="dxa" w:w="3420"/>
          </w:tcPr>
          <w:p>
            <w:r>
              <w:t>DOC-001</w:t>
            </w:r>
          </w:p>
        </w:tc>
        <w:tc>
          <w:tcPr>
            <w:tcW w:type="dxa" w:w="3840"/>
          </w:tcPr>
          <w:p>
            <w:r>
              <w:t>Foundational scientific-project boundary</w:t>
            </w:r>
          </w:p>
        </w:tc>
      </w:tr>
      <w:tr>
        <w:tc>
          <w:tcPr>
            <w:tcW w:type="dxa" w:w="2100"/>
          </w:tcPr>
          <w:p>
            <w:r>
              <w:t>Scientific governance</w:t>
            </w:r>
          </w:p>
        </w:tc>
        <w:tc>
          <w:tcPr>
            <w:tcW w:type="dxa" w:w="3420"/>
          </w:tcPr>
          <w:p>
            <w:r>
              <w:t>SGF-000</w:t>
            </w:r>
          </w:p>
        </w:tc>
        <w:tc>
          <w:tcPr>
            <w:tcW w:type="dxa" w:w="3840"/>
          </w:tcPr>
          <w:p>
            <w:r>
              <w:t>Scientific governance responsibility</w:t>
            </w:r>
          </w:p>
        </w:tc>
      </w:tr>
      <w:tr>
        <w:tc>
          <w:tcPr>
            <w:tcW w:type="dxa" w:w="2100"/>
          </w:tcPr>
          <w:p>
            <w:r>
              <w:t>Human authority</w:t>
            </w:r>
          </w:p>
        </w:tc>
        <w:tc>
          <w:tcPr>
            <w:tcW w:type="dxa" w:w="3420"/>
          </w:tcPr>
          <w:p>
            <w:r>
              <w:t>SGF-020</w:t>
            </w:r>
          </w:p>
        </w:tc>
        <w:tc>
          <w:tcPr>
            <w:tcW w:type="dxa" w:w="3840"/>
          </w:tcPr>
          <w:p>
            <w:r>
              <w:t>Decision and accountability boundary</w:t>
            </w:r>
          </w:p>
        </w:tc>
      </w:tr>
      <w:tr>
        <w:tc>
          <w:tcPr>
            <w:tcW w:type="dxa" w:w="2100"/>
          </w:tcPr>
          <w:p>
            <w:r>
              <w:t>Engineering execution</w:t>
            </w:r>
          </w:p>
        </w:tc>
        <w:tc>
          <w:tcPr>
            <w:tcW w:type="dxa" w:w="3420"/>
          </w:tcPr>
          <w:p>
            <w:r>
              <w:t>AGENTS.md and .agents/AGENTS.md</w:t>
            </w:r>
          </w:p>
        </w:tc>
        <w:tc>
          <w:tcPr>
            <w:tcW w:type="dxa" w:w="3840"/>
          </w:tcPr>
          <w:p>
            <w:r>
              <w:t>Current working agreement</w:t>
            </w:r>
          </w:p>
        </w:tc>
      </w:tr>
      <w:tr>
        <w:tc>
          <w:tcPr>
            <w:tcW w:type="dxa" w:w="2100"/>
          </w:tcPr>
          <w:p>
            <w:r>
              <w:t>Production identity</w:t>
            </w:r>
          </w:p>
        </w:tc>
        <w:tc>
          <w:tcPr>
            <w:tcW w:type="dxa" w:w="3420"/>
          </w:tcPr>
          <w:p>
            <w:r>
              <w:t>deploy/production-registry.json</w:t>
            </w:r>
          </w:p>
        </w:tc>
        <w:tc>
          <w:tcPr>
            <w:tcW w:type="dxa" w:w="3840"/>
          </w:tcPr>
          <w:p>
            <w:r>
              <w:t>Current machine-readable target</w:t>
            </w:r>
          </w:p>
        </w:tc>
      </w:tr>
      <w:tr>
        <w:tc>
          <w:tcPr>
            <w:tcW w:type="dxa" w:w="2100"/>
          </w:tcPr>
          <w:p>
            <w:r>
              <w:t>Acceptance</w:t>
            </w:r>
          </w:p>
        </w:tc>
        <w:tc>
          <w:tcPr>
            <w:tcW w:type="dxa" w:w="3420"/>
          </w:tcPr>
          <w:p>
            <w:r>
              <w:t>Documents/REAL_ENVIRONMENT_ACCEPTANCE_POLICY.md</w:t>
            </w:r>
          </w:p>
        </w:tc>
        <w:tc>
          <w:tcPr>
            <w:tcW w:type="dxa" w:w="3840"/>
          </w:tcPr>
          <w:p>
            <w:r>
              <w:t>Evidence and completion terminology</w:t>
            </w:r>
          </w:p>
        </w:tc>
      </w:tr>
    </w:tbl>
    <w:p>
      <w:pPr>
        <w:spacing w:after="0"/>
      </w:pPr>
    </w:p>
    <w:p>
      <w:r>
        <w:t xml:space="preserve">Repository links: </w:t>
      </w:r>
      <w:hyperlink r:id="rId11">
        <w:r>
          <w:rPr>
            <w:color w:val="0563C1"/>
            <w:u w:val="single"/>
          </w:rPr>
          <w:t>AGENTS.md</w:t>
        </w:r>
      </w:hyperlink>
      <w:r>
        <w:t xml:space="preserve"> | </w:t>
      </w:r>
      <w:hyperlink r:id="rId12">
        <w:r>
          <w:rPr>
            <w:color w:val="0563C1"/>
            <w:u w:val="single"/>
          </w:rPr>
          <w:t>.agents/AGENTS.md</w:t>
        </w:r>
      </w:hyperlink>
      <w:r>
        <w:t xml:space="preserve"> | </w:t>
      </w:r>
      <w:hyperlink r:id="rId13">
        <w:r>
          <w:rPr>
            <w:color w:val="0563C1"/>
            <w:u w:val="single"/>
          </w:rPr>
          <w:t>PMC-000</w:t>
        </w:r>
      </w:hyperlink>
      <w:r>
        <w:t xml:space="preserve"> | </w:t>
      </w:r>
      <w:hyperlink r:id="rId14">
        <w:r>
          <w:rPr>
            <w:color w:val="0563C1"/>
            <w:u w:val="single"/>
          </w:rPr>
          <w:t>Canonical Register</w:t>
        </w:r>
      </w:hyperlink>
      <w:r>
        <w:t xml:space="preserve"> | </w:t>
      </w:r>
      <w:hyperlink r:id="rId15">
        <w:r>
          <w:rPr>
            <w:color w:val="0563C1"/>
            <w:u w:val="single"/>
          </w:rPr>
          <w:t>Production Registry</w:t>
        </w:r>
      </w:hyperlink>
      <w:r>
        <w:t xml:space="preserve"> | </w:t>
      </w:r>
      <w:hyperlink r:id="rId16">
        <w:r>
          <w:rPr>
            <w:color w:val="0563C1"/>
            <w:u w:val="single"/>
          </w:rPr>
          <w:t>Acceptance Policy</w:t>
        </w:r>
      </w:hyperlink>
    </w:p>
    <w:p>
      <w:pPr>
        <w:pStyle w:val="Heading2"/>
        <w:keepNext/>
      </w:pPr>
      <w:r>
        <w:t>2.2 Evidence classes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200"/>
        <w:gridCol w:w="3500"/>
        <w:gridCol w:w="3660"/>
      </w:tblGrid>
      <w:tr>
        <w:trPr>
          <w:tblHeader w:val="true"/>
        </w:trPr>
        <w:tc>
          <w:tcPr>
            <w:tcW w:type="dxa" w:w="2200"/>
            <w:tcMar>
              <w:top w:w="80" w:type="dxa"/>
              <w:start w:w="120" w:type="dxa"/>
              <w:bottom w:w="80" w:type="dxa"/>
              <w:end w:w="120" w:type="dxa"/>
            </w:tcMar>
            <w:vAlign w:val="top"/>
            <w:shd w:fill="E8EEF5"/>
          </w:tcPr>
          <w:p>
            <w:r>
              <w:rPr>
                <w:b/>
              </w:rPr>
              <w:t>Class</w:t>
            </w:r>
          </w:p>
        </w:tc>
        <w:tc>
          <w:tcPr>
            <w:tcW w:type="dxa" w:w="3500"/>
            <w:tcMar>
              <w:top w:w="80" w:type="dxa"/>
              <w:start w:w="120" w:type="dxa"/>
              <w:bottom w:w="80" w:type="dxa"/>
              <w:end w:w="120" w:type="dxa"/>
            </w:tcMar>
            <w:vAlign w:val="top"/>
            <w:shd w:fill="E8EEF5"/>
          </w:tcPr>
          <w:p>
            <w:r>
              <w:rPr>
                <w:b/>
              </w:rPr>
              <w:t>Meaning</w:t>
            </w:r>
          </w:p>
        </w:tc>
        <w:tc>
          <w:tcPr>
            <w:tcW w:type="dxa" w:w="3660"/>
            <w:tcMar>
              <w:top w:w="80" w:type="dxa"/>
              <w:start w:w="120" w:type="dxa"/>
              <w:bottom w:w="80" w:type="dxa"/>
              <w:end w:w="120" w:type="dxa"/>
            </w:tcMar>
            <w:vAlign w:val="top"/>
            <w:shd w:fill="E8EEF5"/>
          </w:tcPr>
          <w:p>
            <w:r>
              <w:rPr>
                <w:b/>
              </w:rPr>
              <w:t>Boundary</w:t>
            </w:r>
          </w:p>
        </w:tc>
      </w:tr>
      <w:tr>
        <w:tc>
          <w:tcPr>
            <w:tcW w:type="dxa" w:w="2200"/>
          </w:tcPr>
          <w:p>
            <w:r>
              <w:t>Documented intent</w:t>
            </w:r>
          </w:p>
        </w:tc>
        <w:tc>
          <w:tcPr>
            <w:tcW w:type="dxa" w:w="3500"/>
          </w:tcPr>
          <w:p>
            <w:r>
              <w:t>Architecture, rule, or target as written</w:t>
            </w:r>
          </w:p>
        </w:tc>
        <w:tc>
          <w:tcPr>
            <w:tcW w:type="dxa" w:w="3660"/>
          </w:tcPr>
          <w:p>
            <w:r>
              <w:t>Does not prove implementation</w:t>
            </w:r>
          </w:p>
        </w:tc>
      </w:tr>
      <w:tr>
        <w:tc>
          <w:tcPr>
            <w:tcW w:type="dxa" w:w="2200"/>
          </w:tcPr>
          <w:p>
            <w:r>
              <w:t>Observed source</w:t>
            </w:r>
          </w:p>
        </w:tc>
        <w:tc>
          <w:tcPr>
            <w:tcW w:type="dxa" w:w="3500"/>
          </w:tcPr>
          <w:p>
            <w:r>
              <w:t>Revision-bound files, symbols, and imports</w:t>
            </w:r>
          </w:p>
        </w:tc>
        <w:tc>
          <w:tcPr>
            <w:tcW w:type="dxa" w:w="3660"/>
          </w:tcPr>
          <w:p>
            <w:r>
              <w:t>Does not prove runtime behavior</w:t>
            </w:r>
          </w:p>
        </w:tc>
      </w:tr>
      <w:tr>
        <w:tc>
          <w:tcPr>
            <w:tcW w:type="dxa" w:w="2200"/>
          </w:tcPr>
          <w:p>
            <w:r>
              <w:t>Local verified</w:t>
            </w:r>
          </w:p>
        </w:tc>
        <w:tc>
          <w:tcPr>
            <w:tcW w:type="dxa" w:w="3500"/>
          </w:tcPr>
          <w:p>
            <w:r>
              <w:t>Actual local UI/API/runtime and persistence evidence</w:t>
            </w:r>
          </w:p>
        </w:tc>
        <w:tc>
          <w:tcPr>
            <w:tcW w:type="dxa" w:w="3660"/>
          </w:tcPr>
          <w:p>
            <w:r>
              <w:t>Does not prove production</w:t>
            </w:r>
          </w:p>
        </w:tc>
      </w:tr>
      <w:tr>
        <w:tc>
          <w:tcPr>
            <w:tcW w:type="dxa" w:w="2200"/>
          </w:tcPr>
          <w:p>
            <w:r>
              <w:t>Production reachable</w:t>
            </w:r>
          </w:p>
        </w:tc>
        <w:tc>
          <w:tcPr>
            <w:tcW w:type="dxa" w:w="3500"/>
          </w:tcPr>
          <w:p>
            <w:r>
              <w:t>Real target responds</w:t>
            </w:r>
          </w:p>
        </w:tc>
        <w:tc>
          <w:tcPr>
            <w:tcW w:type="dxa" w:w="3660"/>
          </w:tcPr>
          <w:p>
            <w:r>
              <w:t>Does not prove complete workflow or persistence</w:t>
            </w:r>
          </w:p>
        </w:tc>
      </w:tr>
      <w:tr>
        <w:tc>
          <w:tcPr>
            <w:tcW w:type="dxa" w:w="2200"/>
          </w:tcPr>
          <w:p>
            <w:r>
              <w:t>Production accepted</w:t>
            </w:r>
          </w:p>
        </w:tc>
        <w:tc>
          <w:tcPr>
            <w:tcW w:type="dxa" w:w="3500"/>
          </w:tcPr>
          <w:p>
            <w:r>
              <w:t>End-to-end target, persistence, and required confirmation</w:t>
            </w:r>
          </w:p>
        </w:tc>
        <w:tc>
          <w:tcPr>
            <w:tcW w:type="dxa" w:w="3660"/>
          </w:tcPr>
          <w:p>
            <w:r>
              <w:t>Bounded to time, revision, target, and scope</w:t>
            </w:r>
          </w:p>
        </w:tc>
      </w:tr>
    </w:tbl>
    <w:p>
      <w:pPr>
        <w:spacing w:after="0"/>
      </w:pPr>
    </w:p>
    <w:p>
      <w:pPr>
        <w:pStyle w:val="Heading1"/>
        <w:keepNext/>
      </w:pPr>
      <w:r>
        <w:t>3. Current Repository Baseline</w:t>
      </w:r>
    </w:p>
    <w:p>
      <w:pPr>
        <w:pStyle w:val="Heading2"/>
        <w:keepNext/>
      </w:pPr>
      <w:r>
        <w:t>3.1 Frozen observation</w:t>
      </w:r>
    </w:p>
    <w:p>
      <w:r>
        <w:t>This candidate is aligned to Git revision 793c9870fa6d521a921c9fb97c5423970c00d6cf. The baseline contains 673 tracked files, including 420 Python files and 108 identified test files. The local architecture test suite completed with 199 passing tests in 34.43 seconds.</w:t>
      </w:r>
    </w:p>
    <w:p>
      <w:pPr>
        <w:spacing w:before="60" w:after="160"/>
        <w:ind w:left="144" w:right="144"/>
        <w:shd w:fill="F2F4F7"/>
        <w:pBdr>
          <w:top w:val="single" w:sz="4" w:space="4" w:color="CCD4DE"/>
          <w:left w:val="single" w:sz="4" w:space="4" w:color="CCD4DE"/>
          <w:bottom w:val="single" w:sz="4" w:space="4" w:color="CCD4DE"/>
          <w:right w:val="single" w:sz="4" w:space="4" w:color="CCD4DE"/>
        </w:pBdr>
      </w:pPr>
      <w:r>
        <w:rPr>
          <w:b/>
        </w:rPr>
        <w:t xml:space="preserve">Evidence limit: </w:t>
      </w:r>
      <w:r>
        <w:t>The passing architecture suite is local evidence for implemented architecture tooling. It does not prove every repository responsibility, production behavior, or REA constraint.</w:t>
      </w:r>
    </w:p>
    <w:p>
      <w:pPr>
        <w:pStyle w:val="Heading2"/>
        <w:keepNext/>
      </w:pPr>
      <w:r>
        <w:t>3.2 Observed topology</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200"/>
        <w:gridCol w:w="3000"/>
        <w:gridCol w:w="4160"/>
      </w:tblGrid>
      <w:tr>
        <w:trPr>
          <w:tblHeader w:val="true"/>
        </w:trPr>
        <w:tc>
          <w:tcPr>
            <w:tcW w:type="dxa" w:w="2200"/>
            <w:tcMar>
              <w:top w:w="80" w:type="dxa"/>
              <w:start w:w="120" w:type="dxa"/>
              <w:bottom w:w="80" w:type="dxa"/>
              <w:end w:w="120" w:type="dxa"/>
            </w:tcMar>
            <w:vAlign w:val="top"/>
            <w:shd w:fill="E8EEF5"/>
          </w:tcPr>
          <w:p>
            <w:r>
              <w:rPr>
                <w:b/>
              </w:rPr>
              <w:t>Responsibility area</w:t>
            </w:r>
          </w:p>
        </w:tc>
        <w:tc>
          <w:tcPr>
            <w:tcW w:type="dxa" w:w="3000"/>
            <w:tcMar>
              <w:top w:w="80" w:type="dxa"/>
              <w:start w:w="120" w:type="dxa"/>
              <w:bottom w:w="80" w:type="dxa"/>
              <w:end w:w="120" w:type="dxa"/>
            </w:tcMar>
            <w:vAlign w:val="top"/>
            <w:shd w:fill="E8EEF5"/>
          </w:tcPr>
          <w:p>
            <w:r>
              <w:rPr>
                <w:b/>
              </w:rPr>
              <w:t>Observed location</w:t>
            </w:r>
          </w:p>
        </w:tc>
        <w:tc>
          <w:tcPr>
            <w:tcW w:type="dxa" w:w="4160"/>
            <w:tcMar>
              <w:top w:w="80" w:type="dxa"/>
              <w:start w:w="120" w:type="dxa"/>
              <w:bottom w:w="80" w:type="dxa"/>
              <w:end w:w="120" w:type="dxa"/>
            </w:tcMar>
            <w:vAlign w:val="top"/>
            <w:shd w:fill="E8EEF5"/>
          </w:tcPr>
          <w:p>
            <w:r>
              <w:rPr>
                <w:b/>
              </w:rPr>
              <w:t>Observed role</w:t>
            </w:r>
          </w:p>
        </w:tc>
      </w:tr>
      <w:tr>
        <w:tc>
          <w:tcPr>
            <w:tcW w:type="dxa" w:w="2200"/>
          </w:tcPr>
          <w:p>
            <w:r>
              <w:t>Application/API</w:t>
            </w:r>
          </w:p>
        </w:tc>
        <w:tc>
          <w:tcPr>
            <w:tcW w:type="dxa" w:w="3000"/>
          </w:tcPr>
          <w:p>
            <w:r>
              <w:t>app.main, app.router, site</w:t>
            </w:r>
          </w:p>
        </w:tc>
        <w:tc>
          <w:tcPr>
            <w:tcW w:type="dxa" w:w="4160"/>
          </w:tcPr>
          <w:p>
            <w:r>
              <w:t>Composition and user-facing transport</w:t>
            </w:r>
          </w:p>
        </w:tc>
      </w:tr>
      <w:tr>
        <w:tc>
          <w:tcPr>
            <w:tcW w:type="dxa" w:w="2200"/>
          </w:tcPr>
          <w:p>
            <w:r>
              <w:t>Scientific capabilities</w:t>
            </w:r>
          </w:p>
        </w:tc>
        <w:tc>
          <w:tcPr>
            <w:tcW w:type="dxa" w:w="3000"/>
          </w:tcPr>
          <w:p>
            <w:r>
              <w:t>app.discovery, app.knowledge, app.modeling</w:t>
            </w:r>
          </w:p>
        </w:tc>
        <w:tc>
          <w:tcPr>
            <w:tcW w:type="dxa" w:w="4160"/>
          </w:tcPr>
          <w:p>
            <w:r>
              <w:t>Discovery, knowledge workflows, models, review and publication</w:t>
            </w:r>
          </w:p>
        </w:tc>
      </w:tr>
      <w:tr>
        <w:tc>
          <w:tcPr>
            <w:tcW w:type="dxa" w:w="2200"/>
          </w:tcPr>
          <w:p>
            <w:r>
              <w:t>Architecture capability</w:t>
            </w:r>
          </w:p>
        </w:tc>
        <w:tc>
          <w:tcPr>
            <w:tcW w:type="dxa" w:w="3000"/>
          </w:tcPr>
          <w:p>
            <w:r>
              <w:t>app.architecture</w:t>
            </w:r>
          </w:p>
        </w:tc>
        <w:tc>
          <w:tcPr>
            <w:tcW w:type="dxa" w:w="4160"/>
          </w:tcPr>
          <w:p>
            <w:r>
              <w:t>Graph, laws, compliance, review, ARC, repository evolution</w:t>
            </w:r>
          </w:p>
        </w:tc>
      </w:tr>
      <w:tr>
        <w:tc>
          <w:tcPr>
            <w:tcW w:type="dxa" w:w="2200"/>
          </w:tcPr>
          <w:p>
            <w:r>
              <w:t>Kernel</w:t>
            </w:r>
          </w:p>
        </w:tc>
        <w:tc>
          <w:tcPr>
            <w:tcW w:type="dxa" w:w="3000"/>
          </w:tcPr>
          <w:p>
            <w:r>
              <w:t>app.kernel</w:t>
            </w:r>
          </w:p>
        </w:tc>
        <w:tc>
          <w:tcPr>
            <w:tcW w:type="dxa" w:w="4160"/>
          </w:tcPr>
          <w:p>
            <w:r>
              <w:t>Minimal shared contracts and execution context</w:t>
            </w:r>
          </w:p>
        </w:tc>
      </w:tr>
      <w:tr>
        <w:tc>
          <w:tcPr>
            <w:tcW w:type="dxa" w:w="2200"/>
          </w:tcPr>
          <w:p>
            <w:r>
              <w:t>Infrastructure</w:t>
            </w:r>
          </w:p>
        </w:tc>
        <w:tc>
          <w:tcPr>
            <w:tcW w:type="dxa" w:w="3000"/>
          </w:tcPr>
          <w:p>
            <w:r>
              <w:t>app.infrastructure</w:t>
            </w:r>
          </w:p>
        </w:tc>
        <w:tc>
          <w:tcPr>
            <w:tcW w:type="dxa" w:w="4160"/>
          </w:tcPr>
          <w:p>
            <w:r>
              <w:t>Database, readiness, AI providers and adapters</w:t>
            </w:r>
          </w:p>
        </w:tc>
      </w:tr>
      <w:tr>
        <w:tc>
          <w:tcPr>
            <w:tcW w:type="dxa" w:w="2200"/>
          </w:tcPr>
          <w:p>
            <w:r>
              <w:t>Runtime/workers</w:t>
            </w:r>
          </w:p>
        </w:tc>
        <w:tc>
          <w:tcPr>
            <w:tcW w:type="dxa" w:w="3000"/>
          </w:tcPr>
          <w:p>
            <w:r>
              <w:t>app.runtime, app.workers</w:t>
            </w:r>
          </w:p>
        </w:tc>
        <w:tc>
          <w:tcPr>
            <w:tcW w:type="dxa" w:w="4160"/>
          </w:tcPr>
          <w:p>
            <w:r>
              <w:t>Routing, execution, retry, jobs and process lifecycle</w:t>
            </w:r>
          </w:p>
        </w:tc>
      </w:tr>
      <w:tr>
        <w:tc>
          <w:tcPr>
            <w:tcW w:type="dxa" w:w="2200"/>
          </w:tcPr>
          <w:p>
            <w:r>
              <w:t>Product</w:t>
            </w:r>
          </w:p>
        </w:tc>
        <w:tc>
          <w:tcPr>
            <w:tcW w:type="dxa" w:w="3000"/>
          </w:tcPr>
          <w:p>
            <w:r>
              <w:t>app.product</w:t>
            </w:r>
          </w:p>
        </w:tc>
        <w:tc>
          <w:tcPr>
            <w:tcW w:type="dxa" w:w="4160"/>
          </w:tcPr>
          <w:p>
            <w:r>
              <w:t>Human workspace sessions and product-facing state</w:t>
            </w:r>
          </w:p>
        </w:tc>
      </w:tr>
      <w:tr>
        <w:tc>
          <w:tcPr>
            <w:tcW w:type="dxa" w:w="2200"/>
          </w:tcPr>
          <w:p>
            <w:r>
              <w:t>Deployment/operations</w:t>
            </w:r>
          </w:p>
        </w:tc>
        <w:tc>
          <w:tcPr>
            <w:tcW w:type="dxa" w:w="3000"/>
          </w:tcPr>
          <w:p>
            <w:r>
              <w:t>deploy, Scripts, .github/workflows</w:t>
            </w:r>
          </w:p>
        </w:tc>
        <w:tc>
          <w:tcPr>
            <w:tcW w:type="dxa" w:w="4160"/>
          </w:tcPr>
          <w:p>
            <w:r>
              <w:t>Composition, release, monitoring, backup and automation</w:t>
            </w:r>
          </w:p>
        </w:tc>
      </w:tr>
    </w:tbl>
    <w:p>
      <w:pPr>
        <w:spacing w:after="0"/>
      </w:pPr>
    </w:p>
    <w:p>
      <w:pPr>
        <w:pStyle w:val="Heading2"/>
        <w:keepNext/>
      </w:pPr>
      <w:r>
        <w:t>3.3 Baseline disposition</w:t>
      </w:r>
    </w:p>
    <w:p>
      <w:r>
        <w:t>The scope-limited repository audit records 8 PASS and 12 PARTIAL dispositions across 20 required areas. No DEVIATING verdict was assigned because the v2.0 candidate was not yet precise enough to support a safe blocking verdict. The overall result is PARTIALLY CONFORMING to the conceptual direction, not a canonical or production acceptance statement.</w:t>
      </w:r>
    </w:p>
    <w:p>
      <w:pPr>
        <w:pStyle w:val="Heading1"/>
        <w:keepNext/>
      </w:pPr>
      <w:r>
        <w:t>4. Engineering Architecture Model</w:t>
      </w:r>
    </w:p>
    <w:p>
      <w:pPr>
        <w:pStyle w:val="Heading2"/>
        <w:keepNext/>
      </w:pPr>
      <w:r>
        <w:t>4.1 Two complementary views</w:t>
      </w:r>
    </w:p>
    <w:p>
      <w:pPr>
        <w:pStyle w:val="ListBullet"/>
      </w:pPr>
      <w:r>
        <w:t>Logical responsibility view: describes ownership, contracts, and allowed dependency direction independent of current folder names.</w:t>
      </w:r>
    </w:p>
    <w:p>
      <w:pPr>
        <w:pStyle w:val="ListBullet"/>
      </w:pPr>
      <w:r>
        <w:t>Physical repository view: records where responsibilities are implemented at an exact revision, including transitional placement and reviewed exceptions.</w:t>
      </w:r>
    </w:p>
    <w:p>
      <w:r>
        <w:t>The logical view may guide evolution. It must not be presented as the physical repository state until supported by audit evidence.</w:t>
      </w:r>
    </w:p>
    <w:p>
      <w:pPr>
        <w:pStyle w:val="Heading2"/>
        <w:keepNext/>
      </w:pPr>
      <w:r>
        <w:t>4.2 Logical responsibility model</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800"/>
        <w:gridCol w:w="2700"/>
        <w:gridCol w:w="2160"/>
        <w:gridCol w:w="2700"/>
      </w:tblGrid>
      <w:tr>
        <w:trPr>
          <w:tblHeader w:val="true"/>
        </w:trPr>
        <w:tc>
          <w:tcPr>
            <w:tcW w:type="dxa" w:w="1800"/>
            <w:tcMar>
              <w:top w:w="80" w:type="dxa"/>
              <w:start w:w="120" w:type="dxa"/>
              <w:bottom w:w="80" w:type="dxa"/>
              <w:end w:w="120" w:type="dxa"/>
            </w:tcMar>
            <w:vAlign w:val="top"/>
            <w:shd w:fill="E8EEF5"/>
          </w:tcPr>
          <w:p>
            <w:r>
              <w:rPr>
                <w:b/>
              </w:rPr>
              <w:t>Layer</w:t>
            </w:r>
          </w:p>
        </w:tc>
        <w:tc>
          <w:tcPr>
            <w:tcW w:type="dxa" w:w="2700"/>
            <w:tcMar>
              <w:top w:w="80" w:type="dxa"/>
              <w:start w:w="120" w:type="dxa"/>
              <w:bottom w:w="80" w:type="dxa"/>
              <w:end w:w="120" w:type="dxa"/>
            </w:tcMar>
            <w:vAlign w:val="top"/>
            <w:shd w:fill="E8EEF5"/>
          </w:tcPr>
          <w:p>
            <w:r>
              <w:rPr>
                <w:b/>
              </w:rPr>
              <w:t>Primary responsibility</w:t>
            </w:r>
          </w:p>
        </w:tc>
        <w:tc>
          <w:tcPr>
            <w:tcW w:type="dxa" w:w="2160"/>
            <w:tcMar>
              <w:top w:w="80" w:type="dxa"/>
              <w:start w:w="120" w:type="dxa"/>
              <w:bottom w:w="80" w:type="dxa"/>
              <w:end w:w="120" w:type="dxa"/>
            </w:tcMar>
            <w:vAlign w:val="top"/>
            <w:shd w:fill="E8EEF5"/>
          </w:tcPr>
          <w:p>
            <w:r>
              <w:rPr>
                <w:b/>
              </w:rPr>
              <w:t>Contract</w:t>
            </w:r>
          </w:p>
        </w:tc>
        <w:tc>
          <w:tcPr>
            <w:tcW w:type="dxa" w:w="2700"/>
            <w:tcMar>
              <w:top w:w="80" w:type="dxa"/>
              <w:start w:w="120" w:type="dxa"/>
              <w:bottom w:w="80" w:type="dxa"/>
              <w:end w:w="120" w:type="dxa"/>
            </w:tcMar>
            <w:vAlign w:val="top"/>
            <w:shd w:fill="E8EEF5"/>
          </w:tcPr>
          <w:p>
            <w:r>
              <w:rPr>
                <w:b/>
              </w:rPr>
              <w:t>Boundary</w:t>
            </w:r>
          </w:p>
        </w:tc>
      </w:tr>
      <w:tr>
        <w:tc>
          <w:tcPr>
            <w:tcW w:type="dxa" w:w="1800"/>
          </w:tcPr>
          <w:p>
            <w:r>
              <w:t>Interfaces and applications</w:t>
            </w:r>
          </w:p>
        </w:tc>
        <w:tc>
          <w:tcPr>
            <w:tcW w:type="dxa" w:w="2700"/>
          </w:tcPr>
          <w:p>
            <w:r>
              <w:t>Presentation, input, transport composition</w:t>
            </w:r>
          </w:p>
        </w:tc>
        <w:tc>
          <w:tcPr>
            <w:tcW w:type="dxa" w:w="2160"/>
          </w:tcPr>
          <w:p>
            <w:r>
              <w:t>Application/use-case contracts</w:t>
            </w:r>
          </w:p>
        </w:tc>
        <w:tc>
          <w:tcPr>
            <w:tcW w:type="dxa" w:w="2700"/>
          </w:tcPr>
          <w:p>
            <w:r>
              <w:t>Must not own persistence or scientific authority</w:t>
            </w:r>
          </w:p>
        </w:tc>
      </w:tr>
      <w:tr>
        <w:tc>
          <w:tcPr>
            <w:tcW w:type="dxa" w:w="1800"/>
          </w:tcPr>
          <w:p>
            <w:r>
              <w:t>Application services</w:t>
            </w:r>
          </w:p>
        </w:tc>
        <w:tc>
          <w:tcPr>
            <w:tcW w:type="dxa" w:w="2700"/>
          </w:tcPr>
          <w:p>
            <w:r>
              <w:t>Use-case orchestration and transaction coordination</w:t>
            </w:r>
          </w:p>
        </w:tc>
        <w:tc>
          <w:tcPr>
            <w:tcW w:type="dxa" w:w="2160"/>
          </w:tcPr>
          <w:p>
            <w:r>
              <w:t>Capability and port contracts</w:t>
            </w:r>
          </w:p>
        </w:tc>
        <w:tc>
          <w:tcPr>
            <w:tcW w:type="dxa" w:w="2700"/>
          </w:tcPr>
          <w:p>
            <w:r>
              <w:t>Must not redefine domain semantics</w:t>
            </w:r>
          </w:p>
        </w:tc>
      </w:tr>
      <w:tr>
        <w:tc>
          <w:tcPr>
            <w:tcW w:type="dxa" w:w="1800"/>
          </w:tcPr>
          <w:p>
            <w:r>
              <w:t>Scientific/platform capabilities</w:t>
            </w:r>
          </w:p>
        </w:tc>
        <w:tc>
          <w:tcPr>
            <w:tcW w:type="dxa" w:w="2700"/>
          </w:tcPr>
          <w:p>
            <w:r>
              <w:t>Bounded functional behavior and evidence</w:t>
            </w:r>
          </w:p>
        </w:tc>
        <w:tc>
          <w:tcPr>
            <w:tcW w:type="dxa" w:w="2160"/>
          </w:tcPr>
          <w:p>
            <w:r>
              <w:t>Explicit public capability contracts</w:t>
            </w:r>
          </w:p>
        </w:tc>
        <w:tc>
          <w:tcPr>
            <w:tcW w:type="dxa" w:w="2700"/>
          </w:tcPr>
          <w:p>
            <w:r>
              <w:t>Private modules are not cross-capability API</w:t>
            </w:r>
          </w:p>
        </w:tc>
      </w:tr>
      <w:tr>
        <w:tc>
          <w:tcPr>
            <w:tcW w:type="dxa" w:w="1800"/>
          </w:tcPr>
          <w:p>
            <w:r>
              <w:t>Kernel/shared contracts</w:t>
            </w:r>
          </w:p>
        </w:tc>
        <w:tc>
          <w:tcPr>
            <w:tcW w:type="dxa" w:w="2700"/>
          </w:tcPr>
          <w:p>
            <w:r>
              <w:t>Minimal stable cross-capability contracts</w:t>
            </w:r>
          </w:p>
        </w:tc>
        <w:tc>
          <w:tcPr>
            <w:tcW w:type="dxa" w:w="2160"/>
          </w:tcPr>
          <w:p>
            <w:r>
              <w:t>Narrow public namespace</w:t>
            </w:r>
          </w:p>
        </w:tc>
        <w:tc>
          <w:tcPr>
            <w:tcW w:type="dxa" w:w="2700"/>
          </w:tcPr>
          <w:p>
            <w:r>
              <w:t>No responsibility dumping ground</w:t>
            </w:r>
          </w:p>
        </w:tc>
      </w:tr>
      <w:tr>
        <w:tc>
          <w:tcPr>
            <w:tcW w:type="dxa" w:w="1800"/>
          </w:tcPr>
          <w:p>
            <w:r>
              <w:t>Ports</w:t>
            </w:r>
          </w:p>
        </w:tc>
        <w:tc>
          <w:tcPr>
            <w:tcW w:type="dxa" w:w="2700"/>
          </w:tcPr>
          <w:p>
            <w:r>
              <w:t>Required external behavior owned upstream</w:t>
            </w:r>
          </w:p>
        </w:tc>
        <w:tc>
          <w:tcPr>
            <w:tcW w:type="dxa" w:w="2160"/>
          </w:tcPr>
          <w:p>
            <w:r>
              <w:t>Interfaces/protocols</w:t>
            </w:r>
          </w:p>
        </w:tc>
        <w:tc>
          <w:tcPr>
            <w:tcW w:type="dxa" w:w="2700"/>
          </w:tcPr>
          <w:p>
            <w:r>
              <w:t>Logical ownership may differ from current path</w:t>
            </w:r>
          </w:p>
        </w:tc>
      </w:tr>
      <w:tr>
        <w:tc>
          <w:tcPr>
            <w:tcW w:type="dxa" w:w="1800"/>
          </w:tcPr>
          <w:p>
            <w:r>
              <w:t>Adapters</w:t>
            </w:r>
          </w:p>
        </w:tc>
        <w:tc>
          <w:tcPr>
            <w:tcW w:type="dxa" w:w="2700"/>
          </w:tcPr>
          <w:p>
            <w:r>
              <w:t>Technology-specific implementation of ports</w:t>
            </w:r>
          </w:p>
        </w:tc>
        <w:tc>
          <w:tcPr>
            <w:tcW w:type="dxa" w:w="2160"/>
          </w:tcPr>
          <w:p>
            <w:r>
              <w:t>PostgreSQL, MinIO, HTTP, AI, monitoring</w:t>
            </w:r>
          </w:p>
        </w:tc>
        <w:tc>
          <w:tcPr>
            <w:tcW w:type="dxa" w:w="2700"/>
          </w:tcPr>
          <w:p>
            <w:r>
              <w:t>Must preserve upstream semantics</w:t>
            </w:r>
          </w:p>
        </w:tc>
      </w:tr>
      <w:tr>
        <w:tc>
          <w:tcPr>
            <w:tcW w:type="dxa" w:w="1800"/>
          </w:tcPr>
          <w:p>
            <w:r>
              <w:t>Runtime and operations</w:t>
            </w:r>
          </w:p>
        </w:tc>
        <w:tc>
          <w:tcPr>
            <w:tcW w:type="dxa" w:w="2700"/>
          </w:tcPr>
          <w:p>
            <w:r>
              <w:t>Composition, execution, deployment, observability, recovery</w:t>
            </w:r>
          </w:p>
        </w:tc>
        <w:tc>
          <w:tcPr>
            <w:tcW w:type="dxa" w:w="2160"/>
          </w:tcPr>
          <w:p>
            <w:r>
              <w:t>Configuration and operational contracts</w:t>
            </w:r>
          </w:p>
        </w:tc>
        <w:tc>
          <w:tcPr>
            <w:tcW w:type="dxa" w:w="2700"/>
          </w:tcPr>
          <w:p>
            <w:r>
              <w:t>Does not create policy or acceptance</w:t>
            </w:r>
          </w:p>
        </w:tc>
      </w:tr>
    </w:tbl>
    <w:p>
      <w:pPr>
        <w:spacing w:after="0"/>
      </w:pPr>
    </w:p>
    <w:p>
      <w:pPr>
        <w:pStyle w:val="Heading2"/>
        <w:keepNext/>
      </w:pPr>
      <w:r>
        <w:t>4.3 Ownership minimum</w:t>
      </w:r>
    </w:p>
    <w:p>
      <w:pPr>
        <w:pStyle w:val="ListBullet"/>
      </w:pPr>
      <w:r>
        <w:t>one identifiable primary responsibility;</w:t>
      </w:r>
    </w:p>
    <w:p>
      <w:pPr>
        <w:pStyle w:val="ListBullet"/>
      </w:pPr>
      <w:r>
        <w:t>an accountable owner or explicit unresolved state;</w:t>
      </w:r>
    </w:p>
    <w:p>
      <w:pPr>
        <w:pStyle w:val="ListBullet"/>
      </w:pPr>
      <w:r>
        <w:t>a public or internal contract where consumers exist;</w:t>
      </w:r>
    </w:p>
    <w:p>
      <w:pPr>
        <w:pStyle w:val="ListBullet"/>
      </w:pPr>
      <w:r>
        <w:t>known dependencies and consumers;</w:t>
      </w:r>
    </w:p>
    <w:p>
      <w:pPr>
        <w:pStyle w:val="ListBullet"/>
      </w:pPr>
      <w:r>
        <w:t>a verification approach;</w:t>
      </w:r>
    </w:p>
    <w:p>
      <w:pPr>
        <w:pStyle w:val="ListBullet"/>
      </w:pPr>
      <w:r>
        <w:t>a revision-bound implementation location;</w:t>
      </w:r>
    </w:p>
    <w:p>
      <w:pPr>
        <w:pStyle w:val="ListBullet"/>
      </w:pPr>
      <w:r>
        <w:t>provenance for material changes.</w:t>
      </w:r>
    </w:p>
    <w:p>
      <w:pPr>
        <w:pStyle w:val="Heading1"/>
        <w:keepNext/>
      </w:pPr>
      <w:r>
        <w:t>5. Mapping to Implemented Architecture Governance</w:t>
      </w:r>
    </w:p>
    <w:p>
      <w:r>
        <w:t>REA reuses the existing architecture-governance implementation. It does not create parallel law, validation, review, or publication systems.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000"/>
        <w:gridCol w:w="3000"/>
        <w:gridCol w:w="1500"/>
        <w:gridCol w:w="2860"/>
      </w:tblGrid>
      <w:tr>
        <w:trPr>
          <w:tblHeader w:val="true"/>
        </w:trPr>
        <w:tc>
          <w:tcPr>
            <w:tcW w:type="dxa" w:w="2000"/>
            <w:tcMar>
              <w:top w:w="80" w:type="dxa"/>
              <w:start w:w="120" w:type="dxa"/>
              <w:bottom w:w="80" w:type="dxa"/>
              <w:end w:w="120" w:type="dxa"/>
            </w:tcMar>
            <w:vAlign w:val="top"/>
            <w:shd w:fill="E8EEF5"/>
          </w:tcPr>
          <w:p>
            <w:r>
              <w:rPr>
                <w:b/>
              </w:rPr>
              <w:t>REA concept</w:t>
            </w:r>
          </w:p>
        </w:tc>
        <w:tc>
          <w:tcPr>
            <w:tcW w:type="dxa" w:w="3000"/>
            <w:tcMar>
              <w:top w:w="80" w:type="dxa"/>
              <w:start w:w="120" w:type="dxa"/>
              <w:bottom w:w="80" w:type="dxa"/>
              <w:end w:w="120" w:type="dxa"/>
            </w:tcMar>
            <w:vAlign w:val="top"/>
            <w:shd w:fill="E8EEF5"/>
          </w:tcPr>
          <w:p>
            <w:r>
              <w:rPr>
                <w:b/>
              </w:rPr>
              <w:t>Implemented ResearchOS contract</w:t>
            </w:r>
          </w:p>
        </w:tc>
        <w:tc>
          <w:tcPr>
            <w:tcW w:type="dxa" w:w="1500"/>
            <w:tcMar>
              <w:top w:w="80" w:type="dxa"/>
              <w:start w:w="120" w:type="dxa"/>
              <w:bottom w:w="80" w:type="dxa"/>
              <w:end w:w="120" w:type="dxa"/>
            </w:tcMar>
            <w:vAlign w:val="top"/>
            <w:shd w:fill="E8EEF5"/>
          </w:tcPr>
          <w:p>
            <w:r>
              <w:rPr>
                <w:b/>
              </w:rPr>
              <w:t>Treatment</w:t>
            </w:r>
          </w:p>
        </w:tc>
        <w:tc>
          <w:tcPr>
            <w:tcW w:type="dxa" w:w="2860"/>
            <w:tcMar>
              <w:top w:w="80" w:type="dxa"/>
              <w:start w:w="120" w:type="dxa"/>
              <w:bottom w:w="80" w:type="dxa"/>
              <w:end w:w="120" w:type="dxa"/>
            </w:tcMar>
            <w:vAlign w:val="top"/>
            <w:shd w:fill="E8EEF5"/>
          </w:tcPr>
          <w:p>
            <w:r>
              <w:rPr>
                <w:b/>
              </w:rPr>
              <w:t>Boundary</w:t>
            </w:r>
          </w:p>
        </w:tc>
      </w:tr>
      <w:tr>
        <w:tc>
          <w:tcPr>
            <w:tcW w:type="dxa" w:w="2000"/>
          </w:tcPr>
          <w:p>
            <w:r>
              <w:t>Engineering artifact observation</w:t>
            </w:r>
          </w:p>
        </w:tc>
        <w:tc>
          <w:tcPr>
            <w:tcW w:type="dxa" w:w="3000"/>
          </w:tcPr>
          <w:p>
            <w:r>
              <w:t>ArchitectureGraph nodes/edges; ArchitectureFact; File Registry</w:t>
            </w:r>
          </w:p>
        </w:tc>
        <w:tc>
          <w:tcPr>
            <w:tcW w:type="dxa" w:w="1500"/>
          </w:tcPr>
          <w:p>
            <w:r>
              <w:t>Reuse</w:t>
            </w:r>
          </w:p>
        </w:tc>
        <w:tc>
          <w:tcPr>
            <w:tcW w:type="dxa" w:w="2860"/>
          </w:tcPr>
          <w:p>
            <w:r>
              <w:t>Revision-bound source representation</w:t>
            </w:r>
          </w:p>
        </w:tc>
      </w:tr>
      <w:tr>
        <w:tc>
          <w:tcPr>
            <w:tcW w:type="dxa" w:w="2000"/>
          </w:tcPr>
          <w:p>
            <w:r>
              <w:t>Candidate architecture constraint</w:t>
            </w:r>
          </w:p>
        </w:tc>
        <w:tc>
          <w:tcPr>
            <w:tcW w:type="dxa" w:w="3000"/>
          </w:tcPr>
          <w:p>
            <w:r>
              <w:t>ArchitectureLaw candidate</w:t>
            </w:r>
          </w:p>
        </w:tc>
        <w:tc>
          <w:tcPr>
            <w:tcW w:type="dxa" w:w="1500"/>
          </w:tcPr>
          <w:p>
            <w:r>
              <w:t>Map before activation</w:t>
            </w:r>
          </w:p>
        </w:tc>
        <w:tc>
          <w:tcPr>
            <w:tcW w:type="dxa" w:w="2860"/>
          </w:tcPr>
          <w:p>
            <w:r>
              <w:t>Not binding until governed and supported</w:t>
            </w:r>
          </w:p>
        </w:tc>
      </w:tr>
      <w:tr>
        <w:tc>
          <w:tcPr>
            <w:tcW w:type="dxa" w:w="2000"/>
          </w:tcPr>
          <w:p>
            <w:r>
              <w:t>Applicable constraint set</w:t>
            </w:r>
          </w:p>
        </w:tc>
        <w:tc>
          <w:tcPr>
            <w:tcW w:type="dxa" w:w="3000"/>
          </w:tcPr>
          <w:p>
            <w:r>
              <w:t>ArchitectureLawBundle and LawResolution</w:t>
            </w:r>
          </w:p>
        </w:tc>
        <w:tc>
          <w:tcPr>
            <w:tcW w:type="dxa" w:w="1500"/>
          </w:tcPr>
          <w:p>
            <w:r>
              <w:t>Reuse</w:t>
            </w:r>
          </w:p>
        </w:tc>
        <w:tc>
          <w:tcPr>
            <w:tcW w:type="dxa" w:w="2860"/>
          </w:tcPr>
          <w:p>
            <w:r>
              <w:t>Content-addressed, contextual resolution</w:t>
            </w:r>
          </w:p>
        </w:tc>
      </w:tr>
      <w:tr>
        <w:tc>
          <w:tcPr>
            <w:tcW w:type="dxa" w:w="2000"/>
          </w:tcPr>
          <w:p>
            <w:r>
              <w:t>Validation evidence</w:t>
            </w:r>
          </w:p>
        </w:tc>
        <w:tc>
          <w:tcPr>
            <w:tcW w:type="dxa" w:w="3000"/>
          </w:tcPr>
          <w:p>
            <w:r>
              <w:t>ArchitectureValidationResult and ComplianceReport</w:t>
            </w:r>
          </w:p>
        </w:tc>
        <w:tc>
          <w:tcPr>
            <w:tcW w:type="dxa" w:w="1500"/>
          </w:tcPr>
          <w:p>
            <w:r>
              <w:t>Reuse</w:t>
            </w:r>
          </w:p>
        </w:tc>
        <w:tc>
          <w:tcPr>
            <w:tcW w:type="dxa" w:w="2860"/>
          </w:tcPr>
          <w:p>
            <w:r>
              <w:t>Preserve implemented result enums</w:t>
            </w:r>
          </w:p>
        </w:tc>
      </w:tr>
      <w:tr>
        <w:tc>
          <w:tcPr>
            <w:tcW w:type="dxa" w:w="2000"/>
          </w:tcPr>
          <w:p>
            <w:r>
              <w:t>Human disposition</w:t>
            </w:r>
          </w:p>
        </w:tc>
        <w:tc>
          <w:tcPr>
            <w:tcW w:type="dxa" w:w="3000"/>
          </w:tcPr>
          <w:p>
            <w:r>
              <w:t>ReviewSession and append-only decisions</w:t>
            </w:r>
          </w:p>
        </w:tc>
        <w:tc>
          <w:tcPr>
            <w:tcW w:type="dxa" w:w="1500"/>
          </w:tcPr>
          <w:p>
            <w:r>
              <w:t>Reuse</w:t>
            </w:r>
          </w:p>
        </w:tc>
        <w:tc>
          <w:tcPr>
            <w:tcW w:type="dxa" w:w="2860"/>
          </w:tcPr>
          <w:p>
            <w:r>
              <w:t>Cannot alter deterministic validator evidence</w:t>
            </w:r>
          </w:p>
        </w:tc>
      </w:tr>
      <w:tr>
        <w:tc>
          <w:tcPr>
            <w:tcW w:type="dxa" w:w="2000"/>
          </w:tcPr>
          <w:p>
            <w:r>
              <w:t>Publication package</w:t>
            </w:r>
          </w:p>
        </w:tc>
        <w:tc>
          <w:tcPr>
            <w:tcW w:type="dxa" w:w="3000"/>
          </w:tcPr>
          <w:p>
            <w:r>
              <w:t>ARC manifest and package</w:t>
            </w:r>
          </w:p>
        </w:tc>
        <w:tc>
          <w:tcPr>
            <w:tcW w:type="dxa" w:w="1500"/>
          </w:tcPr>
          <w:p>
            <w:r>
              <w:t>Reuse</w:t>
            </w:r>
          </w:p>
        </w:tc>
        <w:tc>
          <w:tcPr>
            <w:tcW w:type="dxa" w:w="2860"/>
          </w:tcPr>
          <w:p>
            <w:r>
              <w:t>Requires verified graph, laws, compliance, and review</w:t>
            </w:r>
          </w:p>
        </w:tc>
      </w:tr>
      <w:tr>
        <w:tc>
          <w:tcPr>
            <w:tcW w:type="dxa" w:w="2000"/>
          </w:tcPr>
          <w:p>
            <w:r>
              <w:t>Repository audit aggregation</w:t>
            </w:r>
          </w:p>
        </w:tc>
        <w:tc>
          <w:tcPr>
            <w:tcW w:type="dxa" w:w="3000"/>
          </w:tcPr>
          <w:p>
            <w:r>
              <w:t>REA audit report</w:t>
            </w:r>
          </w:p>
        </w:tc>
        <w:tc>
          <w:tcPr>
            <w:tcW w:type="dxa" w:w="1500"/>
          </w:tcPr>
          <w:p>
            <w:r>
              <w:t>Explanatory extension</w:t>
            </w:r>
          </w:p>
        </w:tc>
        <w:tc>
          <w:tcPr>
            <w:tcW w:type="dxa" w:w="2860"/>
          </w:tcPr>
          <w:p>
            <w:r>
              <w:t>Must cite underlying evidence; no enum replacement</w:t>
            </w:r>
          </w:p>
        </w:tc>
      </w:tr>
    </w:tbl>
    <w:p>
      <w:pPr>
        <w:spacing w:after="0"/>
      </w:pPr>
    </w:p>
    <w:p>
      <w:pPr>
        <w:pStyle w:val="Heading2"/>
        <w:keepNext/>
      </w:pPr>
      <w:r>
        <w:t>5.1 Architecture-law rule</w:t>
      </w:r>
    </w:p>
    <w:p>
      <w:pPr>
        <w:spacing w:before="60" w:after="160"/>
        <w:ind w:left="144" w:right="144"/>
        <w:shd w:fill="E8EEF5"/>
        <w:pBdr>
          <w:top w:val="single" w:sz="4" w:space="4" w:color="CCD4DE"/>
          <w:left w:val="single" w:sz="4" w:space="4" w:color="CCD4DE"/>
          <w:bottom w:val="single" w:sz="4" w:space="4" w:color="CCD4DE"/>
          <w:right w:val="single" w:sz="4" w:space="4" w:color="CCD4DE"/>
        </w:pBdr>
      </w:pPr>
      <w:r>
        <w:rPr>
          <w:b/>
        </w:rPr>
        <w:t xml:space="preserve">No parallel law authority: </w:t>
      </w:r>
      <w:r>
        <w:t>Statements in Appendix A are candidate architecture principles. They must not be assigned an active law identifier or blocking effect until admitted through Architecture Law governance and mapped to deterministic validator capability.</w:t>
      </w:r>
    </w:p>
    <w:p>
      <w:pPr>
        <w:pStyle w:val="Heading1"/>
        <w:keepNext/>
      </w:pPr>
      <w:r>
        <w:t>6. Dependency and Contract Constraints</w:t>
      </w:r>
    </w:p>
    <w:p>
      <w:pPr>
        <w:pStyle w:val="Heading2"/>
        <w:keepNext/>
      </w:pPr>
      <w:r>
        <w:t>6.1 Dependency dimensions</w:t>
      </w:r>
    </w:p>
    <w:p>
      <w:r>
        <w:t>Normative, semantic, software, runtime, data, deployment, verification, and migration dependencies are recorded separately when material. One generic dependency edge must not conceal materially different consequences.</w:t>
      </w:r>
    </w:p>
    <w:p>
      <w:pPr>
        <w:pStyle w:val="Heading2"/>
        <w:keepNext/>
      </w:pPr>
      <w:r>
        <w:t>6.2 Default direction</w:t>
      </w:r>
    </w:p>
    <w:p>
      <w:pPr>
        <w:pStyle w:val="ListBullet"/>
      </w:pPr>
      <w:r>
        <w:t>Interfaces depend on application contracts, not concrete infrastructure internals.</w:t>
      </w:r>
    </w:p>
    <w:p>
      <w:pPr>
        <w:pStyle w:val="ListBullet"/>
      </w:pPr>
      <w:r>
        <w:t>Application services depend on capability contracts and ports.</w:t>
      </w:r>
    </w:p>
    <w:p>
      <w:pPr>
        <w:pStyle w:val="ListBullet"/>
      </w:pPr>
      <w:r>
        <w:t>Capabilities depend on minimal shared contracts only where legitimate.</w:t>
      </w:r>
    </w:p>
    <w:p>
      <w:pPr>
        <w:pStyle w:val="ListBullet"/>
      </w:pPr>
      <w:r>
        <w:t>Adapters implement upstream-owned ports and may depend on concrete technologies.</w:t>
      </w:r>
    </w:p>
    <w:p>
      <w:pPr>
        <w:pStyle w:val="ListBullet"/>
      </w:pPr>
      <w:r>
        <w:t>Composition roots may depend outward to assemble implementations; the exception must remain identifiable.</w:t>
      </w:r>
    </w:p>
    <w:p>
      <w:pPr>
        <w:pStyle w:val="Heading2"/>
        <w:keepNext/>
      </w:pPr>
      <w:r>
        <w:t>6.3 Prohibited or review-required relations</w:t>
      </w:r>
    </w:p>
    <w:p>
      <w:pPr>
        <w:pStyle w:val="ListBullet"/>
      </w:pPr>
      <w:r>
        <w:t>a capability importing another capability's private implementation;</w:t>
      </w:r>
    </w:p>
    <w:p>
      <w:pPr>
        <w:pStyle w:val="ListBullet"/>
      </w:pPr>
      <w:r>
        <w:t>concrete adapters redefining domain, scientific, or governance meaning;</w:t>
      </w:r>
    </w:p>
    <w:p>
      <w:pPr>
        <w:pStyle w:val="ListBullet"/>
      </w:pPr>
      <w:r>
        <w:t>runtime configuration silently changing policy;</w:t>
      </w:r>
    </w:p>
    <w:p>
      <w:pPr>
        <w:pStyle w:val="ListBullet"/>
      </w:pPr>
      <w:r>
        <w:t>tests acting as the only source of a public contract;</w:t>
      </w:r>
    </w:p>
    <w:p>
      <w:pPr>
        <w:pStyle w:val="ListBullet"/>
      </w:pPr>
      <w:r>
        <w:t>hidden cyclic dependencies or service-location dependencies;</w:t>
      </w:r>
    </w:p>
    <w:p>
      <w:pPr>
        <w:pStyle w:val="ListBullet"/>
      </w:pPr>
      <w:r>
        <w:t>production assumptions embedded in domain models;</w:t>
      </w:r>
    </w:p>
    <w:p>
      <w:pPr>
        <w:pStyle w:val="ListBullet"/>
      </w:pPr>
      <w:r>
        <w:t>a package move presented as conformance without consumer and migration analysis.</w:t>
      </w:r>
    </w:p>
    <w:p>
      <w:pPr>
        <w:pStyle w:val="Heading1"/>
        <w:keepNext/>
      </w:pPr>
      <w:r>
        <w:t>7. Conformance and Audit Model</w:t>
      </w:r>
    </w:p>
    <w:p>
      <w:pPr>
        <w:pStyle w:val="Heading2"/>
        <w:keepNext/>
      </w:pPr>
      <w:r>
        <w:t>7.1 Implemented validator results remain authoritative</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900"/>
        <w:gridCol w:w="4000"/>
        <w:gridCol w:w="3460"/>
      </w:tblGrid>
      <w:tr>
        <w:trPr>
          <w:tblHeader w:val="true"/>
        </w:trPr>
        <w:tc>
          <w:tcPr>
            <w:tcW w:type="dxa" w:w="1900"/>
            <w:tcMar>
              <w:top w:w="80" w:type="dxa"/>
              <w:start w:w="120" w:type="dxa"/>
              <w:bottom w:w="80" w:type="dxa"/>
              <w:end w:w="120" w:type="dxa"/>
            </w:tcMar>
            <w:vAlign w:val="top"/>
            <w:shd w:fill="E8EEF5"/>
          </w:tcPr>
          <w:p>
            <w:r>
              <w:rPr>
                <w:b/>
              </w:rPr>
              <w:t>Engine result</w:t>
            </w:r>
          </w:p>
        </w:tc>
        <w:tc>
          <w:tcPr>
            <w:tcW w:type="dxa" w:w="4000"/>
            <w:tcMar>
              <w:top w:w="80" w:type="dxa"/>
              <w:start w:w="120" w:type="dxa"/>
              <w:bottom w:w="80" w:type="dxa"/>
              <w:end w:w="120" w:type="dxa"/>
            </w:tcMar>
            <w:vAlign w:val="top"/>
            <w:shd w:fill="E8EEF5"/>
          </w:tcPr>
          <w:p>
            <w:r>
              <w:rPr>
                <w:b/>
              </w:rPr>
              <w:t>Meaning</w:t>
            </w:r>
          </w:p>
        </w:tc>
        <w:tc>
          <w:tcPr>
            <w:tcW w:type="dxa" w:w="3460"/>
            <w:tcMar>
              <w:top w:w="80" w:type="dxa"/>
              <w:start w:w="120" w:type="dxa"/>
              <w:bottom w:w="80" w:type="dxa"/>
              <w:end w:w="120" w:type="dxa"/>
            </w:tcMar>
            <w:vAlign w:val="top"/>
            <w:shd w:fill="E8EEF5"/>
          </w:tcPr>
          <w:p>
            <w:r>
              <w:rPr>
                <w:b/>
              </w:rPr>
              <w:t>REA treatment</w:t>
            </w:r>
          </w:p>
        </w:tc>
      </w:tr>
      <w:tr>
        <w:tc>
          <w:tcPr>
            <w:tcW w:type="dxa" w:w="1900"/>
          </w:tcPr>
          <w:p>
            <w:r>
              <w:t>PASS</w:t>
            </w:r>
          </w:p>
        </w:tc>
        <w:tc>
          <w:tcPr>
            <w:tcW w:type="dxa" w:w="4000"/>
          </w:tcPr>
          <w:p>
            <w:r>
              <w:t>Supported rule executed and found no violation</w:t>
            </w:r>
          </w:p>
        </w:tc>
        <w:tc>
          <w:tcPr>
            <w:tcW w:type="dxa" w:w="3460"/>
          </w:tcPr>
          <w:p>
            <w:r>
              <w:t>Eligible evidence for aggregation</w:t>
            </w:r>
          </w:p>
        </w:tc>
      </w:tr>
      <w:tr>
        <w:tc>
          <w:tcPr>
            <w:tcW w:type="dxa" w:w="1900"/>
          </w:tcPr>
          <w:p>
            <w:r>
              <w:t>FAIL</w:t>
            </w:r>
          </w:p>
        </w:tc>
        <w:tc>
          <w:tcPr>
            <w:tcW w:type="dxa" w:w="4000"/>
          </w:tcPr>
          <w:p>
            <w:r>
              <w:t>Supported rule found a violation</w:t>
            </w:r>
          </w:p>
        </w:tc>
        <w:tc>
          <w:tcPr>
            <w:tcW w:type="dxa" w:w="3460"/>
          </w:tcPr>
          <w:p>
            <w:r>
              <w:t>Blocks compliant result</w:t>
            </w:r>
          </w:p>
        </w:tc>
      </w:tr>
      <w:tr>
        <w:tc>
          <w:tcPr>
            <w:tcW w:type="dxa" w:w="1900"/>
          </w:tcPr>
          <w:p>
            <w:r>
              <w:t>ERROR</w:t>
            </w:r>
          </w:p>
        </w:tc>
        <w:tc>
          <w:tcPr>
            <w:tcW w:type="dxa" w:w="4000"/>
          </w:tcPr>
          <w:p>
            <w:r>
              <w:t>Rule or execution failed</w:t>
            </w:r>
          </w:p>
        </w:tc>
        <w:tc>
          <w:tcPr>
            <w:tcW w:type="dxa" w:w="3460"/>
          </w:tcPr>
          <w:p>
            <w:r>
              <w:t>Blocks compliant result</w:t>
            </w:r>
          </w:p>
        </w:tc>
      </w:tr>
      <w:tr>
        <w:tc>
          <w:tcPr>
            <w:tcW w:type="dxa" w:w="1900"/>
          </w:tcPr>
          <w:p>
            <w:r>
              <w:t>NOT_RUN</w:t>
            </w:r>
          </w:p>
        </w:tc>
        <w:tc>
          <w:tcPr>
            <w:tcW w:type="dxa" w:w="4000"/>
          </w:tcPr>
          <w:p>
            <w:r>
              <w:t>Required execution did not occur</w:t>
            </w:r>
          </w:p>
        </w:tc>
        <w:tc>
          <w:tcPr>
            <w:tcW w:type="dxa" w:w="3460"/>
          </w:tcPr>
          <w:p>
            <w:r>
              <w:t>Blocks compliant result</w:t>
            </w:r>
          </w:p>
        </w:tc>
      </w:tr>
      <w:tr>
        <w:tc>
          <w:tcPr>
            <w:tcW w:type="dxa" w:w="1900"/>
          </w:tcPr>
          <w:p>
            <w:r>
              <w:t>NOT_IMPLEMENTED</w:t>
            </w:r>
          </w:p>
        </w:tc>
        <w:tc>
          <w:tcPr>
            <w:tcW w:type="dxa" w:w="4000"/>
          </w:tcPr>
          <w:p>
            <w:r>
              <w:t>Validator foundation lacks required inspection</w:t>
            </w:r>
          </w:p>
        </w:tc>
        <w:tc>
          <w:tcPr>
            <w:tcW w:type="dxa" w:w="3460"/>
          </w:tcPr>
          <w:p>
            <w:r>
              <w:t>Blocks compliant result</w:t>
            </w:r>
          </w:p>
        </w:tc>
      </w:tr>
      <w:tr>
        <w:tc>
          <w:tcPr>
            <w:tcW w:type="dxa" w:w="1900"/>
          </w:tcPr>
          <w:p>
            <w:r>
              <w:t>NOT_APPLICABLE</w:t>
            </w:r>
          </w:p>
        </w:tc>
        <w:tc>
          <w:tcPr>
            <w:tcW w:type="dxa" w:w="4000"/>
          </w:tcPr>
          <w:p>
            <w:r>
              <w:t>Rule does not apply to target</w:t>
            </w:r>
          </w:p>
        </w:tc>
        <w:tc>
          <w:tcPr>
            <w:tcW w:type="dxa" w:w="3460"/>
          </w:tcPr>
          <w:p>
            <w:r>
              <w:t>Non-blocking with trace reason</w:t>
            </w:r>
          </w:p>
        </w:tc>
      </w:tr>
    </w:tbl>
    <w:p>
      <w:pPr>
        <w:spacing w:after="0"/>
      </w:pPr>
    </w:p>
    <w:p>
      <w:pPr>
        <w:pStyle w:val="Heading2"/>
        <w:keepNext/>
      </w:pPr>
      <w:r>
        <w:t>7.2 REA audit dispositions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900"/>
        <w:gridCol w:w="4000"/>
        <w:gridCol w:w="3460"/>
      </w:tblGrid>
      <w:tr>
        <w:trPr>
          <w:tblHeader w:val="true"/>
        </w:trPr>
        <w:tc>
          <w:tcPr>
            <w:tcW w:type="dxa" w:w="1900"/>
            <w:tcMar>
              <w:top w:w="80" w:type="dxa"/>
              <w:start w:w="120" w:type="dxa"/>
              <w:bottom w:w="80" w:type="dxa"/>
              <w:end w:w="120" w:type="dxa"/>
            </w:tcMar>
            <w:vAlign w:val="top"/>
            <w:shd w:fill="E8EEF5"/>
          </w:tcPr>
          <w:p>
            <w:r>
              <w:rPr>
                <w:b/>
              </w:rPr>
              <w:t>Audit disposition</w:t>
            </w:r>
          </w:p>
        </w:tc>
        <w:tc>
          <w:tcPr>
            <w:tcW w:type="dxa" w:w="4000"/>
            <w:tcMar>
              <w:top w:w="80" w:type="dxa"/>
              <w:start w:w="120" w:type="dxa"/>
              <w:bottom w:w="80" w:type="dxa"/>
              <w:end w:w="120" w:type="dxa"/>
            </w:tcMar>
            <w:vAlign w:val="top"/>
            <w:shd w:fill="E8EEF5"/>
          </w:tcPr>
          <w:p>
            <w:r>
              <w:rPr>
                <w:b/>
              </w:rPr>
              <w:t>Meaning</w:t>
            </w:r>
          </w:p>
        </w:tc>
        <w:tc>
          <w:tcPr>
            <w:tcW w:type="dxa" w:w="3460"/>
            <w:tcMar>
              <w:top w:w="80" w:type="dxa"/>
              <w:start w:w="120" w:type="dxa"/>
              <w:bottom w:w="80" w:type="dxa"/>
              <w:end w:w="120" w:type="dxa"/>
            </w:tcMar>
            <w:vAlign w:val="top"/>
            <w:shd w:fill="E8EEF5"/>
          </w:tcPr>
          <w:p>
            <w:r>
              <w:rPr>
                <w:b/>
              </w:rPr>
              <w:t>Boundary</w:t>
            </w:r>
          </w:p>
        </w:tc>
      </w:tr>
      <w:tr>
        <w:tc>
          <w:tcPr>
            <w:tcW w:type="dxa" w:w="1900"/>
          </w:tcPr>
          <w:p>
            <w:r>
              <w:t>PASS</w:t>
            </w:r>
          </w:p>
        </w:tc>
        <w:tc>
          <w:tcPr>
            <w:tcW w:type="dxa" w:w="4000"/>
          </w:tcPr>
          <w:p>
            <w:r>
              <w:t>Evidence supports the reviewed responsibility</w:t>
            </w:r>
          </w:p>
        </w:tc>
        <w:tc>
          <w:tcPr>
            <w:tcW w:type="dxa" w:w="3460"/>
          </w:tcPr>
          <w:p>
            <w:r>
              <w:t>Must cite target, revision, and evidence</w:t>
            </w:r>
          </w:p>
        </w:tc>
      </w:tr>
      <w:tr>
        <w:tc>
          <w:tcPr>
            <w:tcW w:type="dxa" w:w="1900"/>
          </w:tcPr>
          <w:p>
            <w:r>
              <w:t>PARTIAL</w:t>
            </w:r>
          </w:p>
        </w:tc>
        <w:tc>
          <w:tcPr>
            <w:tcW w:type="dxa" w:w="4000"/>
          </w:tcPr>
          <w:p>
            <w:r>
              <w:t>Meaningful implementation exists but is incomplete or mixed</w:t>
            </w:r>
          </w:p>
        </w:tc>
        <w:tc>
          <w:tcPr>
            <w:tcW w:type="dxa" w:w="3460"/>
          </w:tcPr>
          <w:p>
            <w:r>
              <w:t>Does not equal engine PASS</w:t>
            </w:r>
          </w:p>
        </w:tc>
      </w:tr>
      <w:tr>
        <w:tc>
          <w:tcPr>
            <w:tcW w:type="dxa" w:w="1900"/>
          </w:tcPr>
          <w:p>
            <w:r>
              <w:t>DEVIATING</w:t>
            </w:r>
          </w:p>
        </w:tc>
        <w:tc>
          <w:tcPr>
            <w:tcW w:type="dxa" w:w="4000"/>
          </w:tcPr>
          <w:p>
            <w:r>
              <w:t>Observed state conflicts with an applicable candidate constraint</w:t>
            </w:r>
          </w:p>
        </w:tc>
        <w:tc>
          <w:tcPr>
            <w:tcW w:type="dxa" w:w="3460"/>
          </w:tcPr>
          <w:p>
            <w:r>
              <w:t>Requires evidence and human review</w:t>
            </w:r>
          </w:p>
        </w:tc>
      </w:tr>
      <w:tr>
        <w:tc>
          <w:tcPr>
            <w:tcW w:type="dxa" w:w="1900"/>
          </w:tcPr>
          <w:p>
            <w:r>
              <w:t>UNVERIFIED</w:t>
            </w:r>
          </w:p>
        </w:tc>
        <w:tc>
          <w:tcPr>
            <w:tcW w:type="dxa" w:w="4000"/>
          </w:tcPr>
          <w:p>
            <w:r>
              <w:t>Evidence is insufficient</w:t>
            </w:r>
          </w:p>
        </w:tc>
        <w:tc>
          <w:tcPr>
            <w:tcW w:type="dxa" w:w="3460"/>
          </w:tcPr>
          <w:p>
            <w:r>
              <w:t>Fail closed for strong claims</w:t>
            </w:r>
          </w:p>
        </w:tc>
      </w:tr>
      <w:tr>
        <w:tc>
          <w:tcPr>
            <w:tcW w:type="dxa" w:w="1900"/>
          </w:tcPr>
          <w:p>
            <w:r>
              <w:t>NOT APPLICABLE</w:t>
            </w:r>
          </w:p>
        </w:tc>
        <w:tc>
          <w:tcPr>
            <w:tcW w:type="dxa" w:w="4000"/>
          </w:tcPr>
          <w:p>
            <w:r>
              <w:t>Criterion does not apply</w:t>
            </w:r>
          </w:p>
        </w:tc>
        <w:tc>
          <w:tcPr>
            <w:tcW w:type="dxa" w:w="3460"/>
          </w:tcPr>
          <w:p>
            <w:r>
              <w:t>Requires rationale</w:t>
            </w:r>
          </w:p>
        </w:tc>
      </w:tr>
    </w:tbl>
    <w:p>
      <w:pPr>
        <w:spacing w:after="0"/>
      </w:pPr>
    </w:p>
    <w:p>
      <w:pPr>
        <w:pStyle w:val="Heading2"/>
        <w:keepNext/>
      </w:pPr>
      <w:r>
        <w:t>7.3 Conformance record minimum</w:t>
      </w:r>
    </w:p>
    <w:p>
      <w:r>
        <w:t>Every material disposition identifies the target, applicable constraint, expected state, observed state, evidence, result, revision, environment, assessment time, limitation, and any deviation or exception reference.</w:t>
      </w:r>
    </w:p>
    <w:p>
      <w:pPr>
        <w:pStyle w:val="Heading1"/>
        <w:keepNext/>
      </w:pPr>
      <w:r>
        <w:t>8. Quality, Verification, and Evolution</w:t>
      </w:r>
    </w:p>
    <w:p>
      <w:pPr>
        <w:pStyle w:val="Heading2"/>
        <w:keepNext/>
      </w:pPr>
      <w:r>
        <w:t>8.1 Proportionate quality profile</w:t>
      </w:r>
    </w:p>
    <w:p>
      <w:r>
        <w:t>Correctness, reliability, security, privacy, auditability, recoverability, maintainability, testability, observability, interoperability, performance, scalability, accessibility, deployability, and migration safety are considered according to risk and scope. Not every change has equal obligations for every attribute.</w:t>
      </w:r>
    </w:p>
    <w:p>
      <w:pPr>
        <w:pStyle w:val="Heading2"/>
        <w:keepNext/>
      </w:pPr>
      <w:r>
        <w:t>8.2 Verification chain</w:t>
      </w:r>
    </w:p>
    <w:p>
      <w:pPr>
        <w:pStyle w:val="ListNumber"/>
      </w:pPr>
      <w:r>
        <w:t>assigned task or requirement;</w:t>
      </w:r>
    </w:p>
    <w:p>
      <w:pPr>
        <w:pStyle w:val="ListNumber"/>
      </w:pPr>
      <w:r>
        <w:t>affected responsibility and contract;</w:t>
      </w:r>
    </w:p>
    <w:p>
      <w:pPr>
        <w:pStyle w:val="ListNumber"/>
      </w:pPr>
      <w:r>
        <w:t>implementation revision;</w:t>
      </w:r>
    </w:p>
    <w:p>
      <w:pPr>
        <w:pStyle w:val="ListNumber"/>
      </w:pPr>
      <w:r>
        <w:t>focused tests;</w:t>
      </w:r>
    </w:p>
    <w:p>
      <w:pPr>
        <w:pStyle w:val="ListNumber"/>
      </w:pPr>
      <w:r>
        <w:t>actual local UI or API verification where applicable;</w:t>
      </w:r>
    </w:p>
    <w:p>
      <w:pPr>
        <w:pStyle w:val="ListNumber"/>
      </w:pPr>
      <w:r>
        <w:t>persistence verification when state changes;</w:t>
      </w:r>
    </w:p>
    <w:p>
      <w:pPr>
        <w:pStyle w:val="ListNumber"/>
      </w:pPr>
      <w:r>
        <w:t>production verification only when authorized and applicable;</w:t>
      </w:r>
    </w:p>
    <w:p>
      <w:pPr>
        <w:pStyle w:val="ListNumber"/>
      </w:pPr>
      <w:r>
        <w:t>acceptance or explicit limitation.</w:t>
      </w:r>
    </w:p>
    <w:p>
      <w:pPr>
        <w:pStyle w:val="Heading2"/>
        <w:keepNext/>
      </w:pPr>
      <w:r>
        <w:t>8.3 Compatibility and migration</w:t>
      </w:r>
    </w:p>
    <w:p>
      <w:r>
        <w:t>A material change identifies consumers, compatibility classification, affected data, order of operations, rollback or repair path, verification, completion evidence, and owner. Released content-addressed artifacts and canonical documents are not silently rewritten.</w:t>
      </w:r>
    </w:p>
    <w:p>
      <w:pPr>
        <w:pStyle w:val="Heading2"/>
        <w:keepNext/>
      </w:pPr>
      <w:r>
        <w:t>8.4 Focused evolution</w:t>
      </w:r>
    </w:p>
    <w:p>
      <w:r>
        <w:t>One engineering change should pursue one bounded primary objective with proportionate tests. This permits multiple files when one contract requires them and prohibits unrelated cleanup from hiding inside an approved change.</w:t>
      </w:r>
    </w:p>
    <w:p>
      <w:pPr>
        <w:pStyle w:val="Heading1"/>
        <w:keepNext/>
      </w:pPr>
      <w:r>
        <w:t>9. AI-Assisted Engineering Boundary</w:t>
      </w:r>
    </w:p>
    <w:p>
      <w:r>
        <w:t>AI may assist analysis, drafting, implementation, testing, debugging, documentation, and conformance explanation. AI output remains untrusted until proportionately reviewed.</w:t>
      </w:r>
    </w:p>
    <w:p>
      <w:pPr>
        <w:pStyle w:val="ListBullet"/>
      </w:pPr>
      <w:r>
        <w:t>AI does not independently authorize work, approve publication, waive a finding, accept production risk, represent a human decision, or claim scientific truth.</w:t>
      </w:r>
    </w:p>
    <w:p>
      <w:pPr>
        <w:pStyle w:val="ListBullet"/>
      </w:pPr>
      <w:r>
        <w:t>Execution and access authority remain in the applicable working agreement; REA states only the architectural requirement for attribution, traceability, and least authority.</w:t>
      </w:r>
    </w:p>
    <w:p>
      <w:pPr>
        <w:pStyle w:val="ListBullet"/>
      </w:pPr>
      <w:r>
        <w:t>Material AI-assisted changes preserve task context, changed files, assumptions, tests, unresolved uncertainty, and accountable human decision where required.</w:t>
      </w:r>
    </w:p>
    <w:p>
      <w:pPr>
        <w:pStyle w:val="Heading1"/>
        <w:keepNext/>
      </w:pPr>
      <w:r>
        <w:t>10. Gap and Deviation Baseline</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500"/>
        <w:gridCol w:w="2700"/>
        <w:gridCol w:w="1100"/>
        <w:gridCol w:w="4060"/>
      </w:tblGrid>
      <w:tr>
        <w:trPr>
          <w:tblHeader w:val="true"/>
        </w:trPr>
        <w:tc>
          <w:tcPr>
            <w:tcW w:type="dxa" w:w="1500"/>
            <w:tcMar>
              <w:top w:w="80" w:type="dxa"/>
              <w:start w:w="120" w:type="dxa"/>
              <w:bottom w:w="80" w:type="dxa"/>
              <w:end w:w="120" w:type="dxa"/>
            </w:tcMar>
            <w:vAlign w:val="top"/>
            <w:shd w:fill="E8EEF5"/>
          </w:tcPr>
          <w:p>
            <w:r>
              <w:rPr>
                <w:b/>
              </w:rPr>
              <w:t>ID</w:t>
            </w:r>
          </w:p>
        </w:tc>
        <w:tc>
          <w:tcPr>
            <w:tcW w:type="dxa" w:w="2700"/>
            <w:tcMar>
              <w:top w:w="80" w:type="dxa"/>
              <w:start w:w="120" w:type="dxa"/>
              <w:bottom w:w="80" w:type="dxa"/>
              <w:end w:w="120" w:type="dxa"/>
            </w:tcMar>
            <w:vAlign w:val="top"/>
            <w:shd w:fill="E8EEF5"/>
          </w:tcPr>
          <w:p>
            <w:r>
              <w:rPr>
                <w:b/>
              </w:rPr>
              <w:t>Gap</w:t>
            </w:r>
          </w:p>
        </w:tc>
        <w:tc>
          <w:tcPr>
            <w:tcW w:type="dxa" w:w="1100"/>
            <w:tcMar>
              <w:top w:w="80" w:type="dxa"/>
              <w:start w:w="120" w:type="dxa"/>
              <w:bottom w:w="80" w:type="dxa"/>
              <w:end w:w="120" w:type="dxa"/>
            </w:tcMar>
            <w:vAlign w:val="top"/>
            <w:shd w:fill="E8EEF5"/>
          </w:tcPr>
          <w:p>
            <w:r>
              <w:rPr>
                <w:b/>
              </w:rPr>
              <w:t>Severity</w:t>
            </w:r>
          </w:p>
        </w:tc>
        <w:tc>
          <w:tcPr>
            <w:tcW w:type="dxa" w:w="4060"/>
            <w:tcMar>
              <w:top w:w="80" w:type="dxa"/>
              <w:start w:w="120" w:type="dxa"/>
              <w:bottom w:w="80" w:type="dxa"/>
              <w:end w:w="120" w:type="dxa"/>
            </w:tcMar>
            <w:vAlign w:val="top"/>
            <w:shd w:fill="E8EEF5"/>
          </w:tcPr>
          <w:p>
            <w:r>
              <w:rPr>
                <w:b/>
              </w:rPr>
              <w:t>Treatment</w:t>
            </w:r>
          </w:p>
        </w:tc>
      </w:tr>
      <w:tr>
        <w:tc>
          <w:tcPr>
            <w:tcW w:type="dxa" w:w="1500"/>
          </w:tcPr>
          <w:p>
            <w:r>
              <w:t>REA-GAP-001</w:t>
            </w:r>
          </w:p>
        </w:tc>
        <w:tc>
          <w:tcPr>
            <w:tcW w:type="dxa" w:w="2700"/>
          </w:tcPr>
          <w:p>
            <w:r>
              <w:t>Parallel law identity</w:t>
            </w:r>
          </w:p>
        </w:tc>
        <w:tc>
          <w:tcPr>
            <w:tcW w:type="dxa" w:w="1100"/>
          </w:tcPr>
          <w:p>
            <w:r>
              <w:t>High</w:t>
            </w:r>
          </w:p>
        </w:tc>
        <w:tc>
          <w:tcPr>
            <w:tcW w:type="dxa" w:w="4060"/>
          </w:tcPr>
          <w:p>
            <w:r>
              <w:t>Use candidate principles; map future laws through implemented governance</w:t>
            </w:r>
          </w:p>
        </w:tc>
      </w:tr>
      <w:tr>
        <w:tc>
          <w:tcPr>
            <w:tcW w:type="dxa" w:w="1500"/>
          </w:tcPr>
          <w:p>
            <w:r>
              <w:t>REA-GAP-002</w:t>
            </w:r>
          </w:p>
        </w:tc>
        <w:tc>
          <w:tcPr>
            <w:tcW w:type="dxa" w:w="2700"/>
          </w:tcPr>
          <w:p>
            <w:r>
              <w:t>Conformance status mismatch</w:t>
            </w:r>
          </w:p>
        </w:tc>
        <w:tc>
          <w:tcPr>
            <w:tcW w:type="dxa" w:w="1100"/>
          </w:tcPr>
          <w:p>
            <w:r>
              <w:t>High</w:t>
            </w:r>
          </w:p>
        </w:tc>
        <w:tc>
          <w:tcPr>
            <w:tcW w:type="dxa" w:w="4060"/>
          </w:tcPr>
          <w:p>
            <w:r>
              <w:t>Preserve engine enums and separate audit aggregation</w:t>
            </w:r>
          </w:p>
        </w:tc>
      </w:tr>
      <w:tr>
        <w:tc>
          <w:tcPr>
            <w:tcW w:type="dxa" w:w="1500"/>
          </w:tcPr>
          <w:p>
            <w:r>
              <w:t>REA-GAP-003</w:t>
            </w:r>
          </w:p>
        </w:tc>
        <w:tc>
          <w:tcPr>
            <w:tcW w:type="dxa" w:w="2700"/>
          </w:tcPr>
          <w:p>
            <w:r>
              <w:t>Operational authority duplication</w:t>
            </w:r>
          </w:p>
        </w:tc>
        <w:tc>
          <w:tcPr>
            <w:tcW w:type="dxa" w:w="1100"/>
          </w:tcPr>
          <w:p>
            <w:r>
              <w:t>High</w:t>
            </w:r>
          </w:p>
        </w:tc>
        <w:tc>
          <w:tcPr>
            <w:tcW w:type="dxa" w:w="4060"/>
          </w:tcPr>
          <w:p>
            <w:r>
              <w:t>Use references and architectural implications only</w:t>
            </w:r>
          </w:p>
        </w:tc>
      </w:tr>
      <w:tr>
        <w:tc>
          <w:tcPr>
            <w:tcW w:type="dxa" w:w="1500"/>
          </w:tcPr>
          <w:p>
            <w:r>
              <w:t>REA-GAP-004</w:t>
            </w:r>
          </w:p>
        </w:tc>
        <w:tc>
          <w:tcPr>
            <w:tcW w:type="dxa" w:w="2700"/>
          </w:tcPr>
          <w:p>
            <w:r>
              <w:t>Logical/physical layer ambiguity</w:t>
            </w:r>
          </w:p>
        </w:tc>
        <w:tc>
          <w:tcPr>
            <w:tcW w:type="dxa" w:w="1100"/>
          </w:tcPr>
          <w:p>
            <w:r>
              <w:t>High</w:t>
            </w:r>
          </w:p>
        </w:tc>
        <w:tc>
          <w:tcPr>
            <w:tcW w:type="dxa" w:w="4060"/>
          </w:tcPr>
          <w:p>
            <w:r>
              <w:t>Maintain two views and explicit composition exceptions</w:t>
            </w:r>
          </w:p>
        </w:tc>
      </w:tr>
      <w:tr>
        <w:tc>
          <w:tcPr>
            <w:tcW w:type="dxa" w:w="1500"/>
          </w:tcPr>
          <w:p>
            <w:r>
              <w:t>REA-GAP-005</w:t>
            </w:r>
          </w:p>
        </w:tc>
        <w:tc>
          <w:tcPr>
            <w:tcW w:type="dxa" w:w="2700"/>
          </w:tcPr>
          <w:p>
            <w:r>
              <w:t>Conceptual model overlap</w:t>
            </w:r>
          </w:p>
        </w:tc>
        <w:tc>
          <w:tcPr>
            <w:tcW w:type="dxa" w:w="1100"/>
          </w:tcPr>
          <w:p>
            <w:r>
              <w:t>High</w:t>
            </w:r>
          </w:p>
        </w:tc>
        <w:tc>
          <w:tcPr>
            <w:tcW w:type="dxa" w:w="4060"/>
          </w:tcPr>
          <w:p>
            <w:r>
              <w:t>Map to Graph, Fact, Law, Report, Review, ARC and repository contracts</w:t>
            </w:r>
          </w:p>
        </w:tc>
      </w:tr>
      <w:tr>
        <w:tc>
          <w:tcPr>
            <w:tcW w:type="dxa" w:w="1500"/>
          </w:tcPr>
          <w:p>
            <w:r>
              <w:t>REA-GAP-006</w:t>
            </w:r>
          </w:p>
        </w:tc>
        <w:tc>
          <w:tcPr>
            <w:tcW w:type="dxa" w:w="2700"/>
          </w:tcPr>
          <w:p>
            <w:r>
              <w:t>Capability ownership baseline</w:t>
            </w:r>
          </w:p>
        </w:tc>
        <w:tc>
          <w:tcPr>
            <w:tcW w:type="dxa" w:w="1100"/>
          </w:tcPr>
          <w:p>
            <w:r>
              <w:t>Medium</w:t>
            </w:r>
          </w:p>
        </w:tc>
        <w:tc>
          <w:tcPr>
            <w:tcW w:type="dxa" w:w="4060"/>
          </w:tcPr>
          <w:p>
            <w:r>
              <w:t>Create revision-bound responsibility map through traceability tooling</w:t>
            </w:r>
          </w:p>
        </w:tc>
      </w:tr>
      <w:tr>
        <w:tc>
          <w:tcPr>
            <w:tcW w:type="dxa" w:w="1500"/>
          </w:tcPr>
          <w:p>
            <w:r>
              <w:t>REA-GAP-007</w:t>
            </w:r>
          </w:p>
        </w:tc>
        <w:tc>
          <w:tcPr>
            <w:tcW w:type="dxa" w:w="2700"/>
          </w:tcPr>
          <w:p>
            <w:r>
              <w:t>Broad services and routers</w:t>
            </w:r>
          </w:p>
        </w:tc>
        <w:tc>
          <w:tcPr>
            <w:tcW w:type="dxa" w:w="1100"/>
          </w:tcPr>
          <w:p>
            <w:r>
              <w:t>Medium</w:t>
            </w:r>
          </w:p>
        </w:tc>
        <w:tc>
          <w:tcPr>
            <w:tcW w:type="dxa" w:w="4060"/>
          </w:tcPr>
          <w:p>
            <w:r>
              <w:t>Use staged compatibility-preserving OFAR work</w:t>
            </w:r>
          </w:p>
        </w:tc>
      </w:tr>
      <w:tr>
        <w:tc>
          <w:tcPr>
            <w:tcW w:type="dxa" w:w="1500"/>
          </w:tcPr>
          <w:p>
            <w:r>
              <w:t>REA-GAP-008</w:t>
            </w:r>
          </w:p>
        </w:tc>
        <w:tc>
          <w:tcPr>
            <w:tcW w:type="dxa" w:w="2700"/>
          </w:tcPr>
          <w:p>
            <w:r>
              <w:t>Transitional port placement</w:t>
            </w:r>
          </w:p>
        </w:tc>
        <w:tc>
          <w:tcPr>
            <w:tcW w:type="dxa" w:w="1100"/>
          </w:tcPr>
          <w:p>
            <w:r>
              <w:t>Medium</w:t>
            </w:r>
          </w:p>
        </w:tc>
        <w:tc>
          <w:tcPr>
            <w:tcW w:type="dxa" w:w="4060"/>
          </w:tcPr>
          <w:p>
            <w:r>
              <w:t>Record ownership independent of path; migrate separately if approved</w:t>
            </w:r>
          </w:p>
        </w:tc>
      </w:tr>
      <w:tr>
        <w:tc>
          <w:tcPr>
            <w:tcW w:type="dxa" w:w="1500"/>
          </w:tcPr>
          <w:p>
            <w:r>
              <w:t>REA-GAP-009</w:t>
            </w:r>
          </w:p>
        </w:tc>
        <w:tc>
          <w:tcPr>
            <w:tcW w:type="dxa" w:w="2700"/>
          </w:tcPr>
          <w:p>
            <w:r>
              <w:t>Production evidence currency</w:t>
            </w:r>
          </w:p>
        </w:tc>
        <w:tc>
          <w:tcPr>
            <w:tcW w:type="dxa" w:w="1100"/>
          </w:tcPr>
          <w:p>
            <w:r>
              <w:t>Medium</w:t>
            </w:r>
          </w:p>
        </w:tc>
        <w:tc>
          <w:tcPr>
            <w:tcW w:type="dxa" w:w="4060"/>
          </w:tcPr>
          <w:p>
            <w:r>
              <w:t>Keep claims time-, target-, and revision-bounded</w:t>
            </w:r>
          </w:p>
        </w:tc>
      </w:tr>
    </w:tbl>
    <w:p>
      <w:pPr>
        <w:spacing w:after="0"/>
      </w:pPr>
    </w:p>
    <w:p>
      <w:pPr>
        <w:pStyle w:val="Heading2"/>
        <w:keepNext/>
      </w:pPr>
      <w:r>
        <w:t>10.1 Current audit summary</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100"/>
        <w:gridCol w:w="1200"/>
        <w:gridCol w:w="6060"/>
      </w:tblGrid>
      <w:tr>
        <w:trPr>
          <w:tblHeader w:val="true"/>
        </w:trPr>
        <w:tc>
          <w:tcPr>
            <w:tcW w:type="dxa" w:w="2100"/>
            <w:tcMar>
              <w:top w:w="80" w:type="dxa"/>
              <w:start w:w="120" w:type="dxa"/>
              <w:bottom w:w="80" w:type="dxa"/>
              <w:end w:w="120" w:type="dxa"/>
            </w:tcMar>
            <w:vAlign w:val="top"/>
            <w:shd w:fill="E8EEF5"/>
          </w:tcPr>
          <w:p>
            <w:r>
              <w:rPr>
                <w:b/>
              </w:rPr>
              <w:t>Disposition</w:t>
            </w:r>
          </w:p>
        </w:tc>
        <w:tc>
          <w:tcPr>
            <w:tcW w:type="dxa" w:w="1200"/>
            <w:tcMar>
              <w:top w:w="80" w:type="dxa"/>
              <w:start w:w="120" w:type="dxa"/>
              <w:bottom w:w="80" w:type="dxa"/>
              <w:end w:w="120" w:type="dxa"/>
            </w:tcMar>
            <w:vAlign w:val="top"/>
            <w:shd w:fill="E8EEF5"/>
          </w:tcPr>
          <w:p>
            <w:r>
              <w:rPr>
                <w:b/>
              </w:rPr>
              <w:t>Count</w:t>
            </w:r>
          </w:p>
        </w:tc>
        <w:tc>
          <w:tcPr>
            <w:tcW w:type="dxa" w:w="6060"/>
            <w:tcMar>
              <w:top w:w="80" w:type="dxa"/>
              <w:start w:w="120" w:type="dxa"/>
              <w:bottom w:w="80" w:type="dxa"/>
              <w:end w:w="120" w:type="dxa"/>
            </w:tcMar>
            <w:vAlign w:val="top"/>
            <w:shd w:fill="E8EEF5"/>
          </w:tcPr>
          <w:p>
            <w:r>
              <w:rPr>
                <w:b/>
              </w:rPr>
              <w:t>Meaning</w:t>
            </w:r>
          </w:p>
        </w:tc>
      </w:tr>
      <w:tr>
        <w:tc>
          <w:tcPr>
            <w:tcW w:type="dxa" w:w="2100"/>
          </w:tcPr>
          <w:p>
            <w:r>
              <w:t>PASS</w:t>
            </w:r>
          </w:p>
        </w:tc>
        <w:tc>
          <w:tcPr>
            <w:tcW w:type="dxa" w:w="1200"/>
          </w:tcPr>
          <w:p>
            <w:r>
              <w:t>8</w:t>
            </w:r>
          </w:p>
        </w:tc>
        <w:tc>
          <w:tcPr>
            <w:tcW w:type="dxa" w:w="6060"/>
          </w:tcPr>
          <w:p>
            <w:r>
              <w:t>Evidence supports the reviewed area at the baseline revision</w:t>
            </w:r>
          </w:p>
        </w:tc>
      </w:tr>
      <w:tr>
        <w:tc>
          <w:tcPr>
            <w:tcW w:type="dxa" w:w="2100"/>
          </w:tcPr>
          <w:p>
            <w:r>
              <w:t>PARTIAL</w:t>
            </w:r>
          </w:p>
        </w:tc>
        <w:tc>
          <w:tcPr>
            <w:tcW w:type="dxa" w:w="1200"/>
          </w:tcPr>
          <w:p>
            <w:r>
              <w:t>12</w:t>
            </w:r>
          </w:p>
        </w:tc>
        <w:tc>
          <w:tcPr>
            <w:tcW w:type="dxa" w:w="6060"/>
          </w:tcPr>
          <w:p>
            <w:r>
              <w:t>Implementation exists but mapping or coverage is incomplete</w:t>
            </w:r>
          </w:p>
        </w:tc>
      </w:tr>
      <w:tr>
        <w:tc>
          <w:tcPr>
            <w:tcW w:type="dxa" w:w="2100"/>
          </w:tcPr>
          <w:p>
            <w:r>
              <w:t>DEVIATING</w:t>
            </w:r>
          </w:p>
        </w:tc>
        <w:tc>
          <w:tcPr>
            <w:tcW w:type="dxa" w:w="1200"/>
          </w:tcPr>
          <w:p>
            <w:r>
              <w:t>0</w:t>
            </w:r>
          </w:p>
        </w:tc>
        <w:tc>
          <w:tcPr>
            <w:tcW w:type="dxa" w:w="6060"/>
          </w:tcPr>
          <w:p>
            <w:r>
              <w:t>No safe blocking deviation assigned in this baseline</w:t>
            </w:r>
          </w:p>
        </w:tc>
      </w:tr>
      <w:tr>
        <w:tc>
          <w:tcPr>
            <w:tcW w:type="dxa" w:w="2100"/>
          </w:tcPr>
          <w:p>
            <w:r>
              <w:t>UNVERIFIED</w:t>
            </w:r>
          </w:p>
        </w:tc>
        <w:tc>
          <w:tcPr>
            <w:tcW w:type="dxa" w:w="1200"/>
          </w:tcPr>
          <w:p>
            <w:r>
              <w:t>0</w:t>
            </w:r>
          </w:p>
        </w:tc>
        <w:tc>
          <w:tcPr>
            <w:tcW w:type="dxa" w:w="6060"/>
          </w:tcPr>
          <w:p>
            <w:r>
              <w:t>All required areas received at least partial evidence</w:t>
            </w:r>
          </w:p>
        </w:tc>
      </w:tr>
    </w:tbl>
    <w:p>
      <w:pPr>
        <w:spacing w:after="0"/>
      </w:pPr>
    </w:p>
    <w:p>
      <w:pPr>
        <w:pStyle w:val="Heading1"/>
        <w:keepNext/>
      </w:pPr>
      <w:r>
        <w:t>11. Candidate Adoption and Change Rule</w:t>
      </w:r>
    </w:p>
    <w:p>
      <w:pPr>
        <w:pStyle w:val="Heading2"/>
        <w:keepNext/>
      </w:pPr>
      <w:r>
        <w:t>11.1 Permitted candidate use</w:t>
      </w:r>
    </w:p>
    <w:p>
      <w:pPr>
        <w:pStyle w:val="ListBullet"/>
      </w:pPr>
      <w:r>
        <w:t>architecture review and repository audit input;</w:t>
      </w:r>
    </w:p>
    <w:p>
      <w:pPr>
        <w:pStyle w:val="ListBullet"/>
      </w:pPr>
      <w:r>
        <w:t>gap and deviation analysis;</w:t>
      </w:r>
    </w:p>
    <w:p>
      <w:pPr>
        <w:pStyle w:val="ListBullet"/>
      </w:pPr>
      <w:r>
        <w:t>planning of separately approved remediation;</w:t>
      </w:r>
    </w:p>
    <w:p>
      <w:pPr>
        <w:pStyle w:val="ListBullet"/>
      </w:pPr>
      <w:r>
        <w:t>Codex context when explicitly labeled candidate;</w:t>
      </w:r>
    </w:p>
    <w:p>
      <w:pPr>
        <w:pStyle w:val="ListBullet"/>
      </w:pPr>
      <w:r>
        <w:t>basis for human ratification review.</w:t>
      </w:r>
    </w:p>
    <w:p>
      <w:pPr>
        <w:pStyle w:val="Heading2"/>
        <w:keepNext/>
      </w:pPr>
      <w:r>
        <w:t>11.2 Conditions before canonical publication</w:t>
      </w:r>
    </w:p>
    <w:p>
      <w:pPr>
        <w:pStyle w:val="ListNumber"/>
        <w:numPr>
          <w:ilvl w:val="0"/>
          <w:numId w:val="10"/>
        </w:numPr>
      </w:pPr>
      <w:r>
        <w:t>Architecture Review and repository audit are preserved with exact hashes and revision.</w:t>
      </w:r>
    </w:p>
    <w:p>
      <w:pPr>
        <w:pStyle w:val="ListNumber"/>
        <w:numPr>
          <w:ilvl w:val="0"/>
          <w:numId w:val="10"/>
        </w:numPr>
      </w:pPr>
      <w:r>
        <w:t>High-severity semantic gaps are resolved or explicitly accepted with bounded effect.</w:t>
      </w:r>
    </w:p>
    <w:p>
      <w:pPr>
        <w:pStyle w:val="ListNumber"/>
        <w:numPr>
          <w:ilvl w:val="0"/>
          <w:numId w:val="10"/>
        </w:numPr>
      </w:pPr>
      <w:r>
        <w:t>The v2.1 candidate passes structural, accessibility, hyperlink, and full render review.</w:t>
      </w:r>
    </w:p>
    <w:p>
      <w:pPr>
        <w:pStyle w:val="ListNumber"/>
        <w:numPr>
          <w:ilvl w:val="0"/>
          <w:numId w:val="10"/>
        </w:numPr>
      </w:pPr>
      <w:r>
        <w:t>An exact candidate hash and human review packet are frozen.</w:t>
      </w:r>
    </w:p>
    <w:p>
      <w:pPr>
        <w:pStyle w:val="ListNumber"/>
        <w:numPr>
          <w:ilvl w:val="0"/>
          <w:numId w:val="10"/>
        </w:numPr>
      </w:pPr>
      <w:r>
        <w:t>The project owner makes an explicit decision on that exact candidate.</w:t>
      </w:r>
    </w:p>
    <w:p>
      <w:pPr>
        <w:pStyle w:val="ListNumber"/>
        <w:numPr>
          <w:ilvl w:val="0"/>
          <w:numId w:val="10"/>
        </w:numPr>
      </w:pPr>
      <w:r>
        <w:t>A separate Published Canonical Edition is produced and verified.</w:t>
      </w:r>
    </w:p>
    <w:p>
      <w:pPr>
        <w:pStyle w:val="ListNumber"/>
        <w:numPr>
          <w:ilvl w:val="0"/>
          <w:numId w:val="10"/>
        </w:numPr>
      </w:pPr>
      <w:r>
        <w:t>The representation, hash, decision record, and scope are entered in the register.</w:t>
      </w:r>
    </w:p>
    <w:p>
      <w:pPr>
        <w:pStyle w:val="Heading2"/>
        <w:keepNext/>
      </w:pPr>
      <w:r>
        <w:t>11.3 Change rule</w:t>
      </w:r>
    </w:p>
    <w:p>
      <w:r>
        <w:t>Candidate correction creates a new candidate hash. After canonical publication, any byte-changing correction requires a new representation and attributable record; substantive amendment requires a new version that preserves history and relationship to its predecessor.</w:t>
      </w:r>
    </w:p>
    <w:p>
      <w:pPr>
        <w:pStyle w:val="Heading1"/>
        <w:keepNext/>
      </w:pPr>
      <w:r>
        <w:t>Appendix A — Candidate Architecture Principles</w:t>
      </w:r>
    </w:p>
    <w:p>
      <w:r>
        <w:t>These are candidate principles, not active Architecture Laws.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500"/>
        <w:gridCol w:w="2400"/>
        <w:gridCol w:w="5460"/>
      </w:tblGrid>
      <w:tr>
        <w:trPr>
          <w:tblHeader w:val="true"/>
        </w:trPr>
        <w:tc>
          <w:tcPr>
            <w:tcW w:type="dxa" w:w="1500"/>
            <w:tcMar>
              <w:top w:w="80" w:type="dxa"/>
              <w:start w:w="120" w:type="dxa"/>
              <w:bottom w:w="80" w:type="dxa"/>
              <w:end w:w="120" w:type="dxa"/>
            </w:tcMar>
            <w:vAlign w:val="top"/>
            <w:shd w:fill="E8EEF5"/>
          </w:tcPr>
          <w:p>
            <w:r>
              <w:rPr>
                <w:b/>
              </w:rPr>
              <w:t>ID</w:t>
            </w:r>
          </w:p>
        </w:tc>
        <w:tc>
          <w:tcPr>
            <w:tcW w:type="dxa" w:w="2400"/>
            <w:tcMar>
              <w:top w:w="80" w:type="dxa"/>
              <w:start w:w="120" w:type="dxa"/>
              <w:bottom w:w="80" w:type="dxa"/>
              <w:end w:w="120" w:type="dxa"/>
            </w:tcMar>
            <w:vAlign w:val="top"/>
            <w:shd w:fill="E8EEF5"/>
          </w:tcPr>
          <w:p>
            <w:r>
              <w:rPr>
                <w:b/>
              </w:rPr>
              <w:t>Name</w:t>
            </w:r>
          </w:p>
        </w:tc>
        <w:tc>
          <w:tcPr>
            <w:tcW w:type="dxa" w:w="5460"/>
            <w:tcMar>
              <w:top w:w="80" w:type="dxa"/>
              <w:start w:w="120" w:type="dxa"/>
              <w:bottom w:w="80" w:type="dxa"/>
              <w:end w:w="120" w:type="dxa"/>
            </w:tcMar>
            <w:vAlign w:val="top"/>
            <w:shd w:fill="E8EEF5"/>
          </w:tcPr>
          <w:p>
            <w:r>
              <w:rPr>
                <w:b/>
              </w:rPr>
              <w:t>Candidate statement</w:t>
            </w:r>
          </w:p>
        </w:tc>
      </w:tr>
      <w:tr>
        <w:tc>
          <w:tcPr>
            <w:tcW w:type="dxa" w:w="1500"/>
          </w:tcPr>
          <w:p>
            <w:r>
              <w:t>REA-P-001</w:t>
            </w:r>
          </w:p>
        </w:tc>
        <w:tc>
          <w:tcPr>
            <w:tcW w:type="dxa" w:w="2400"/>
          </w:tcPr>
          <w:p>
            <w:r>
              <w:t>Evidence before claim</w:t>
            </w:r>
          </w:p>
        </w:tc>
        <w:tc>
          <w:tcPr>
            <w:tcW w:type="dxa" w:w="5460"/>
          </w:tcPr>
          <w:p>
            <w:r>
              <w:t>Engineering claims require evidence appropriate to target, environment, revision, time, and scope.</w:t>
            </w:r>
          </w:p>
        </w:tc>
      </w:tr>
      <w:tr>
        <w:tc>
          <w:tcPr>
            <w:tcW w:type="dxa" w:w="1500"/>
          </w:tcPr>
          <w:p>
            <w:r>
              <w:t>REA-P-002</w:t>
            </w:r>
          </w:p>
        </w:tc>
        <w:tc>
          <w:tcPr>
            <w:tcW w:type="dxa" w:w="2400"/>
          </w:tcPr>
          <w:p>
            <w:r>
              <w:t>Implementation non-authority</w:t>
            </w:r>
          </w:p>
        </w:tc>
        <w:tc>
          <w:tcPr>
            <w:tcW w:type="dxa" w:w="5460"/>
          </w:tcPr>
          <w:p>
            <w:r>
              <w:t>Implementation does not independently create scientific, governance, or publication authority.</w:t>
            </w:r>
          </w:p>
        </w:tc>
      </w:tr>
      <w:tr>
        <w:tc>
          <w:tcPr>
            <w:tcW w:type="dxa" w:w="1500"/>
          </w:tcPr>
          <w:p>
            <w:r>
              <w:t>REA-P-003</w:t>
            </w:r>
          </w:p>
        </w:tc>
        <w:tc>
          <w:tcPr>
            <w:tcW w:type="dxa" w:w="2400"/>
          </w:tcPr>
          <w:p>
            <w:r>
              <w:t>Primary responsibility</w:t>
            </w:r>
          </w:p>
        </w:tc>
        <w:tc>
          <w:tcPr>
            <w:tcW w:type="dxa" w:w="5460"/>
          </w:tcPr>
          <w:p>
            <w:r>
              <w:t>Each material component has one identifiable primary responsibility and accountable owner or unresolved state.</w:t>
            </w:r>
          </w:p>
        </w:tc>
      </w:tr>
      <w:tr>
        <w:tc>
          <w:tcPr>
            <w:tcW w:type="dxa" w:w="1500"/>
          </w:tcPr>
          <w:p>
            <w:r>
              <w:t>REA-P-004</w:t>
            </w:r>
          </w:p>
        </w:tc>
        <w:tc>
          <w:tcPr>
            <w:tcW w:type="dxa" w:w="2400"/>
          </w:tcPr>
          <w:p>
            <w:r>
              <w:t>Public contract boundary</w:t>
            </w:r>
          </w:p>
        </w:tc>
        <w:tc>
          <w:tcPr>
            <w:tcW w:type="dxa" w:w="5460"/>
          </w:tcPr>
          <w:p>
            <w:r>
              <w:t>Cross-component use relies on intentional public contracts rather than private implementation.</w:t>
            </w:r>
          </w:p>
        </w:tc>
      </w:tr>
      <w:tr>
        <w:tc>
          <w:tcPr>
            <w:tcW w:type="dxa" w:w="1500"/>
          </w:tcPr>
          <w:p>
            <w:r>
              <w:t>REA-P-005</w:t>
            </w:r>
          </w:p>
        </w:tc>
        <w:tc>
          <w:tcPr>
            <w:tcW w:type="dxa" w:w="2400"/>
          </w:tcPr>
          <w:p>
            <w:r>
              <w:t>Dependency direction</w:t>
            </w:r>
          </w:p>
        </w:tc>
        <w:tc>
          <w:tcPr>
            <w:tcW w:type="dxa" w:w="5460"/>
          </w:tcPr>
          <w:p>
            <w:r>
              <w:t>Dependencies preserve semantic ownership; concrete infrastructure does not redefine upstream meaning.</w:t>
            </w:r>
          </w:p>
        </w:tc>
      </w:tr>
      <w:tr>
        <w:tc>
          <w:tcPr>
            <w:tcW w:type="dxa" w:w="1500"/>
          </w:tcPr>
          <w:p>
            <w:r>
              <w:t>REA-P-006</w:t>
            </w:r>
          </w:p>
        </w:tc>
        <w:tc>
          <w:tcPr>
            <w:tcW w:type="dxa" w:w="2400"/>
          </w:tcPr>
          <w:p>
            <w:r>
              <w:t>Environment separation</w:t>
            </w:r>
          </w:p>
        </w:tc>
        <w:tc>
          <w:tcPr>
            <w:tcW w:type="dxa" w:w="5460"/>
          </w:tcPr>
          <w:p>
            <w:r>
              <w:t>Simulated, local, staging, reachable production, and accepted production evidence remain distinct.</w:t>
            </w:r>
          </w:p>
        </w:tc>
      </w:tr>
      <w:tr>
        <w:tc>
          <w:tcPr>
            <w:tcW w:type="dxa" w:w="1500"/>
          </w:tcPr>
          <w:p>
            <w:r>
              <w:t>REA-P-007</w:t>
            </w:r>
          </w:p>
        </w:tc>
        <w:tc>
          <w:tcPr>
            <w:tcW w:type="dxa" w:w="2400"/>
          </w:tcPr>
          <w:p>
            <w:r>
              <w:t>Persistence proof</w:t>
            </w:r>
          </w:p>
        </w:tc>
        <w:tc>
          <w:tcPr>
            <w:tcW w:type="dxa" w:w="5460"/>
          </w:tcPr>
          <w:p>
            <w:r>
              <w:t>Stored-state claims require verification appropriate to the affected store and lifecycle.</w:t>
            </w:r>
          </w:p>
        </w:tc>
      </w:tr>
      <w:tr>
        <w:tc>
          <w:tcPr>
            <w:tcW w:type="dxa" w:w="1500"/>
          </w:tcPr>
          <w:p>
            <w:r>
              <w:t>REA-P-008</w:t>
            </w:r>
          </w:p>
        </w:tc>
        <w:tc>
          <w:tcPr>
            <w:tcW w:type="dxa" w:w="2400"/>
          </w:tcPr>
          <w:p>
            <w:r>
              <w:t>Focused change</w:t>
            </w:r>
          </w:p>
        </w:tc>
        <w:tc>
          <w:tcPr>
            <w:tcW w:type="dxa" w:w="5460"/>
          </w:tcPr>
          <w:p>
            <w:r>
              <w:t>Material changes pursue one bounded objective with proportionate tests and explicit impact.</w:t>
            </w:r>
          </w:p>
        </w:tc>
      </w:tr>
      <w:tr>
        <w:tc>
          <w:tcPr>
            <w:tcW w:type="dxa" w:w="1500"/>
          </w:tcPr>
          <w:p>
            <w:r>
              <w:t>REA-P-009</w:t>
            </w:r>
          </w:p>
        </w:tc>
        <w:tc>
          <w:tcPr>
            <w:tcW w:type="dxa" w:w="2400"/>
          </w:tcPr>
          <w:p>
            <w:r>
              <w:t>Contract and deviation visibility</w:t>
            </w:r>
          </w:p>
        </w:tc>
        <w:tc>
          <w:tcPr>
            <w:tcW w:type="dxa" w:w="5460"/>
          </w:tcPr>
          <w:p>
            <w:r>
              <w:t>Contract change, deviation, exception, migration, and limitation remain explicit and traceable.</w:t>
            </w:r>
          </w:p>
        </w:tc>
      </w:tr>
      <w:tr>
        <w:tc>
          <w:tcPr>
            <w:tcW w:type="dxa" w:w="1500"/>
          </w:tcPr>
          <w:p>
            <w:r>
              <w:t>REA-P-010</w:t>
            </w:r>
          </w:p>
        </w:tc>
        <w:tc>
          <w:tcPr>
            <w:tcW w:type="dxa" w:w="2400"/>
          </w:tcPr>
          <w:p>
            <w:r>
              <w:t>AI non-authority</w:t>
            </w:r>
          </w:p>
        </w:tc>
        <w:tc>
          <w:tcPr>
            <w:tcW w:type="dxa" w:w="5460"/>
          </w:tcPr>
          <w:p>
            <w:r>
              <w:t>AI assistance remains attributable, bounded, reviewable, and subordinate to accountable human authority.</w:t>
            </w:r>
          </w:p>
        </w:tc>
      </w:tr>
    </w:tbl>
    <w:p>
      <w:pPr>
        <w:spacing w:after="0"/>
      </w:pPr>
    </w:p>
    <w:p>
      <w:pPr>
        <w:pStyle w:val="Heading1"/>
        <w:keepNext/>
      </w:pPr>
      <w:r>
        <w:t>Appendix B — Review Questions</w:t>
      </w:r>
    </w:p>
    <w:p>
      <w:pPr>
        <w:pStyle w:val="ListBullet"/>
      </w:pPr>
      <w:r>
        <w:t>Does v2.1 preserve upstream governance and working-agreement authority?</w:t>
      </w:r>
    </w:p>
    <w:p>
      <w:pPr>
        <w:pStyle w:val="ListBullet"/>
      </w:pPr>
      <w:r>
        <w:t>Does the logical model improve decisions without pretending to be the physical repository?</w:t>
      </w:r>
    </w:p>
    <w:p>
      <w:pPr>
        <w:pStyle w:val="ListBullet"/>
      </w:pPr>
      <w:r>
        <w:t>Are implemented Architecture Law, validator, review, and ARC contracts reused rather than duplicated?</w:t>
      </w:r>
    </w:p>
    <w:p>
      <w:pPr>
        <w:pStyle w:val="ListBullet"/>
      </w:pPr>
      <w:r>
        <w:t>Are conformance statements testable and evidence-bounded?</w:t>
      </w:r>
    </w:p>
    <w:p>
      <w:pPr>
        <w:pStyle w:val="ListBullet"/>
      </w:pPr>
      <w:r>
        <w:t>Are responsibility and dependency exceptions identifiable?</w:t>
      </w:r>
    </w:p>
    <w:p>
      <w:pPr>
        <w:pStyle w:val="ListBullet"/>
      </w:pPr>
      <w:r>
        <w:t>Are compatibility, migration, persistence, recovery, and production consequences sufficient?</w:t>
      </w:r>
    </w:p>
    <w:p>
      <w:pPr>
        <w:pStyle w:val="ListBullet"/>
      </w:pPr>
      <w:r>
        <w:t>Can the candidate guide staged evolution without authorizing broad refactoring?</w:t>
      </w:r>
    </w:p>
    <w:p>
      <w:pPr>
        <w:pStyle w:val="ListBullet"/>
      </w:pPr>
      <w:r>
        <w:t>Is the exact candidate suitable for human ratification as engineering architecture?</w:t>
      </w:r>
    </w:p>
    <w:p>
      <w:pPr>
        <w:pStyle w:val="Heading1"/>
        <w:keepNext/>
      </w:pPr>
      <w:r>
        <w:t>Candidate Result</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700"/>
        <w:gridCol w:w="6660"/>
      </w:tblGrid>
      <w:tr>
        <w:trPr>
          <w:tblHeader w:val="true"/>
        </w:trPr>
        <w:tc>
          <w:tcPr>
            <w:tcW w:type="dxa" w:w="2700"/>
            <w:tcMar>
              <w:top w:w="80" w:type="dxa"/>
              <w:start w:w="120" w:type="dxa"/>
              <w:bottom w:w="80" w:type="dxa"/>
              <w:end w:w="120" w:type="dxa"/>
            </w:tcMar>
            <w:vAlign w:val="top"/>
            <w:shd w:fill="E8EEF5"/>
          </w:tcPr>
          <w:p>
            <w:r>
              <w:rPr>
                <w:b/>
              </w:rPr>
              <w:t>Field</w:t>
            </w:r>
          </w:p>
        </w:tc>
        <w:tc>
          <w:tcPr>
            <w:tcW w:type="dxa" w:w="6660"/>
            <w:tcMar>
              <w:top w:w="80" w:type="dxa"/>
              <w:start w:w="120" w:type="dxa"/>
              <w:bottom w:w="80" w:type="dxa"/>
              <w:end w:w="120" w:type="dxa"/>
            </w:tcMar>
            <w:vAlign w:val="top"/>
            <w:shd w:fill="E8EEF5"/>
          </w:tcPr>
          <w:p>
            <w:r>
              <w:rPr>
                <w:b/>
              </w:rPr>
              <w:t>Result</w:t>
            </w:r>
          </w:p>
        </w:tc>
      </w:tr>
      <w:tr>
        <w:tc>
          <w:tcPr>
            <w:tcW w:type="dxa" w:w="2700"/>
          </w:tcPr>
          <w:p>
            <w:r>
              <w:t>Document</w:t>
            </w:r>
          </w:p>
        </w:tc>
        <w:tc>
          <w:tcPr>
            <w:tcW w:type="dxa" w:w="6660"/>
          </w:tcPr>
          <w:p>
            <w:r>
              <w:t>REA-000</w:t>
            </w:r>
          </w:p>
        </w:tc>
      </w:tr>
      <w:tr>
        <w:tc>
          <w:tcPr>
            <w:tcW w:type="dxa" w:w="2700"/>
          </w:tcPr>
          <w:p>
            <w:r>
              <w:t>Version</w:t>
            </w:r>
          </w:p>
        </w:tc>
        <w:tc>
          <w:tcPr>
            <w:tcW w:type="dxa" w:w="6660"/>
          </w:tcPr>
          <w:p>
            <w:r>
              <w:t>2.1 Draft for Human Review</w:t>
            </w:r>
          </w:p>
        </w:tc>
      </w:tr>
      <w:tr>
        <w:tc>
          <w:tcPr>
            <w:tcW w:type="dxa" w:w="2700"/>
          </w:tcPr>
          <w:p>
            <w:r>
              <w:t>Architecture Review</w:t>
            </w:r>
          </w:p>
        </w:tc>
        <w:tc>
          <w:tcPr>
            <w:tcW w:type="dxa" w:w="6660"/>
          </w:tcPr>
          <w:p>
            <w:r>
              <w:t>Completed; v2.0 outcome REVISE</w:t>
            </w:r>
          </w:p>
        </w:tc>
      </w:tr>
      <w:tr>
        <w:tc>
          <w:tcPr>
            <w:tcW w:type="dxa" w:w="2700"/>
          </w:tcPr>
          <w:p>
            <w:r>
              <w:t>Repository audit</w:t>
            </w:r>
          </w:p>
        </w:tc>
        <w:tc>
          <w:tcPr>
            <w:tcW w:type="dxa" w:w="6660"/>
          </w:tcPr>
          <w:p>
            <w:r>
              <w:t>Completed as revision-bound baseline; overall PARTIALLY CONFORMING</w:t>
            </w:r>
          </w:p>
        </w:tc>
      </w:tr>
      <w:tr>
        <w:tc>
          <w:tcPr>
            <w:tcW w:type="dxa" w:w="2700"/>
          </w:tcPr>
          <w:p>
            <w:r>
              <w:t>Canonical admission</w:t>
            </w:r>
          </w:p>
        </w:tc>
        <w:tc>
          <w:tcPr>
            <w:tcW w:type="dxa" w:w="6660"/>
          </w:tcPr>
          <w:p>
            <w:r>
              <w:t>NO</w:t>
            </w:r>
          </w:p>
        </w:tc>
      </w:tr>
      <w:tr>
        <w:tc>
          <w:tcPr>
            <w:tcW w:type="dxa" w:w="2700"/>
          </w:tcPr>
          <w:p>
            <w:r>
              <w:t>Ready for human review</w:t>
            </w:r>
          </w:p>
        </w:tc>
        <w:tc>
          <w:tcPr>
            <w:tcW w:type="dxa" w:w="6660"/>
          </w:tcPr>
          <w:p>
            <w:r>
              <w:t>YES</w:t>
            </w:r>
          </w:p>
        </w:tc>
      </w:tr>
      <w:tr>
        <w:tc>
          <w:tcPr>
            <w:tcW w:type="dxa" w:w="2700"/>
          </w:tcPr>
          <w:p>
            <w:r>
              <w:t>Ready for canonical publication</w:t>
            </w:r>
          </w:p>
        </w:tc>
        <w:tc>
          <w:tcPr>
            <w:tcW w:type="dxa" w:w="6660"/>
          </w:tcPr>
          <w:p>
            <w:r>
              <w:t>NO — pending explicit decision and publication lifecycle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t xml:space="preserve">ResearchOS | Candidate — not canonical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C"/>
        <w:sz w:val="18"/>
      </w:rPr>
      <w:t>REA-000 | ResearchOS Engineering Architecture | v2.1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GENTS.md" TargetMode="External"/><Relationship Id="rId12" Type="http://schemas.openxmlformats.org/officeDocument/2006/relationships/hyperlink" Target="../../.agents/AGENTS.md" TargetMode="External"/><Relationship Id="rId13" Type="http://schemas.openxmlformats.org/officeDocument/2006/relationships/hyperlink" Target="../PMC-000_ResearchOS_Project_Master_Context_v1.0_Published_Canonical_Edition.docx" TargetMode="External"/><Relationship Id="rId14" Type="http://schemas.openxmlformats.org/officeDocument/2006/relationships/hyperlink" Target="../CANONICAL_DOCUMENT_REGISTER.md" TargetMode="External"/><Relationship Id="rId15" Type="http://schemas.openxmlformats.org/officeDocument/2006/relationships/hyperlink" Target="../../deploy/production-registry.json" TargetMode="External"/><Relationship Id="rId16" Type="http://schemas.openxmlformats.org/officeDocument/2006/relationships/hyperlink" Target="../REAL_ENVIRONMENT_ACCEPTANCE_POLIC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Engineering Architecture</dc:title>
  <dc:subject>REA-000 v2.1 Draft for Human Review</dc:subject>
  <dc:creator>ResearchOS</dc:creator>
  <cp:keywords/>
  <dc:description>generated by python-docx</dc:description>
  <cp:lastModifiedBy>ResearchOS document workflow</cp:lastModifiedBy>
  <cp:revision>1</cp:revision>
  <dcterms:created xsi:type="dcterms:W3CDTF">2013-12-23T23:15:00Z</dcterms:created>
  <dcterms:modified xsi:type="dcterms:W3CDTF">2013-12-23T23:15:00Z</dcterms:modified>
  <cp:category/>
</cp:coreProperties>
</file>