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360"/>
        <w:jc w:val="center"/>
      </w:pPr>
      <w:r>
        <w:rPr>
          <w:rFonts w:ascii="Calibri" w:hAnsi="Calibri"/>
          <w:b/>
          <w:color w:val="0B2545"/>
          <w:sz w:val="68"/>
        </w:rPr>
        <w:t>SGF-000</w:t>
      </w:r>
    </w:p>
    <w:p>
      <w:pPr>
        <w:spacing w:after="160"/>
        <w:jc w:val="center"/>
      </w:pPr>
      <w:r>
        <w:rPr>
          <w:rFonts w:ascii="Calibri" w:hAnsi="Calibri"/>
          <w:b/>
          <w:color w:val="0B2545"/>
          <w:sz w:val="46"/>
        </w:rPr>
        <w:t>RESEARCHOS SCIENTIFIC</w:t>
        <w:br/>
        <w:t>GOVERNANCE FRAMEWORK</w:t>
      </w:r>
    </w:p>
    <w:p>
      <w:pPr>
        <w:spacing w:after="360"/>
        <w:jc w:val="center"/>
      </w:pPr>
      <w:r>
        <w:rPr>
          <w:rFonts w:ascii="Calibri" w:hAnsi="Calibri"/>
          <w:color w:val="5A626C"/>
          <w:sz w:val="26"/>
        </w:rPr>
        <w:t>Kerangka Induk Tata Kelola Ilmiah ResearchOS</w:t>
      </w:r>
    </w:p>
    <w:p>
      <w:pPr>
        <w:spacing w:after="80"/>
        <w:jc w:val="center"/>
      </w:pPr>
      <w:r>
        <w:rPr>
          <w:rFonts w:ascii="Calibri" w:hAnsi="Calibri"/>
          <w:b/>
          <w:color w:val="2E74B5"/>
          <w:sz w:val="22"/>
        </w:rPr>
        <w:t>Version 1.0</w:t>
      </w:r>
    </w:p>
    <w:p>
      <w:pPr>
        <w:spacing w:after="80"/>
        <w:jc w:val="center"/>
      </w:pPr>
      <w:r>
        <w:rPr>
          <w:rFonts w:ascii="Calibri" w:hAnsi="Calibri"/>
          <w:b/>
          <w:color w:val="2E74B5"/>
          <w:sz w:val="22"/>
        </w:rPr>
        <w:t>Published Canonical Edition</w:t>
      </w:r>
    </w:p>
    <w:p>
      <w:pPr>
        <w:spacing w:after="80"/>
        <w:jc w:val="center"/>
      </w:pPr>
      <w:r>
        <w:rPr>
          <w:rFonts w:ascii="Calibri" w:hAnsi="Calibri"/>
          <w:b w:val="0"/>
          <w:color w:val="5A626C"/>
          <w:sz w:val="22"/>
        </w:rPr>
        <w:t>Ratified by Jumadi | 19 July 2026</w:t>
      </w:r>
    </w:p>
    <w:p>
      <w:pPr>
        <w:spacing w:before="560" w:after="0"/>
        <w:jc w:val="center"/>
      </w:pPr>
      <w:r>
        <w:rPr>
          <w:rFonts w:ascii="Calibri" w:hAnsi="Calibri"/>
          <w:i/>
          <w:color w:val="5A626C"/>
          <w:sz w:val="21"/>
        </w:rPr>
        <w:t>Ratification establishes the SGF document family and dependency order. It does not ratify child standards, planned capabilities, scientific evidence, or theory.</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Status</w:t>
      </w:r>
    </w:p>
    <w:p>
      <w:pPr>
        <w:numPr>
          <w:ilvl w:val="0"/>
          <w:numId w:val="10"/>
        </w:numPr>
        <w:spacing w:after="80" w:line="300" w:lineRule="auto"/>
      </w:pPr>
      <w:r>
        <w:t>Identifier: SGF-000</w:t>
      </w:r>
    </w:p>
    <w:p>
      <w:pPr>
        <w:numPr>
          <w:ilvl w:val="0"/>
          <w:numId w:val="10"/>
        </w:numPr>
        <w:spacing w:after="80" w:line="300" w:lineRule="auto"/>
      </w:pPr>
      <w:r>
        <w:t>Version: 1.0</w:t>
      </w:r>
    </w:p>
    <w:p>
      <w:pPr>
        <w:numPr>
          <w:ilvl w:val="0"/>
          <w:numId w:val="10"/>
        </w:numPr>
        <w:spacing w:after="80" w:line="300" w:lineRule="auto"/>
      </w:pPr>
      <w:r>
        <w:t>Document status: Published Canonical Edition</w:t>
      </w:r>
    </w:p>
    <w:p>
      <w:pPr>
        <w:numPr>
          <w:ilvl w:val="0"/>
          <w:numId w:val="10"/>
        </w:numPr>
        <w:spacing w:after="80" w:line="300" w:lineRule="auto"/>
      </w:pPr>
      <w:r>
        <w:t>Formal ratification status: ratified by Jumadi on 2026-07-19</w:t>
      </w:r>
    </w:p>
    <w:p>
      <w:pPr>
        <w:numPr>
          <w:ilvl w:val="0"/>
          <w:numId w:val="10"/>
        </w:numPr>
        <w:spacing w:after="80" w:line="300" w:lineRule="auto"/>
      </w:pPr>
      <w:r>
        <w:t>Classification: scientific governance framework</w:t>
      </w:r>
    </w:p>
    <w:p>
      <w:pPr>
        <w:numPr>
          <w:ilvl w:val="0"/>
          <w:numId w:val="10"/>
        </w:numPr>
        <w:spacing w:after="80" w:line="300" w:lineRule="auto"/>
      </w:pPr>
      <w:r>
        <w:t>Owner: ResearchOS project</w:t>
      </w:r>
    </w:p>
    <w:p>
      <w:pPr>
        <w:numPr>
          <w:ilvl w:val="0"/>
          <w:numId w:val="10"/>
        </w:numPr>
        <w:spacing w:after="80" w:line="300" w:lineRule="auto"/>
      </w:pPr>
      <w:r>
        <w:t>Authority basis: DOC-000 v0.2 and project-owner governance authority</w:t>
      </w:r>
    </w:p>
    <w:p>
      <w:pPr>
        <w:numPr>
          <w:ilvl w:val="0"/>
          <w:numId w:val="10"/>
        </w:numPr>
        <w:spacing w:after="80" w:line="300" w:lineRule="auto"/>
      </w:pPr>
      <w:r>
        <w:t>Recorded: 2026-07-17</w:t>
      </w:r>
    </w:p>
    <w:p>
      <w:pPr>
        <w:numPr>
          <w:ilvl w:val="0"/>
          <w:numId w:val="10"/>
        </w:numPr>
        <w:spacing w:after="80" w:line="300" w:lineRule="auto"/>
      </w:pPr>
      <w:r>
        <w:t>Reviewed candidate frozen: 2026-07-19</w:t>
      </w:r>
    </w:p>
    <w:p>
      <w:pPr>
        <w:numPr>
          <w:ilvl w:val="0"/>
          <w:numId w:val="10"/>
        </w:numPr>
        <w:spacing w:after="80" w:line="300" w:lineRule="auto"/>
      </w:pPr>
      <w:r>
        <w:t>Reviewed candidate SHA-256: ba77f45a4d2d7ee45f5c14c863dbbe3284f517019361c387d40d22439bca82c7</w:t>
      </w:r>
    </w:p>
    <w:p>
      <w:pPr>
        <w:numPr>
          <w:ilvl w:val="0"/>
          <w:numId w:val="10"/>
        </w:numPr>
        <w:spacing w:after="80" w:line="300" w:lineRule="auto"/>
      </w:pPr>
      <w:r>
        <w:t>Ratifier: Jumadi</w:t>
      </w:r>
    </w:p>
    <w:p>
      <w:pPr>
        <w:numPr>
          <w:ilvl w:val="0"/>
          <w:numId w:val="10"/>
        </w:numPr>
        <w:spacing w:after="80" w:line="300" w:lineRule="auto"/>
      </w:pPr>
      <w:r>
        <w:t>Publication date: 2026-07-19</w:t>
      </w:r>
    </w:p>
    <w:p>
      <w:pPr>
        <w:numPr>
          <w:ilvl w:val="0"/>
          <w:numId w:val="10"/>
        </w:numPr>
        <w:spacing w:after="80" w:line="300" w:lineRule="auto"/>
      </w:pPr>
      <w:r>
        <w:t>Scope: long-term scientific governance hierarchy and document family</w:t>
      </w:r>
    </w:p>
    <w:p>
      <w:pPr>
        <w:numPr>
          <w:ilvl w:val="0"/>
          <w:numId w:val="10"/>
        </w:numPr>
        <w:spacing w:after="80" w:line="300" w:lineRule="auto"/>
      </w:pPr>
      <w:r>
        <w:t>Child standards: SGF-010 through SGF-100</w:t>
      </w:r>
    </w:p>
    <w:p>
      <w:pPr>
        <w:numPr>
          <w:ilvl w:val="0"/>
          <w:numId w:val="10"/>
        </w:numPr>
        <w:spacing w:after="80" w:line="300" w:lineRule="auto"/>
      </w:pPr>
      <w:r>
        <w:t>Related documents: Documents/RESEARCHOS_VISION.md, Documents/RESPONSIBLE_EVOLUTION_VISION.md, Documents/SCIENTIFIC_INTERFACE_VISION.md, and Documents/ARCHITECTURE_GOVERNANCE.md</w:t>
      </w:r>
    </w:p>
    <w:p>
      <w:r>
        <w:t>Dokumen SGF-000 menyimpan kerangka kanonik jangka panjang untuk tata kelola ilmiah ResearchOS. Ia menetapkan keluarga dokumen, urutan dependensi, dan posisinya terhadap metodologi, arsitektur, serta implementasi.</w:t>
      </w:r>
    </w:p>
    <w:p>
      <w:r>
        <w:t>SGF-000 tidak meratifikasi isi rinci setiap standar turunannya. SGF-010 dan SGF-050 sampai SGF-100 berstatus direncanakan. SGF-020, SGF-030, dan SGF-040 telah disusun sebagai project-owner-directed operational standards, tetapi masing-masing memerlukan human review dan keputusan ratifikasi tersendiri di bawah DOC-000. Kode dan kontrak kanonik yang sudah ada tetap menjadi Single Source of Truth untuk perilaku sistem yang telah diimplementasikan.</w:t>
      </w:r>
    </w:p>
    <w:p>
      <w:pPr>
        <w:pStyle w:val="Heading1"/>
      </w:pPr>
      <w:r>
        <w:t>Tujuan</w:t>
      </w:r>
    </w:p>
    <w:p>
      <w:r>
        <w:t>ResearchOS memerlukan tata kelola yang mengatur ilmu pengetahuan yang dijalankan oleh perangkat lunak, bukan hanya tata kelola yang memastikan perangkat lunaknya berkembang dengan benar.</w:t>
      </w:r>
    </w:p>
    <w:p>
      <w:r>
        <w:t>Posisi konseptual kerangka ini adalah:</w:t>
      </w:r>
    </w:p>
    <w:p>
      <w:pPr>
        <w:spacing w:before="80" w:after="160" w:line="240" w:lineRule="auto"/>
        <w:ind w:left="360" w:right="216"/>
      </w:pPr>
      <w:r>
        <w:rPr>
          <w:rFonts w:ascii="Consolas" w:hAnsi="Consolas"/>
          <w:color w:val="0B2545"/>
          <w:sz w:val="18"/>
        </w:rPr>
        <w:t>Scientific Philosophy</w:t>
        <w:br/>
        <w:t xml:space="preserve">    -&gt; Scientific Governance Framework (SGF)</w:t>
        <w:br/>
        <w:t xml:space="preserve">        -&gt; Scientific Methodology</w:t>
        <w:br/>
        <w:t xml:space="preserve">            -&gt; ResearchOS Architecture</w:t>
        <w:br/>
        <w:t xml:space="preserve">                -&gt; Implementation</w:t>
      </w:r>
    </w:p>
    <w:p>
      <w:r>
        <w:t>Architecture Governance, laws, dan specifications tetap mengatur integritas arsitektur perangkat lunak. SGF berada di atas lapisan tersebut untuk menetapkan prinsip ilmiah, otoritas manusia, makna objek, lifecycle, kepercayaan, keputusan, etika, evolusi, dan kualitas yang harus diwujudkan oleh arsitektur.</w:t>
      </w:r>
    </w:p>
    <w:p>
      <w:r>
        <w:t>Dengan pemisahan ini, ResearchOS dapat digunakan dalam kedokteran, fisika, ekonomi, ilmu sosial, atau bidang lain dengan metodologi dan implementasi yang berbeda, tetapi tetap berbagi konstitusi ilmiah yang sama.</w:t>
      </w:r>
    </w:p>
    <w:p>
      <w:pPr>
        <w:pStyle w:val="Heading1"/>
      </w:pPr>
      <w:r>
        <w:t>Hierarki dan Urutan Resmi</w:t>
      </w:r>
    </w:p>
    <w:p>
      <w:pPr>
        <w:spacing w:before="80" w:after="160" w:line="240" w:lineRule="auto"/>
        <w:ind w:left="360" w:right="216"/>
      </w:pPr>
      <w:r>
        <w:rPr>
          <w:rFonts w:ascii="Consolas" w:hAnsi="Consolas"/>
          <w:color w:val="0B2545"/>
          <w:sz w:val="18"/>
        </w:rPr>
        <w:t>SGF-000  Scientific Governance Framework</w:t>
        <w:br/>
        <w:t xml:space="preserve">    |</w:t>
        <w:br/>
        <w:t xml:space="preserve">    +-- SGF-010  Scientific Constitution</w:t>
        <w:br/>
        <w:t xml:space="preserve">    |</w:t>
        <w:br/>
        <w:t xml:space="preserve">    +-- SGF-020  Human Authority &amp; Decision Matrix</w:t>
        <w:br/>
        <w:t xml:space="preserve">    |</w:t>
        <w:br/>
        <w:t xml:space="preserve">    +-- SGF-030  Canonical Scientific Ontology</w:t>
        <w:br/>
        <w:t xml:space="preserve">    |</w:t>
        <w:br/>
        <w:t xml:space="preserve">    +-- SGF-040  Research Object Lifecycle Standard</w:t>
        <w:br/>
        <w:t xml:space="preserve">    |</w:t>
        <w:br/>
        <w:t xml:space="preserve">    +-- SGF-050  Scientific Trust &amp; Confidence Framework</w:t>
        <w:br/>
        <w:t xml:space="preserve">    |</w:t>
        <w:br/>
        <w:t xml:space="preserve">    +-- SGF-060  Scientific Decision Record Standard</w:t>
        <w:br/>
        <w:t xml:space="preserve">    |</w:t>
        <w:br/>
        <w:t xml:space="preserve">    +-- SGF-070  Privacy, Ethics &amp; Sensitive Research Policy</w:t>
        <w:br/>
        <w:t xml:space="preserve">    |</w:t>
        <w:br/>
        <w:t xml:space="preserve">    +-- SGF-080  Capability &amp; Product Map</w:t>
        <w:br/>
        <w:t xml:space="preserve">    |</w:t>
        <w:br/>
        <w:t xml:space="preserve">    +-- SGF-090  Scientific Evolution Framework</w:t>
        <w:br/>
        <w:t xml:space="preserve">    |</w:t>
        <w:br/>
        <w:t xml:space="preserve">    `-- SGF-100  Scientific Quality Framework</w:t>
      </w:r>
    </w:p>
    <w:p>
      <w:r>
        <w:t>Urutan penyusunan ini bersifat dependency-aware:</w:t>
      </w:r>
    </w:p>
    <w:p>
      <w:pPr>
        <w:numPr>
          <w:ilvl w:val="0"/>
          <w:numId w:val="11"/>
        </w:numPr>
        <w:spacing w:after="80" w:line="300" w:lineRule="auto"/>
      </w:pPr>
      <w:r>
        <w:t>Konstitusi menetapkan apa yang tidak boleh dilanggar.</w:t>
      </w:r>
    </w:p>
    <w:p>
      <w:pPr>
        <w:numPr>
          <w:ilvl w:val="0"/>
          <w:numId w:val="11"/>
        </w:numPr>
        <w:spacing w:after="80" w:line="300" w:lineRule="auto"/>
      </w:pPr>
      <w:r>
        <w:t>Human Authority menetapkan siapa yang boleh memutuskan, kapan, dan dengan syarat apa.</w:t>
      </w:r>
    </w:p>
    <w:p>
      <w:pPr>
        <w:numPr>
          <w:ilvl w:val="0"/>
          <w:numId w:val="11"/>
        </w:numPr>
        <w:spacing w:after="80" w:line="300" w:lineRule="auto"/>
      </w:pPr>
      <w:r>
        <w:t>Ontology menetapkan arti setiap objek ilmiah.</w:t>
      </w:r>
    </w:p>
    <w:p>
      <w:pPr>
        <w:numPr>
          <w:ilvl w:val="0"/>
          <w:numId w:val="11"/>
        </w:numPr>
        <w:spacing w:after="80" w:line="300" w:lineRule="auto"/>
      </w:pPr>
      <w:r>
        <w:t>Lifecycle menetapkan bagaimana objek berubah secara sah.</w:t>
      </w:r>
    </w:p>
    <w:p>
      <w:pPr>
        <w:numPr>
          <w:ilvl w:val="0"/>
          <w:numId w:val="11"/>
        </w:numPr>
        <w:spacing w:after="80" w:line="300" w:lineRule="auto"/>
      </w:pPr>
      <w:r>
        <w:t>Trust Framework menetapkan cara kualitas evidence, ketidakpastian, dan kepercayaan dinilai.</w:t>
      </w:r>
    </w:p>
    <w:p>
      <w:pPr>
        <w:numPr>
          <w:ilvl w:val="0"/>
          <w:numId w:val="11"/>
        </w:numPr>
        <w:spacing w:after="80" w:line="300" w:lineRule="auto"/>
      </w:pPr>
      <w:r>
        <w:t>Decision Record menjaga memori ilmiah atas keputusan.</w:t>
      </w:r>
    </w:p>
    <w:p>
      <w:pPr>
        <w:numPr>
          <w:ilvl w:val="0"/>
          <w:numId w:val="11"/>
        </w:numPr>
        <w:spacing w:after="80" w:line="300" w:lineRule="auto"/>
      </w:pPr>
      <w:r>
        <w:t>Privacy and Ethics menetapkan batas penggunaan yang bertanggung jawab.</w:t>
      </w:r>
    </w:p>
    <w:p>
      <w:pPr>
        <w:numPr>
          <w:ilvl w:val="0"/>
          <w:numId w:val="11"/>
        </w:numPr>
        <w:spacing w:after="80" w:line="300" w:lineRule="auto"/>
      </w:pPr>
      <w:r>
        <w:t>Capability Map menelusurkan prinsip hingga implementasi dan compliance.</w:t>
      </w:r>
    </w:p>
    <w:p>
      <w:pPr>
        <w:numPr>
          <w:ilvl w:val="0"/>
          <w:numId w:val="11"/>
        </w:numPr>
        <w:spacing w:after="80" w:line="300" w:lineRule="auto"/>
      </w:pPr>
      <w:r>
        <w:t>Scientific Evolution mengatur cara ResearchOS belajar dan mengusulkan evolusi dirinya.</w:t>
      </w:r>
    </w:p>
    <w:p>
      <w:pPr>
        <w:numPr>
          <w:ilvl w:val="0"/>
          <w:numId w:val="11"/>
        </w:numPr>
        <w:spacing w:after="80" w:line="300" w:lineRule="auto"/>
      </w:pPr>
      <w:r>
        <w:t>Scientific Quality menetapkan ukuran mutu sistem dan capability.</w:t>
      </w:r>
    </w:p>
    <w:p>
      <w:r>
        <w:t>Dokumen yang lebih akhir bergantung pada definisi dan batas yang ditetapkan oleh dokumen sebelumnya. Penyusunannya tidak boleh membalik dependensi itu atau membuat istilah tandingan yang tidak diperlukan.</w:t>
      </w:r>
    </w:p>
    <w:p>
      <w:pPr>
        <w:pStyle w:val="Heading1"/>
      </w:pPr>
      <w:r>
        <w:t>SGF-010 — Scientific Constitution</w:t>
      </w:r>
    </w:p>
    <w:p>
      <w:r>
        <w:t>Status: direncanakan.</w:t>
      </w:r>
    </w:p>
    <w:p>
      <w:r>
        <w:t>Scientific Constitution akan menjadi rujukan tertinggi dalam keluarga SGF. Ruang lingkup yang direncanakan meliputi:</w:t>
      </w:r>
    </w:p>
    <w:p>
      <w:pPr>
        <w:numPr>
          <w:ilvl w:val="0"/>
          <w:numId w:val="12"/>
        </w:numPr>
        <w:spacing w:after="80" w:line="300" w:lineRule="auto"/>
      </w:pPr>
      <w:r>
        <w:t>purpose;</w:t>
      </w:r>
    </w:p>
    <w:p>
      <w:pPr>
        <w:numPr>
          <w:ilvl w:val="0"/>
          <w:numId w:val="12"/>
        </w:numPr>
        <w:spacing w:after="80" w:line="300" w:lineRule="auto"/>
      </w:pPr>
      <w:r>
        <w:t>scientific authority;</w:t>
      </w:r>
    </w:p>
    <w:p>
      <w:pPr>
        <w:numPr>
          <w:ilvl w:val="0"/>
          <w:numId w:val="12"/>
        </w:numPr>
        <w:spacing w:after="80" w:line="300" w:lineRule="auto"/>
      </w:pPr>
      <w:r>
        <w:t>definition of scientific truth;</w:t>
      </w:r>
    </w:p>
    <w:p>
      <w:pPr>
        <w:numPr>
          <w:ilvl w:val="0"/>
          <w:numId w:val="12"/>
        </w:numPr>
        <w:spacing w:after="80" w:line="300" w:lineRule="auto"/>
      </w:pPr>
      <w:r>
        <w:t>evidence principle;</w:t>
      </w:r>
    </w:p>
    <w:p>
      <w:pPr>
        <w:numPr>
          <w:ilvl w:val="0"/>
          <w:numId w:val="12"/>
        </w:numPr>
        <w:spacing w:after="80" w:line="300" w:lineRule="auto"/>
      </w:pPr>
      <w:r>
        <w:t>human authority;</w:t>
      </w:r>
    </w:p>
    <w:p>
      <w:pPr>
        <w:numPr>
          <w:ilvl w:val="0"/>
          <w:numId w:val="12"/>
        </w:numPr>
        <w:spacing w:after="80" w:line="300" w:lineRule="auto"/>
      </w:pPr>
      <w:r>
        <w:t>AI limitation;</w:t>
      </w:r>
    </w:p>
    <w:p>
      <w:pPr>
        <w:numPr>
          <w:ilvl w:val="0"/>
          <w:numId w:val="12"/>
        </w:numPr>
        <w:spacing w:after="80" w:line="300" w:lineRule="auto"/>
      </w:pPr>
      <w:r>
        <w:t>reproducibility;</w:t>
      </w:r>
    </w:p>
    <w:p>
      <w:pPr>
        <w:numPr>
          <w:ilvl w:val="0"/>
          <w:numId w:val="12"/>
        </w:numPr>
        <w:spacing w:after="80" w:line="300" w:lineRule="auto"/>
      </w:pPr>
      <w:r>
        <w:t>traceability;</w:t>
      </w:r>
    </w:p>
    <w:p>
      <w:pPr>
        <w:numPr>
          <w:ilvl w:val="0"/>
          <w:numId w:val="12"/>
        </w:numPr>
        <w:spacing w:after="80" w:line="300" w:lineRule="auto"/>
      </w:pPr>
      <w:r>
        <w:t>correction principle;</w:t>
      </w:r>
    </w:p>
    <w:p>
      <w:pPr>
        <w:numPr>
          <w:ilvl w:val="0"/>
          <w:numId w:val="12"/>
        </w:numPr>
        <w:spacing w:after="80" w:line="300" w:lineRule="auto"/>
      </w:pPr>
      <w:r>
        <w:t>retraction principle; dan</w:t>
      </w:r>
    </w:p>
    <w:p>
      <w:pPr>
        <w:numPr>
          <w:ilvl w:val="0"/>
          <w:numId w:val="12"/>
        </w:numPr>
        <w:spacing w:after="80" w:line="300" w:lineRule="auto"/>
      </w:pPr>
      <w:r>
        <w:t>governance principle.</w:t>
      </w:r>
    </w:p>
    <w:p>
      <w:r>
        <w:t>Seluruh subsystem pada akhirnya harus dapat menunjukkan kesesuaiannya dengan konstitusi ini.</w:t>
      </w:r>
    </w:p>
    <w:p>
      <w:pPr>
        <w:pStyle w:val="Heading1"/>
      </w:pPr>
      <w:r>
        <w:t>SGF-020 — Human Authority &amp; Decision Matrix</w:t>
      </w:r>
    </w:p>
    <w:p>
      <w:r>
        <w:t>Status: operational standard version 1.0; formal ratification pending under DOC-000.</w:t>
      </w:r>
    </w:p>
    <w:p>
      <w:r>
        <w:t>Dokumen: Documents/SGF_020_HUMAN_AUTHORITY_DECISION_MATRIX.md.</w:t>
      </w:r>
    </w:p>
    <w:p>
      <w:r>
        <w:t>Standar ini akan menetapkan bukan hanya siapa yang berwenang, tetapi juga:</w:t>
      </w:r>
    </w:p>
    <w:p>
      <w:pPr>
        <w:numPr>
          <w:ilvl w:val="0"/>
          <w:numId w:val="13"/>
        </w:numPr>
        <w:spacing w:after="80" w:line="300" w:lineRule="auto"/>
      </w:pPr>
      <w:r>
        <w:t>siapa;</w:t>
      </w:r>
    </w:p>
    <w:p>
      <w:pPr>
        <w:numPr>
          <w:ilvl w:val="0"/>
          <w:numId w:val="13"/>
        </w:numPr>
        <w:spacing w:after="80" w:line="300" w:lineRule="auto"/>
      </w:pPr>
      <w:r>
        <w:t>kapan;</w:t>
      </w:r>
    </w:p>
    <w:p>
      <w:pPr>
        <w:numPr>
          <w:ilvl w:val="0"/>
          <w:numId w:val="13"/>
        </w:numPr>
        <w:spacing w:after="80" w:line="300" w:lineRule="auto"/>
      </w:pPr>
      <w:r>
        <w:t>mengapa;</w:t>
      </w:r>
    </w:p>
    <w:p>
      <w:pPr>
        <w:numPr>
          <w:ilvl w:val="0"/>
          <w:numId w:val="13"/>
        </w:numPr>
        <w:spacing w:after="80" w:line="300" w:lineRule="auto"/>
      </w:pPr>
      <w:r>
        <w:t>evidence yang diwajibkan;</w:t>
      </w:r>
    </w:p>
    <w:p>
      <w:pPr>
        <w:numPr>
          <w:ilvl w:val="0"/>
          <w:numId w:val="13"/>
        </w:numPr>
        <w:spacing w:after="80" w:line="300" w:lineRule="auto"/>
      </w:pPr>
      <w:r>
        <w:t>review yang diwajibkan;</w:t>
      </w:r>
    </w:p>
    <w:p>
      <w:pPr>
        <w:numPr>
          <w:ilvl w:val="0"/>
          <w:numId w:val="13"/>
        </w:numPr>
        <w:spacing w:after="80" w:line="300" w:lineRule="auto"/>
      </w:pPr>
      <w:r>
        <w:t>separation of duties;</w:t>
      </w:r>
    </w:p>
    <w:p>
      <w:pPr>
        <w:numPr>
          <w:ilvl w:val="0"/>
          <w:numId w:val="13"/>
        </w:numPr>
        <w:spacing w:after="80" w:line="300" w:lineRule="auto"/>
      </w:pPr>
      <w:r>
        <w:t>masa berlaku keputusan;</w:t>
      </w:r>
    </w:p>
    <w:p>
      <w:pPr>
        <w:numPr>
          <w:ilvl w:val="0"/>
          <w:numId w:val="13"/>
        </w:numPr>
        <w:spacing w:after="80" w:line="300" w:lineRule="auto"/>
      </w:pPr>
      <w:r>
        <w:t>mekanisme appeal; dan</w:t>
      </w:r>
    </w:p>
    <w:p>
      <w:pPr>
        <w:numPr>
          <w:ilvl w:val="0"/>
          <w:numId w:val="13"/>
        </w:numPr>
        <w:spacing w:after="80" w:line="300" w:lineRule="auto"/>
      </w:pPr>
      <w:r>
        <w:t>mekanisme rollback.</w:t>
      </w:r>
    </w:p>
    <w:p>
      <w:r>
        <w:t>Contoh alur yang harus dapat dinyatakan secara eksplisit:</w:t>
      </w:r>
    </w:p>
    <w:p>
      <w:pPr>
        <w:spacing w:before="80" w:after="160" w:line="240" w:lineRule="auto"/>
        <w:ind w:left="360" w:right="216"/>
      </w:pPr>
      <w:r>
        <w:rPr>
          <w:rFonts w:ascii="Consolas" w:hAnsi="Consolas"/>
          <w:color w:val="0B2545"/>
          <w:sz w:val="18"/>
        </w:rPr>
        <w:t>Theory Acceptance</w:t>
        <w:br/>
        <w:t xml:space="preserve">    -&gt; Reviewer</w:t>
        <w:br/>
        <w:t xml:space="preserve">        -&gt; Required Evidence</w:t>
        <w:br/>
        <w:t xml:space="preserve">            -&gt; Approval</w:t>
        <w:br/>
        <w:t xml:space="preserve">                -&gt; Publication</w:t>
      </w:r>
    </w:p>
    <w:p>
      <w:pPr>
        <w:pStyle w:val="Heading1"/>
      </w:pPr>
      <w:r>
        <w:t>SGF-030 — Canonical Scientific Ontology</w:t>
      </w:r>
    </w:p>
    <w:p>
      <w:r>
        <w:t>Status: operational standard version 1.0; formal ratification pending under DOC-000.</w:t>
      </w:r>
    </w:p>
    <w:p>
      <w:r>
        <w:t>Dokumen: Documents/SGF_030_CANONICAL_SCIENTIFIC_ONTOLOGY.md.</w:t>
      </w:r>
    </w:p>
    <w:p>
      <w:r>
        <w:t>Ontology akan menyatukan makna objek ilmiah agar AI, backend, antarmuka, Knowledge Graph, dan subsystem lain tidak memakai definisi yang berbeda. Objek yang perlu dicakup antara lain:</w:t>
      </w:r>
    </w:p>
    <w:p>
      <w:pPr>
        <w:numPr>
          <w:ilvl w:val="0"/>
          <w:numId w:val="14"/>
        </w:numPr>
        <w:spacing w:after="80" w:line="300" w:lineRule="auto"/>
      </w:pPr>
      <w:r>
        <w:t>Observation;</w:t>
      </w:r>
    </w:p>
    <w:p>
      <w:pPr>
        <w:numPr>
          <w:ilvl w:val="0"/>
          <w:numId w:val="14"/>
        </w:numPr>
        <w:spacing w:after="80" w:line="300" w:lineRule="auto"/>
      </w:pPr>
      <w:r>
        <w:t>Fact;</w:t>
      </w:r>
    </w:p>
    <w:p>
      <w:pPr>
        <w:numPr>
          <w:ilvl w:val="0"/>
          <w:numId w:val="14"/>
        </w:numPr>
        <w:spacing w:after="80" w:line="300" w:lineRule="auto"/>
      </w:pPr>
      <w:r>
        <w:t>Claim;</w:t>
      </w:r>
    </w:p>
    <w:p>
      <w:pPr>
        <w:numPr>
          <w:ilvl w:val="0"/>
          <w:numId w:val="14"/>
        </w:numPr>
        <w:spacing w:after="80" w:line="300" w:lineRule="auto"/>
      </w:pPr>
      <w:r>
        <w:t>Evidence;</w:t>
      </w:r>
    </w:p>
    <w:p>
      <w:pPr>
        <w:numPr>
          <w:ilvl w:val="0"/>
          <w:numId w:val="14"/>
        </w:numPr>
        <w:spacing w:after="80" w:line="300" w:lineRule="auto"/>
      </w:pPr>
      <w:r>
        <w:t>Interpretation;</w:t>
      </w:r>
    </w:p>
    <w:p>
      <w:pPr>
        <w:numPr>
          <w:ilvl w:val="0"/>
          <w:numId w:val="14"/>
        </w:numPr>
        <w:spacing w:after="80" w:line="300" w:lineRule="auto"/>
      </w:pPr>
      <w:r>
        <w:t>Inference;</w:t>
      </w:r>
    </w:p>
    <w:p>
      <w:pPr>
        <w:numPr>
          <w:ilvl w:val="0"/>
          <w:numId w:val="14"/>
        </w:numPr>
        <w:spacing w:after="80" w:line="300" w:lineRule="auto"/>
      </w:pPr>
      <w:r>
        <w:t>Hypothesis;</w:t>
      </w:r>
    </w:p>
    <w:p>
      <w:pPr>
        <w:numPr>
          <w:ilvl w:val="0"/>
          <w:numId w:val="14"/>
        </w:numPr>
        <w:spacing w:after="80" w:line="300" w:lineRule="auto"/>
      </w:pPr>
      <w:r>
        <w:t>Construct;</w:t>
      </w:r>
    </w:p>
    <w:p>
      <w:pPr>
        <w:numPr>
          <w:ilvl w:val="0"/>
          <w:numId w:val="14"/>
        </w:numPr>
        <w:spacing w:after="80" w:line="300" w:lineRule="auto"/>
      </w:pPr>
      <w:r>
        <w:t>Relationship;</w:t>
      </w:r>
    </w:p>
    <w:p>
      <w:pPr>
        <w:numPr>
          <w:ilvl w:val="0"/>
          <w:numId w:val="14"/>
        </w:numPr>
        <w:spacing w:after="80" w:line="300" w:lineRule="auto"/>
      </w:pPr>
      <w:r>
        <w:t>Model;</w:t>
      </w:r>
    </w:p>
    <w:p>
      <w:pPr>
        <w:numPr>
          <w:ilvl w:val="0"/>
          <w:numId w:val="14"/>
        </w:numPr>
        <w:spacing w:after="80" w:line="300" w:lineRule="auto"/>
      </w:pPr>
      <w:r>
        <w:t>Theory; dan</w:t>
      </w:r>
    </w:p>
    <w:p>
      <w:pPr>
        <w:numPr>
          <w:ilvl w:val="0"/>
          <w:numId w:val="14"/>
        </w:numPr>
        <w:spacing w:after="80" w:line="300" w:lineRule="auto"/>
      </w:pPr>
      <w:r>
        <w:t>Publication.</w:t>
      </w:r>
    </w:p>
    <w:p>
      <w:r>
        <w:t>Terminologi existing canonical code harus diverifikasi sebelum definisi atau nama baru diperkenalkan.</w:t>
      </w:r>
    </w:p>
    <w:p>
      <w:pPr>
        <w:pStyle w:val="Heading1"/>
      </w:pPr>
      <w:r>
        <w:t>SGF-040 — Research Object Lifecycle Standard</w:t>
      </w:r>
    </w:p>
    <w:p>
      <w:r>
        <w:t>Status: operational standard version 1.0; formal ratification pending under DOC-000.</w:t>
      </w:r>
    </w:p>
    <w:p>
      <w:r>
        <w:t>Dokumen: Documents/SGF_040_RESEARCH_OBJECT_LIFECYCLE_STANDARD.md.</w:t>
      </w:r>
    </w:p>
    <w:p>
      <w:r>
        <w:t>Evidence, Theory, Publication, dan objek penelitian lain dapat memiliki lifecycle yang berbeda, tetapi harus memakai bahasa lifecycle, transition, authority, provenance, correction, dan invalidation yang konsisten. Standar ini akan menjadi rujukan bersama untuk perubahan status objek ilmiah.</w:t>
      </w:r>
    </w:p>
    <w:p>
      <w:pPr>
        <w:pStyle w:val="Heading1"/>
      </w:pPr>
      <w:r>
        <w:t>SGF-050 — Scientific Trust &amp; Confidence Framework</w:t>
      </w:r>
    </w:p>
    <w:p>
      <w:r>
        <w:t>Status: direncanakan.</w:t>
      </w:r>
    </w:p>
    <w:p>
      <w:r>
        <w:t>Framework ini tidak boleh mereduksi kebenaran ilmiah menjadi satu angka confidence. Penilaian yang direncanakan mencakup:</w:t>
      </w:r>
    </w:p>
    <w:p>
      <w:pPr>
        <w:numPr>
          <w:ilvl w:val="0"/>
          <w:numId w:val="15"/>
        </w:numPr>
        <w:spacing w:after="80" w:line="300" w:lineRule="auto"/>
      </w:pPr>
      <w:r>
        <w:t>evidence quality;</w:t>
      </w:r>
    </w:p>
    <w:p>
      <w:pPr>
        <w:numPr>
          <w:ilvl w:val="0"/>
          <w:numId w:val="15"/>
        </w:numPr>
        <w:spacing w:after="80" w:line="300" w:lineRule="auto"/>
      </w:pPr>
      <w:r>
        <w:t>authority;</w:t>
      </w:r>
    </w:p>
    <w:p>
      <w:pPr>
        <w:numPr>
          <w:ilvl w:val="0"/>
          <w:numId w:val="15"/>
        </w:numPr>
        <w:spacing w:after="80" w:line="300" w:lineRule="auto"/>
      </w:pPr>
      <w:r>
        <w:t>bias;</w:t>
      </w:r>
    </w:p>
    <w:p>
      <w:pPr>
        <w:numPr>
          <w:ilvl w:val="0"/>
          <w:numId w:val="15"/>
        </w:numPr>
        <w:spacing w:after="80" w:line="300" w:lineRule="auto"/>
      </w:pPr>
      <w:r>
        <w:t>replication;</w:t>
      </w:r>
    </w:p>
    <w:p>
      <w:pPr>
        <w:numPr>
          <w:ilvl w:val="0"/>
          <w:numId w:val="15"/>
        </w:numPr>
        <w:spacing w:after="80" w:line="300" w:lineRule="auto"/>
      </w:pPr>
      <w:r>
        <w:t>consistency;</w:t>
      </w:r>
    </w:p>
    <w:p>
      <w:pPr>
        <w:numPr>
          <w:ilvl w:val="0"/>
          <w:numId w:val="15"/>
        </w:numPr>
        <w:spacing w:after="80" w:line="300" w:lineRule="auto"/>
      </w:pPr>
      <w:r>
        <w:t>contradiction;</w:t>
      </w:r>
    </w:p>
    <w:p>
      <w:pPr>
        <w:numPr>
          <w:ilvl w:val="0"/>
          <w:numId w:val="15"/>
        </w:numPr>
        <w:spacing w:after="80" w:line="300" w:lineRule="auto"/>
      </w:pPr>
      <w:r>
        <w:t>coverage; dan</w:t>
      </w:r>
    </w:p>
    <w:p>
      <w:pPr>
        <w:numPr>
          <w:ilvl w:val="0"/>
          <w:numId w:val="15"/>
        </w:numPr>
        <w:spacing w:after="80" w:line="300" w:lineRule="auto"/>
      </w:pPr>
      <w:r>
        <w:t>uncertainty.</w:t>
      </w:r>
    </w:p>
    <w:p>
      <w:r>
        <w:t>Confidence hanya boleh menjadi salah satu hasil yang transparan dari dimensi tersebut, bukan sinonim untuk kebenaran.</w:t>
      </w:r>
    </w:p>
    <w:p>
      <w:pPr>
        <w:pStyle w:val="Heading1"/>
      </w:pPr>
      <w:r>
        <w:t>SGF-060 — Scientific Decision Record Standard</w:t>
      </w:r>
    </w:p>
    <w:p>
      <w:r>
        <w:t>Status: direncanakan.</w:t>
      </w:r>
    </w:p>
    <w:p>
      <w:r>
        <w:t>Scientific Decision Record akan menjaga scientific memory, bukan sekadar mencatat keputusan akhir. Struktur yang direncanakan meliputi:</w:t>
      </w:r>
    </w:p>
    <w:p>
      <w:pPr>
        <w:numPr>
          <w:ilvl w:val="0"/>
          <w:numId w:val="16"/>
        </w:numPr>
        <w:spacing w:after="80" w:line="300" w:lineRule="auto"/>
      </w:pPr>
      <w:r>
        <w:t>context;</w:t>
      </w:r>
    </w:p>
    <w:p>
      <w:pPr>
        <w:numPr>
          <w:ilvl w:val="0"/>
          <w:numId w:val="16"/>
        </w:numPr>
        <w:spacing w:after="80" w:line="300" w:lineRule="auto"/>
      </w:pPr>
      <w:r>
        <w:t>evidence;</w:t>
      </w:r>
    </w:p>
    <w:p>
      <w:pPr>
        <w:numPr>
          <w:ilvl w:val="0"/>
          <w:numId w:val="16"/>
        </w:numPr>
        <w:spacing w:after="80" w:line="300" w:lineRule="auto"/>
      </w:pPr>
      <w:r>
        <w:t>alternatives;</w:t>
      </w:r>
    </w:p>
    <w:p>
      <w:pPr>
        <w:numPr>
          <w:ilvl w:val="0"/>
          <w:numId w:val="16"/>
        </w:numPr>
        <w:spacing w:after="80" w:line="300" w:lineRule="auto"/>
      </w:pPr>
      <w:r>
        <w:t>decision;</w:t>
      </w:r>
    </w:p>
    <w:p>
      <w:pPr>
        <w:numPr>
          <w:ilvl w:val="0"/>
          <w:numId w:val="16"/>
        </w:numPr>
        <w:spacing w:after="80" w:line="300" w:lineRule="auto"/>
      </w:pPr>
      <w:r>
        <w:t>rationale;</w:t>
      </w:r>
    </w:p>
    <w:p>
      <w:pPr>
        <w:numPr>
          <w:ilvl w:val="0"/>
          <w:numId w:val="16"/>
        </w:numPr>
        <w:spacing w:after="80" w:line="300" w:lineRule="auto"/>
      </w:pPr>
      <w:r>
        <w:t>consequences;</w:t>
      </w:r>
    </w:p>
    <w:p>
      <w:pPr>
        <w:numPr>
          <w:ilvl w:val="0"/>
          <w:numId w:val="16"/>
        </w:numPr>
        <w:spacing w:after="80" w:line="300" w:lineRule="auto"/>
      </w:pPr>
      <w:r>
        <w:t>risk;</w:t>
      </w:r>
    </w:p>
    <w:p>
      <w:pPr>
        <w:numPr>
          <w:ilvl w:val="0"/>
          <w:numId w:val="16"/>
        </w:numPr>
        <w:spacing w:after="80" w:line="300" w:lineRule="auto"/>
      </w:pPr>
      <w:r>
        <w:t>rollback;</w:t>
      </w:r>
    </w:p>
    <w:p>
      <w:pPr>
        <w:numPr>
          <w:ilvl w:val="0"/>
          <w:numId w:val="16"/>
        </w:numPr>
        <w:spacing w:after="80" w:line="300" w:lineRule="auto"/>
      </w:pPr>
      <w:r>
        <w:t>superseded state; dan</w:t>
      </w:r>
    </w:p>
    <w:p>
      <w:pPr>
        <w:numPr>
          <w:ilvl w:val="0"/>
          <w:numId w:val="16"/>
        </w:numPr>
        <w:spacing w:after="80" w:line="300" w:lineRule="auto"/>
      </w:pPr>
      <w:r>
        <w:t>review.</w:t>
      </w:r>
    </w:p>
    <w:p>
      <w:r>
        <w:t>Standar ini diarahkan menjadi salah satu fondasi Scientific Evolution Framework dan Evolution Engine.</w:t>
      </w:r>
    </w:p>
    <w:p>
      <w:pPr>
        <w:pStyle w:val="Heading1"/>
      </w:pPr>
      <w:r>
        <w:t>SGF-070 — Privacy, Ethics &amp; Sensitive Research Policy</w:t>
      </w:r>
    </w:p>
    <w:p>
      <w:r>
        <w:t>Status: direncanakan.</w:t>
      </w:r>
    </w:p>
    <w:p>
      <w:r>
        <w:t>Policy ini akan menetapkan batas dan kewajiban ketika ResearchOS digunakan untuk penelitian sensitif, termasuk dalam konteks rumah sakit, universitas, pemerintah, dan industri. Implementasi sektoral tidak boleh mengurangi otoritas manusia, perlindungan subjek, traceability, atau accountability.</w:t>
      </w:r>
    </w:p>
    <w:p>
      <w:pPr>
        <w:pStyle w:val="Heading1"/>
      </w:pPr>
      <w:r>
        <w:t>SGF-080 — Capability &amp; Product Map</w:t>
      </w:r>
    </w:p>
    <w:p>
      <w:r>
        <w:t>Status: direncanakan.</w:t>
      </w:r>
    </w:p>
    <w:p>
      <w:r>
        <w:t>Peta ini akan menyediakan traceability menyeluruh:</w:t>
      </w:r>
    </w:p>
    <w:p>
      <w:pPr>
        <w:spacing w:before="80" w:after="160" w:line="240" w:lineRule="auto"/>
        <w:ind w:left="360" w:right="216"/>
      </w:pPr>
      <w:r>
        <w:rPr>
          <w:rFonts w:ascii="Consolas" w:hAnsi="Consolas"/>
          <w:color w:val="0B2545"/>
          <w:sz w:val="18"/>
        </w:rPr>
        <w:t>Vision</w:t>
        <w:br/>
        <w:t xml:space="preserve">    -&gt; Scientific Principle</w:t>
        <w:br/>
        <w:t xml:space="preserve">        -&gt; Governance</w:t>
        <w:br/>
        <w:t xml:space="preserve">            -&gt; Subsystem</w:t>
        <w:br/>
        <w:t xml:space="preserve">                -&gt; Engine</w:t>
        <w:br/>
        <w:t xml:space="preserve">                    -&gt; Capability</w:t>
        <w:br/>
        <w:t xml:space="preserve">                        -&gt; Scientific Object</w:t>
        <w:br/>
        <w:t xml:space="preserve">                            -&gt; Workflow</w:t>
        <w:br/>
        <w:t xml:space="preserve">                                -&gt; API</w:t>
        <w:br/>
        <w:t xml:space="preserve">                                    -&gt; Workspace</w:t>
        <w:br/>
        <w:t xml:space="preserve">                                        -&gt; Test</w:t>
        <w:br/>
        <w:t xml:space="preserve">                                            -&gt; Compliance</w:t>
        <w:br/>
        <w:t xml:space="preserve">                                                -&gt; Implementation</w:t>
      </w:r>
    </w:p>
    <w:p>
      <w:r>
        <w:t>Peta tidak boleh mengklaim capability sebagai tersedia tanpa hubungan yang dapat diverifikasi ke implementasi dan pengujiannya.</w:t>
      </w:r>
    </w:p>
    <w:p>
      <w:pPr>
        <w:pStyle w:val="Heading1"/>
      </w:pPr>
      <w:r>
        <w:t>SGF-090 — Scientific Evolution Framework</w:t>
      </w:r>
    </w:p>
    <w:p>
      <w:r>
        <w:t>Status: direncanakan.</w:t>
      </w:r>
    </w:p>
    <w:p>
      <w:r>
        <w:t>Framework ini akan menjadi fondasi governance bagi Evolution Engine:</w:t>
      </w:r>
    </w:p>
    <w:p>
      <w:pPr>
        <w:spacing w:before="80" w:after="160" w:line="240" w:lineRule="auto"/>
        <w:ind w:left="360" w:right="216"/>
      </w:pPr>
      <w:r>
        <w:rPr>
          <w:rFonts w:ascii="Consolas" w:hAnsi="Consolas"/>
          <w:color w:val="0B2545"/>
          <w:sz w:val="18"/>
        </w:rPr>
        <w:t>Observation</w:t>
        <w:br/>
        <w:t xml:space="preserve">    -&gt; Learning</w:t>
        <w:br/>
        <w:t xml:space="preserve">        -&gt; Proposal</w:t>
        <w:br/>
        <w:t xml:space="preserve">            -&gt; Simulation</w:t>
        <w:br/>
        <w:t xml:space="preserve">                -&gt; Verification</w:t>
        <w:br/>
        <w:t xml:space="preserve">                    -&gt; Approval</w:t>
        <w:br/>
        <w:t xml:space="preserve">                        -&gt; Evolution</w:t>
      </w:r>
    </w:p>
    <w:p>
      <w:r>
        <w:t>ResearchOS diarahkan untuk belajar tentang dirinya dengan metode ilmiah. Learning dan proposal tidak memberikan kewenangan bagi AI untuk mengubah canonical knowledge, governance, architecture, atau implementation tanpa verifikasi dan persetujuan manusia yang sah.</w:t>
      </w:r>
    </w:p>
    <w:p>
      <w:pPr>
        <w:pStyle w:val="Heading1"/>
      </w:pPr>
      <w:r>
        <w:t>SGF-100 — Scientific Quality Framework</w:t>
      </w:r>
    </w:p>
    <w:p>
      <w:r>
        <w:t>Status: direncanakan.</w:t>
      </w:r>
    </w:p>
    <w:p>
      <w:r>
        <w:t>Scientific Quality berbeda dari Scientific Trust. Trust terutama menilai evidence dan dasar kepercayaan ilmiah; Quality menilai mutu sistem dan capability. Dimensi yang direncanakan meliputi:</w:t>
      </w:r>
    </w:p>
    <w:p>
      <w:pPr>
        <w:numPr>
          <w:ilvl w:val="0"/>
          <w:numId w:val="17"/>
        </w:numPr>
        <w:spacing w:after="80" w:line="300" w:lineRule="auto"/>
      </w:pPr>
      <w:r>
        <w:t>coverage;</w:t>
      </w:r>
    </w:p>
    <w:p>
      <w:pPr>
        <w:numPr>
          <w:ilvl w:val="0"/>
          <w:numId w:val="17"/>
        </w:numPr>
        <w:spacing w:after="80" w:line="300" w:lineRule="auto"/>
      </w:pPr>
      <w:r>
        <w:t>completeness;</w:t>
      </w:r>
    </w:p>
    <w:p>
      <w:pPr>
        <w:numPr>
          <w:ilvl w:val="0"/>
          <w:numId w:val="17"/>
        </w:numPr>
        <w:spacing w:after="80" w:line="300" w:lineRule="auto"/>
      </w:pPr>
      <w:r>
        <w:t>consistency;</w:t>
      </w:r>
    </w:p>
    <w:p>
      <w:pPr>
        <w:numPr>
          <w:ilvl w:val="0"/>
          <w:numId w:val="17"/>
        </w:numPr>
        <w:spacing w:after="80" w:line="300" w:lineRule="auto"/>
      </w:pPr>
      <w:r>
        <w:t>reproducibility;</w:t>
      </w:r>
    </w:p>
    <w:p>
      <w:pPr>
        <w:numPr>
          <w:ilvl w:val="0"/>
          <w:numId w:val="17"/>
        </w:numPr>
        <w:spacing w:after="80" w:line="300" w:lineRule="auto"/>
      </w:pPr>
      <w:r>
        <w:t>traceability;</w:t>
      </w:r>
    </w:p>
    <w:p>
      <w:pPr>
        <w:numPr>
          <w:ilvl w:val="0"/>
          <w:numId w:val="17"/>
        </w:numPr>
        <w:spacing w:after="80" w:line="300" w:lineRule="auto"/>
      </w:pPr>
      <w:r>
        <w:t>maintainability;</w:t>
      </w:r>
    </w:p>
    <w:p>
      <w:pPr>
        <w:numPr>
          <w:ilvl w:val="0"/>
          <w:numId w:val="17"/>
        </w:numPr>
        <w:spacing w:after="80" w:line="300" w:lineRule="auto"/>
      </w:pPr>
      <w:r>
        <w:t>auditability; dan</w:t>
      </w:r>
    </w:p>
    <w:p>
      <w:pPr>
        <w:numPr>
          <w:ilvl w:val="0"/>
          <w:numId w:val="17"/>
        </w:numPr>
        <w:spacing w:after="80" w:line="300" w:lineRule="auto"/>
      </w:pPr>
      <w:r>
        <w:t>explainability.</w:t>
      </w:r>
    </w:p>
    <w:p>
      <w:r>
        <w:t>Setiap capability pada akhirnya harus memiliki ukuran kualitas yang eksplisit dan dapat diuji.</w:t>
      </w:r>
    </w:p>
    <w:p>
      <w:pPr>
        <w:pStyle w:val="Heading1"/>
      </w:pPr>
      <w:r>
        <w:t>Aturan Pengembangan SGF</w:t>
      </w:r>
    </w:p>
    <w:p>
      <w:r>
        <w:t>Untuk setiap standar turunan:</w:t>
      </w:r>
    </w:p>
    <w:p>
      <w:pPr>
        <w:numPr>
          <w:ilvl w:val="0"/>
          <w:numId w:val="18"/>
        </w:numPr>
        <w:spacing w:after="80" w:line="300" w:lineRule="auto"/>
      </w:pPr>
      <w:r>
        <w:t>lakukan dependency verification terhadap kode, kontrak, lifecycle, enum, service boundary, dan dokumen kanonik yang sudah ada;</w:t>
      </w:r>
    </w:p>
    <w:p>
      <w:pPr>
        <w:numPr>
          <w:ilvl w:val="0"/>
          <w:numId w:val="18"/>
        </w:numPr>
        <w:spacing w:after="80" w:line="300" w:lineRule="auto"/>
      </w:pPr>
      <w:r>
        <w:t>tetapkan architecture position dan hubungannya dengan standar SGF lain;</w:t>
      </w:r>
    </w:p>
    <w:p>
      <w:pPr>
        <w:numPr>
          <w:ilvl w:val="0"/>
          <w:numId w:val="18"/>
        </w:numPr>
        <w:spacing w:after="80" w:line="300" w:lineRule="auto"/>
      </w:pPr>
      <w:r>
        <w:t>bedakan existing contract, extension, dan perubahan yang tidak kompatibel;</w:t>
      </w:r>
    </w:p>
    <w:p>
      <w:pPr>
        <w:numPr>
          <w:ilvl w:val="0"/>
          <w:numId w:val="18"/>
        </w:numPr>
        <w:spacing w:after="80" w:line="300" w:lineRule="auto"/>
      </w:pPr>
      <w:r>
        <w:t>nyatakan domain invariant dan hal yang tidak boleh dilanggar;</w:t>
      </w:r>
    </w:p>
    <w:p>
      <w:pPr>
        <w:numPr>
          <w:ilvl w:val="0"/>
          <w:numId w:val="18"/>
        </w:numPr>
        <w:spacing w:after="80" w:line="300" w:lineRule="auto"/>
      </w:pPr>
      <w:r>
        <w:t>periksa bypass, stale state, provenance, authority, dan rollback;</w:t>
      </w:r>
    </w:p>
    <w:p>
      <w:pPr>
        <w:numPr>
          <w:ilvl w:val="0"/>
          <w:numId w:val="18"/>
        </w:numPr>
        <w:spacing w:after="80" w:line="300" w:lineRule="auto"/>
      </w:pPr>
      <w:r>
        <w:t>siapkan unit, integration, architecture, dan compliance test plan;</w:t>
      </w:r>
    </w:p>
    <w:p>
      <w:pPr>
        <w:numPr>
          <w:ilvl w:val="0"/>
          <w:numId w:val="18"/>
        </w:numPr>
        <w:spacing w:after="80" w:line="300" w:lineRule="auto"/>
      </w:pPr>
      <w:r>
        <w:t>tetapkan Definition of Done sebelum implementasi;</w:t>
      </w:r>
    </w:p>
    <w:p>
      <w:pPr>
        <w:numPr>
          <w:ilvl w:val="0"/>
          <w:numId w:val="18"/>
        </w:numPr>
        <w:spacing w:after="80" w:line="300" w:lineRule="auto"/>
      </w:pPr>
      <w:r>
        <w:t>jangan mengubah kode sebelum verification dan positioning selesai dilaporkan serta disetujui; dan</w:t>
      </w:r>
    </w:p>
    <w:p>
      <w:pPr>
        <w:numPr>
          <w:ilvl w:val="0"/>
          <w:numId w:val="18"/>
        </w:numPr>
        <w:spacing w:after="80" w:line="300" w:lineRule="auto"/>
      </w:pPr>
      <w:r>
        <w:t>jangan menyatakan standar diratifikasi atau capability tersedia tanpa bukti dan otoritas yang sah.</w:t>
      </w:r>
    </w:p>
    <w:p>
      <w:pPr>
        <w:pStyle w:val="Heading1"/>
      </w:pPr>
      <w:r>
        <w:t>Hasil yang Dituju</w:t>
      </w:r>
    </w:p>
    <w:p>
      <w:r>
        <w:t>SGF memungkinkan ResearchOS berkembang sebagai Scientific Research Operating System, bukan hanya sistem yang membantu penelitian. Semua domain dapat mengembangkan metodologi masing-masing sambil mempertahankan prinsip ilmiah, otoritas manusia, provenance, lifecycle, accountability, dan kualitas yang sama.</w:t>
      </w:r>
    </w:p>
    <w:p>
      <w:pPr>
        <w:pStyle w:val="Heading1"/>
      </w:pPr>
      <w:r>
        <w:t>Publication Information</w:t>
      </w:r>
    </w:p>
    <w:p>
      <w:r>
        <w:t>Publication Status: Published Canonical Edition</w:t>
      </w:r>
    </w:p>
    <w:p>
      <w:r>
        <w:t>Version: v1.0</w:t>
      </w:r>
    </w:p>
    <w:p>
      <w:r>
        <w:t>Ratifier: Jumadi</w:t>
      </w:r>
    </w:p>
    <w:p>
      <w:r>
        <w:t>Ratification and publication date: 19 July 2026</w:t>
      </w:r>
    </w:p>
    <w:p>
      <w:r>
        <w:t>Canonical effect: establishes SGF-000 as the parent scientific governance framework and dependency hierarchy. Child standards and scientific claims require separate review and decision.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C"/>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A626C"/>
        <w:sz w:val="18"/>
      </w:rPr>
      <w:t>SGF-000  |  ResearchOS Scientific Governance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abstractNum w:abstractNumId="14">
    <w:multiLevelType w:val="singleLevel"/>
    <w:lvl w:ilvl="0">
      <w:start w:val="1"/>
      <w:numFmt w:val="bullet"/>
      <w:lvlText w:val="•"/>
      <w:lvlJc w:val="left"/>
      <w:pPr>
        <w:tabs>
          <w:tab w:val="num" w:pos="540"/>
        </w:tabs>
        <w:ind w:left="540" w:hanging="270"/>
      </w:pPr>
    </w:lvl>
  </w:abstractNum>
  <w:num w:numId="15">
    <w:abstractNumId w:val="14"/>
  </w:num>
  <w:abstractNum w:abstractNumId="15">
    <w:multiLevelType w:val="singleLevel"/>
    <w:lvl w:ilvl="0">
      <w:start w:val="1"/>
      <w:numFmt w:val="bullet"/>
      <w:lvlText w:val="•"/>
      <w:lvlJc w:val="left"/>
      <w:pPr>
        <w:tabs>
          <w:tab w:val="num" w:pos="540"/>
        </w:tabs>
        <w:ind w:left="540" w:hanging="270"/>
      </w:pPr>
    </w:lvl>
  </w:abstractNum>
  <w:num w:numId="16">
    <w:abstractNumId w:val="15"/>
  </w:num>
  <w:abstractNum w:abstractNumId="16">
    <w:multiLevelType w:val="singleLevel"/>
    <w:lvl w:ilvl="0">
      <w:start w:val="1"/>
      <w:numFmt w:val="bullet"/>
      <w:lvlText w:val="•"/>
      <w:lvlJc w:val="left"/>
      <w:pPr>
        <w:tabs>
          <w:tab w:val="num" w:pos="540"/>
        </w:tabs>
        <w:ind w:left="540" w:hanging="270"/>
      </w:pPr>
    </w:lvl>
  </w:abstractNum>
  <w:num w:numId="17">
    <w:abstractNumId w:val="16"/>
  </w:num>
  <w:abstractNum w:abstractNumId="17">
    <w:multiLevelType w:val="singleLevel"/>
    <w:lvl w:ilvl="0">
      <w:start w:val="1"/>
      <w:numFmt w:val="decimal"/>
      <w:lvlText w:val="%1."/>
      <w:lvlJc w:val="left"/>
      <w:pPr>
        <w:tabs>
          <w:tab w:val="num" w:pos="540"/>
        </w:tabs>
        <w:ind w:left="540" w:hanging="270"/>
      </w:p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40" w:lineRule="auto"/>
    </w:pPr>
    <w:rPr>
      <w:rFonts w:asciiTheme="majorHAnsi" w:eastAsiaTheme="majorEastAsia" w:hAnsiTheme="majorHAnsi" w:cstheme="majorBidi" w:ascii="Calibri" w:hAnsi="Calibri"/>
      <w:b w:val="0"/>
      <w:i/>
      <w:iCs/>
      <w:color w:val="5A626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SGF-000 ResearchOS Scientific Governance Framework</dc:title>
  <dc:subject>Published Canonical Edition v1.0</dc:subject>
  <dc:creator>Jumadi</dc:creator>
  <cp:keywords>ResearchOS, SGF-000, scientific governance, canonical</cp:keywords>
  <dc:description>Ratified by Jumadi on 2026-07-19 from candidate SHA-256 ba77f45a4d2d7ee45f5c14c863dbbe3284f517019361c387d40d22439bca82c7.</dc:description>
  <cp:lastModifiedBy>ResearchOS publication workflow</cp:lastModifiedBy>
  <cp:revision>1</cp:revision>
  <dcterms:created xsi:type="dcterms:W3CDTF">2013-12-23T23:15:00Z</dcterms:created>
  <dcterms:modified xsi:type="dcterms:W3CDTF">2013-12-23T23:15:00Z</dcterms:modified>
  <cp:category/>
</cp:coreProperties>
</file>