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2"/>
          <w:rFonts w:ascii="Calibri" w:hAnsi="Calibri" w:eastAsia="Noto Sans CJK TC"/>
        </w:rPr>
        <w:t>版本A｜架構圖說（Savant 中介層 + 資料流）</w:t>
      </w:r>
    </w:p>
    <w:p>
      <w:pPr>
        <w:spacing w:before="120" w:after="120"/>
      </w:pPr>
      <w:r>
        <w:rPr>
          <w:b/>
          <w:sz w:val="25"/>
          <w:rFonts w:ascii="Calibri" w:hAnsi="Calibri" w:eastAsia="Noto Sans CJK TC"/>
        </w:rPr>
        <w:t>圖說（可直接貼在圖下）</w:t>
      </w:r>
    </w:p>
    <w:p>
      <w:pPr>
        <w:spacing w:after="80" w:before="0"/>
      </w:pPr>
      <w:r>
        <w:rPr>
          <w:b/>
          <w:rFonts w:ascii="Calibri" w:hAnsi="Calibri" w:eastAsia="Noto Sans CJK TC"/>
        </w:rPr>
        <w:t>圖 X　非遺資產 RFID 防偽追蹤與 NFT 映射之系統架構（Savant 為中介控制中樞）</w:t>
      </w:r>
    </w:p>
    <w:p>
      <w:pPr>
        <w:spacing w:after="200" w:before="0"/>
      </w:pPr>
      <w:r>
        <w:rPr>
          <w:b w:val="0"/>
          <w:rFonts w:ascii="Calibri" w:hAnsi="Calibri" w:eastAsia="Noto Sans CJK TC"/>
        </w:rPr>
        <w:t>本架構以 RFID/NFC 作為實體資產的數位身分載體，並以 Savant（Middleware Host Layer）作為「事件淨化＋規則防禦＋寫碼下發」的控制中樞。底層讀寫器/閘道器在掃描實體資產時會產生大量且重複的原始事件（savant_event_raw），由 Savant 進行緩衝、去重與無效資料過濾後，輸出標準化事件流（savant_event_filtered）。同時 Savant 透過規則引擎（savant_rule）針對標籤疑似複製、異地讀取衝突、未授權讀取/移動，以及防拆狀態異常（anti_tamper_flag）觸發告警（savant_alert），未通過核驗之事件可被攔截並轉人工複核。完成淨化與核驗後的事件交由 ONS 解析至對應資源端點，並寫入 EPCIS 追溯庫形成全生命週期履歷（Chain of Custody）。最後，系統將鑑定證書、狀態報告與關鍵事件摘要生成 Hash（evidence_anchor）並上鏈存證，透過 asset_nft_binding 建立實體資產與 NFT Token 的一對一安全映射。</w:t>
      </w:r>
    </w:p>
    <w:p>
      <w:pPr>
        <w:spacing w:before="120" w:after="120"/>
      </w:pPr>
      <w:r>
        <w:rPr>
          <w:b/>
          <w:sz w:val="25"/>
          <w:rFonts w:ascii="Calibri" w:hAnsi="Calibri" w:eastAsia="Noto Sans CJK TC"/>
        </w:rPr>
        <w:t>Mermaid 架構圖（可貼入支援 Mermaid 的平台）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flowchart LR</w:t>
              <w:br/>
              <w:t xml:space="preserve">  A[RFID/NFC Tag\n(ICH-EPC + TID)] &lt;---&gt; R[Reader/Handheld/Tunnel]</w:t>
              <w:br/>
              <w:t xml:space="preserve">  R --&gt; G[Edge Gateway]</w:t>
              <w:br/>
              <w:br/>
              <w:t xml:space="preserve">  G --&gt; SR[(savant_event_raw)]</w:t>
              <w:br/>
              <w:t xml:space="preserve">  SR --&gt; S[Savant Middleware Host\n去重/過濾/標準化\n規則引擎/告警\n寫碼任務(tag_write_job)]</w:t>
              <w:br/>
              <w:t xml:space="preserve">  S --&gt; SF[(savant_event_filtered)]</w:t>
              <w:br/>
              <w:t xml:space="preserve">  S --&gt; AL[(savant_alert)]</w:t>
              <w:br/>
              <w:t xml:space="preserve">  S --&gt; RU[(savant_rule)]</w:t>
              <w:br/>
              <w:br/>
              <w:t xml:space="preserve">  SF --&gt; ONS[ONS\n物件名稱解析/端點定位]</w:t>
              <w:br/>
              <w:t xml:space="preserve">  ONS --&gt; EPCIS[(EPCIS Event Store\nepcis_event)]</w:t>
              <w:br/>
              <w:t xml:space="preserve">  EPCIS --&gt; APP[業務系統/CMS/WMS\n履歷查詢/盤點/交接]</w:t>
              <w:br/>
              <w:br/>
              <w:t xml:space="preserve">  APP --&gt; EV[(evidence_anchor\nHash/存證錨定)]</w:t>
              <w:br/>
              <w:t xml:space="preserve">  EV --&gt; BC[Blockchain\n不可篡改存證]</w:t>
              <w:br/>
              <w:t xml:space="preserve">  BC --&gt; NFT[NFT Mint/Metadata]</w:t>
              <w:br/>
              <w:t xml:space="preserve">  NFT --&gt; BIND[(asset_nft_binding\nAsset-Token 1:1)]</w:t>
              <w:br/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sz w:val="32"/>
          <w:rFonts w:ascii="Calibri" w:hAnsi="Calibri" w:eastAsia="Noto Sans CJK TC"/>
        </w:rPr>
        <w:t>版本B｜安全機制總結（3層防偽 + 1條上鏈證據鏈）</w:t>
      </w:r>
    </w:p>
    <w:p>
      <w:pPr>
        <w:spacing w:before="120" w:after="120"/>
      </w:pPr>
      <w:r>
        <w:rPr>
          <w:b/>
          <w:sz w:val="25"/>
          <w:rFonts w:ascii="Calibri" w:hAnsi="Calibri" w:eastAsia="Noto Sans CJK TC"/>
        </w:rPr>
        <w:t>一、三層防偽（不破壞文物本體的實務做法）</w:t>
      </w:r>
    </w:p>
    <w:p>
      <w:pPr>
        <w:spacing w:after="0" w:before="40"/>
      </w:pPr>
      <w:r>
        <w:rPr>
          <w:b/>
          <w:rFonts w:ascii="Calibri" w:hAnsi="Calibri" w:eastAsia="Noto Sans CJK TC"/>
        </w:rPr>
        <w:t>第1層｜非侵入式實體綁定（Non-destructive Binding）</w:t>
      </w:r>
    </w:p>
    <w:p>
      <w:pPr>
        <w:spacing w:after="80" w:before="0"/>
        <w:ind w:left="340"/>
      </w:pPr>
      <w:r>
        <w:rPr>
          <w:b w:val="0"/>
          <w:rFonts w:ascii="Calibri" w:hAnsi="Calibri" w:eastAsia="Noto Sans CJK TC"/>
        </w:rPr>
        <w:t>RFID/NFC 標籤不直接黏貼文物本體，改綁於鑑定證書、專屬包裝/防護匣或吊牌載體；必要時以無酸隔離材料降低化學污染與 VOC 風險。</w:t>
      </w:r>
    </w:p>
    <w:p>
      <w:pPr>
        <w:spacing w:after="0" w:before="40"/>
      </w:pPr>
      <w:r>
        <w:rPr>
          <w:b/>
          <w:rFonts w:ascii="Calibri" w:hAnsi="Calibri" w:eastAsia="Noto Sans CJK TC"/>
        </w:rPr>
        <w:t>第2層｜硬體防拆 + 晶片級防偽（Anti-tamper &amp; Hardware Verification）</w:t>
      </w:r>
    </w:p>
    <w:p>
      <w:pPr>
        <w:spacing w:after="80" w:before="0"/>
        <w:ind w:left="340"/>
      </w:pPr>
      <w:r>
        <w:rPr>
          <w:b w:val="0"/>
          <w:rFonts w:ascii="Calibri" w:hAnsi="Calibri" w:eastAsia="Noto Sans CJK TC"/>
        </w:rPr>
        <w:t>部署易碎防拆標於封口/證書貼合處；採用 TID + ICH-EPC 雙重綁定（平台寫入 ICH-EPC 並與晶片出廠唯一 TID 掛鉤），提升複製與偽造門檻。</w:t>
      </w:r>
    </w:p>
    <w:p>
      <w:pPr>
        <w:spacing w:after="0" w:before="40"/>
      </w:pPr>
      <w:r>
        <w:rPr>
          <w:b/>
          <w:rFonts w:ascii="Calibri" w:hAnsi="Calibri" w:eastAsia="Noto Sans CJK TC"/>
        </w:rPr>
        <w:t>第3層｜狀態報告交叉核驗（Condition Report / 物證合一）</w:t>
      </w:r>
    </w:p>
    <w:p>
      <w:pPr>
        <w:spacing w:after="80" w:before="0"/>
        <w:ind w:left="340"/>
      </w:pPr>
      <w:r>
        <w:rPr>
          <w:b w:val="0"/>
          <w:rFonts w:ascii="Calibri" w:hAnsi="Calibri" w:eastAsia="Noto Sans CJK TC"/>
        </w:rPr>
        <w:t>入庫/鑑定時建立高解析狀態報告，記錄裂痕、缺口、紋理等獨特特徵；核驗時掃標籤同步調出履歷/鑑定/特徵照片，以實物比對完成最終防偽。</w:t>
      </w:r>
    </w:p>
    <w:p>
      <w:pPr>
        <w:spacing w:before="120" w:after="120"/>
      </w:pPr>
      <w:r>
        <w:rPr>
          <w:b/>
          <w:sz w:val="25"/>
          <w:rFonts w:ascii="Calibri" w:hAnsi="Calibri" w:eastAsia="Noto Sans CJK TC"/>
        </w:rPr>
        <w:t>二、Savant：上鏈前的守門員 + 資料淨化器</w:t>
      </w:r>
    </w:p>
    <w:p>
      <w:pPr>
        <w:pStyle w:val="ListBullet"/>
        <w:spacing w:after="40"/>
      </w:pPr>
      <w:r>
        <w:rPr>
          <w:rFonts w:ascii="Calibri" w:hAnsi="Calibri" w:eastAsia="Noto Sans CJK TC"/>
        </w:rPr>
        <w:t>事件淨化：savant_event_raw → 去重/過濾 → savant_event_filtered（避免雜訊污染履歷）。</w:t>
      </w:r>
    </w:p>
    <w:p>
      <w:pPr>
        <w:pStyle w:val="ListBullet"/>
        <w:spacing w:after="40"/>
      </w:pPr>
      <w:r>
        <w:rPr>
          <w:rFonts w:ascii="Calibri" w:hAnsi="Calibri" w:eastAsia="Noto Sans CJK TC"/>
        </w:rPr>
        <w:t>規則防禦：savant_rule 偵測疑似複製、異地衝突、未授權移動、防拆異常 → 觸發 savant_alert，並可攔截轉人工複核。</w:t>
      </w:r>
    </w:p>
    <w:p>
      <w:pPr>
        <w:pStyle w:val="ListBullet"/>
        <w:spacing w:after="40"/>
      </w:pPr>
      <w:r>
        <w:rPr>
          <w:rFonts w:ascii="Calibri" w:hAnsi="Calibri" w:eastAsia="Noto Sans CJK TC"/>
        </w:rPr>
        <w:t>系統主導寫碼：tag_write_job 保障 ICH-EPC 正確寫入並與 TID 綁定，確保虛實關係可稽核。</w:t>
      </w:r>
    </w:p>
    <w:p>
      <w:pPr>
        <w:spacing w:before="120" w:after="120"/>
      </w:pPr>
      <w:r>
        <w:rPr>
          <w:b/>
          <w:sz w:val="25"/>
          <w:rFonts w:ascii="Calibri" w:hAnsi="Calibri" w:eastAsia="Noto Sans CJK TC"/>
        </w:rPr>
        <w:t>三、一條上鏈證據鏈（Evidence Chain）</w:t>
      </w:r>
    </w:p>
    <w:p>
      <w:pPr>
        <w:spacing w:after="160" w:before="0"/>
      </w:pPr>
      <w:r>
        <w:rPr>
          <w:b w:val="0"/>
          <w:rFonts w:ascii="Calibri" w:hAnsi="Calibri" w:eastAsia="Noto Sans CJK TC"/>
        </w:rPr>
        <w:t>Reader/Edge → Savant（淨化/告警）→ ONS（解析導流）→ EPCIS（事件履歷）→ evidence_anchor（Hash）→ Blockchain → NFT / asset_nft_binding（Asset-Token 1:1）</w:t>
      </w:r>
    </w:p>
    <w:p>
      <w:pPr>
        <w:spacing w:before="120" w:after="120"/>
      </w:pPr>
      <w:r>
        <w:rPr>
          <w:b/>
          <w:sz w:val="25"/>
          <w:rFonts w:ascii="Calibri" w:hAnsi="Calibri" w:eastAsia="Noto Sans CJK TC"/>
        </w:rPr>
        <w:t>四、風險—對策速查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rFonts w:ascii="Calibri" w:hAnsi="Calibri" w:eastAsia="Noto Sans CJK TC"/>
              </w:rPr>
              <w:t>主要風險</w:t>
            </w:r>
          </w:p>
        </w:tc>
        <w:tc>
          <w:tcPr>
            <w:tcW w:type="dxa" w:w="4706"/>
            <w:shd w:val="clear" w:color="auto"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rFonts w:ascii="Calibri" w:hAnsi="Calibri" w:eastAsia="Noto Sans CJK TC"/>
              </w:rPr>
              <w:t>對策/控制點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標籤複製/偽造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TID+ICH-EPC 雙綁定 + Savant 異地衝突/頻率規則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撕標轉移/調包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易碎防拆 + anti_tamper_flag 告警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未授權移動/讀取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Savant 權限規則 + 告警（可連動流程/出口鎖定）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履歷雜訊污染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Savant raw→filtered 後再入 EPCIS</w:t>
            </w:r>
          </w:p>
        </w:tc>
      </w:tr>
      <w:tr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真包裝裝假文物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Noto Sans CJK TC"/>
              </w:rPr>
              <w:t>Condition Report 特徵比對 + 證據 Hash 上鏈錨定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 w:eastAsia="Noto Sans CJK TC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