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4" w:lineRule="auto"/>
        <w:jc w:val="center"/>
      </w:pPr>
      <w:r>
        <w:rPr>
          <w:rFonts w:ascii="SimSun" w:hAnsi="SimSun" w:eastAsia="SimSun"/>
          <w:b/>
          <w:sz w:val="36"/>
        </w:rPr>
        <w:t>技术服务合同（修订整合版）</w:t>
      </w:r>
    </w:p>
    <w:p>
      <w:pPr>
        <w:spacing w:before="0" w:after="320" w:line="324" w:lineRule="auto"/>
        <w:jc w:val="center"/>
      </w:pPr>
      <w:r>
        <w:rPr>
          <w:rFonts w:ascii="SimSun" w:hAnsi="SimSun" w:eastAsia="SimSun"/>
          <w:b/>
          <w:sz w:val="28"/>
        </w:rPr>
        <w:t>项目名称：非遗文物物流与辨识、溯源系统开发</w:t>
      </w:r>
    </w:p>
    <w:tbl>
      <w:tblPr>
        <w:tblStyle w:val="TableGrid"/>
        <w:tblW w:type="auto" w:w="0"/>
        <w:jc w:val="center"/>
        <w:tblLook w:firstColumn="1" w:firstRow="1" w:lastColumn="0" w:lastRow="0" w:noHBand="0" w:noVBand="1" w:val="04A0"/>
      </w:tblPr>
      <w:tblGrid>
        <w:gridCol w:w="4703"/>
        <w:gridCol w:w="4703"/>
      </w:tblGrid>
      <w:tr>
        <w:tc>
          <w:tcPr>
            <w:tcW w:type="dxa" w:w="2268"/>
            <w:vAlign w:val="center"/>
          </w:tcPr>
          <w:p>
            <w:pPr>
              <w:spacing w:before="0" w:after="0" w:line="240" w:lineRule="auto"/>
              <w:jc w:val="center"/>
            </w:pPr>
            <w:r/>
            <w:r>
              <w:rPr>
                <w:rFonts w:ascii="SimSun" w:hAnsi="SimSun" w:eastAsia="SimSun"/>
                <w:b/>
                <w:sz w:val="21"/>
              </w:rPr>
              <w:t>委托方（甲方）</w:t>
            </w:r>
          </w:p>
        </w:tc>
        <w:tc>
          <w:tcPr>
            <w:tcW w:type="dxa" w:w="6520"/>
            <w:vAlign w:val="center"/>
          </w:tcPr>
          <w:p>
            <w:pPr>
              <w:spacing w:before="0" w:after="0" w:line="240" w:lineRule="auto"/>
              <w:jc w:val="left"/>
            </w:pPr>
            <w:r/>
            <w:r>
              <w:rPr>
                <w:rFonts w:ascii="SimSun" w:hAnsi="SimSun" w:eastAsia="SimSun"/>
                <w:b w:val="0"/>
                <w:sz w:val="21"/>
              </w:rPr>
              <w:t>保际（北京）非物质文化遗产保护发展有限公司</w:t>
            </w:r>
          </w:p>
        </w:tc>
      </w:tr>
      <w:tr>
        <w:tc>
          <w:tcPr>
            <w:tcW w:type="dxa" w:w="2268"/>
            <w:vAlign w:val="center"/>
          </w:tcPr>
          <w:p>
            <w:pPr>
              <w:spacing w:before="0" w:after="0" w:line="240" w:lineRule="auto"/>
              <w:jc w:val="center"/>
            </w:pPr>
            <w:r/>
            <w:r>
              <w:rPr>
                <w:rFonts w:ascii="SimSun" w:hAnsi="SimSun" w:eastAsia="SimSun"/>
                <w:b/>
                <w:sz w:val="21"/>
              </w:rPr>
              <w:t>受托方（乙方）</w:t>
            </w:r>
          </w:p>
        </w:tc>
        <w:tc>
          <w:tcPr>
            <w:tcW w:type="dxa" w:w="6520"/>
            <w:vAlign w:val="center"/>
          </w:tcPr>
          <w:p>
            <w:pPr>
              <w:spacing w:before="0" w:after="0" w:line="240" w:lineRule="auto"/>
              <w:jc w:val="left"/>
            </w:pPr>
            <w:r/>
            <w:r>
              <w:rPr>
                <w:rFonts w:ascii="SimSun" w:hAnsi="SimSun" w:eastAsia="SimSun"/>
                <w:b w:val="0"/>
                <w:sz w:val="21"/>
              </w:rPr>
              <w:t>福州外语外贸学院</w:t>
            </w:r>
          </w:p>
        </w:tc>
      </w:tr>
      <w:tr>
        <w:tc>
          <w:tcPr>
            <w:tcW w:type="dxa" w:w="2268"/>
            <w:vAlign w:val="center"/>
          </w:tcPr>
          <w:p>
            <w:pPr>
              <w:spacing w:before="0" w:after="0" w:line="240" w:lineRule="auto"/>
              <w:jc w:val="center"/>
            </w:pPr>
            <w:r/>
            <w:r>
              <w:rPr>
                <w:rFonts w:ascii="SimSun" w:hAnsi="SimSun" w:eastAsia="SimSun"/>
                <w:b/>
                <w:sz w:val="21"/>
              </w:rPr>
              <w:t>签订时间</w:t>
            </w:r>
          </w:p>
        </w:tc>
        <w:tc>
          <w:tcPr>
            <w:tcW w:type="dxa" w:w="6520"/>
            <w:vAlign w:val="center"/>
          </w:tcPr>
          <w:p>
            <w:pPr>
              <w:spacing w:before="0" w:after="0" w:line="240" w:lineRule="auto"/>
              <w:jc w:val="left"/>
            </w:pPr>
            <w:r/>
            <w:r>
              <w:rPr>
                <w:rFonts w:ascii="SimSun" w:hAnsi="SimSun" w:eastAsia="SimSun"/>
                <w:b w:val="0"/>
                <w:sz w:val="21"/>
              </w:rPr>
              <w:t>2026年4月15日</w:t>
            </w:r>
          </w:p>
        </w:tc>
      </w:tr>
      <w:tr>
        <w:tc>
          <w:tcPr>
            <w:tcW w:type="dxa" w:w="2268"/>
            <w:vAlign w:val="center"/>
          </w:tcPr>
          <w:p>
            <w:pPr>
              <w:spacing w:before="0" w:after="0" w:line="240" w:lineRule="auto"/>
              <w:jc w:val="center"/>
            </w:pPr>
            <w:r/>
            <w:r>
              <w:rPr>
                <w:rFonts w:ascii="SimSun" w:hAnsi="SimSun" w:eastAsia="SimSun"/>
                <w:b/>
                <w:sz w:val="21"/>
              </w:rPr>
              <w:t>签订地点</w:t>
            </w:r>
          </w:p>
        </w:tc>
        <w:tc>
          <w:tcPr>
            <w:tcW w:type="dxa" w:w="6520"/>
            <w:vAlign w:val="center"/>
          </w:tcPr>
          <w:p>
            <w:pPr>
              <w:spacing w:before="0" w:after="0" w:line="240" w:lineRule="auto"/>
              <w:jc w:val="left"/>
            </w:pPr>
            <w:r/>
            <w:r>
              <w:rPr>
                <w:rFonts w:ascii="SimSun" w:hAnsi="SimSun" w:eastAsia="SimSun"/>
                <w:b w:val="0"/>
                <w:sz w:val="21"/>
              </w:rPr>
              <w:t>北京市</w:t>
            </w:r>
          </w:p>
        </w:tc>
      </w:tr>
      <w:tr>
        <w:tc>
          <w:tcPr>
            <w:tcW w:type="dxa" w:w="2268"/>
            <w:vAlign w:val="center"/>
          </w:tcPr>
          <w:p>
            <w:pPr>
              <w:spacing w:before="0" w:after="0" w:line="240" w:lineRule="auto"/>
              <w:jc w:val="center"/>
            </w:pPr>
            <w:r/>
            <w:r>
              <w:rPr>
                <w:rFonts w:ascii="SimSun" w:hAnsi="SimSun" w:eastAsia="SimSun"/>
                <w:b/>
                <w:sz w:val="21"/>
              </w:rPr>
              <w:t>有效期限</w:t>
            </w:r>
          </w:p>
        </w:tc>
        <w:tc>
          <w:tcPr>
            <w:tcW w:type="dxa" w:w="6520"/>
            <w:vAlign w:val="center"/>
          </w:tcPr>
          <w:p>
            <w:pPr>
              <w:spacing w:before="0" w:after="0" w:line="240" w:lineRule="auto"/>
              <w:jc w:val="left"/>
            </w:pPr>
            <w:r/>
            <w:r>
              <w:rPr>
                <w:rFonts w:ascii="SimSun" w:hAnsi="SimSun" w:eastAsia="SimSun"/>
                <w:b w:val="0"/>
                <w:sz w:val="21"/>
              </w:rPr>
              <w:t>2026年4月15日至2027年4月14日</w:t>
            </w:r>
          </w:p>
        </w:tc>
      </w:tr>
      <w:tr>
        <w:tc>
          <w:tcPr>
            <w:tcW w:type="dxa" w:w="2268"/>
            <w:vAlign w:val="center"/>
          </w:tcPr>
          <w:p>
            <w:pPr>
              <w:spacing w:before="0" w:after="0" w:line="240" w:lineRule="auto"/>
              <w:jc w:val="center"/>
            </w:pPr>
            <w:r/>
            <w:r>
              <w:rPr>
                <w:rFonts w:ascii="SimSun" w:hAnsi="SimSun" w:eastAsia="SimSun"/>
                <w:b/>
                <w:sz w:val="21"/>
              </w:rPr>
              <w:t>版本说明</w:t>
            </w:r>
          </w:p>
        </w:tc>
        <w:tc>
          <w:tcPr>
            <w:tcW w:type="dxa" w:w="6520"/>
            <w:vAlign w:val="center"/>
          </w:tcPr>
          <w:p>
            <w:pPr>
              <w:spacing w:before="0" w:after="0" w:line="240" w:lineRule="auto"/>
              <w:jc w:val="left"/>
            </w:pPr>
            <w:r/>
            <w:r>
              <w:rPr>
                <w:rFonts w:ascii="SimSun" w:hAnsi="SimSun" w:eastAsia="SimSun"/>
                <w:b w:val="0"/>
                <w:sz w:val="21"/>
              </w:rPr>
              <w:t>本版以第一版《技术服务合同》为结构基础，吸收第二版修订建议，并参照产学合作合同之智慧财产条款进行整合。</w:t>
            </w:r>
          </w:p>
        </w:tc>
      </w:tr>
    </w:tbl>
    <w:p/>
    <w:p>
      <w:pPr>
        <w:spacing w:before="0" w:after="120" w:line="324" w:lineRule="auto"/>
      </w:pPr>
      <w:r>
        <w:rPr>
          <w:rFonts w:ascii="SimSun" w:hAnsi="SimSun" w:eastAsia="SimSun"/>
          <w:b w:val="0"/>
          <w:sz w:val="21"/>
        </w:rPr>
        <w:t>委托方（甲方）：保际（北京）非物质文化遗产保护发展有限公司</w:t>
      </w:r>
    </w:p>
    <w:p>
      <w:pPr>
        <w:spacing w:before="0" w:after="120" w:line="324" w:lineRule="auto"/>
      </w:pPr>
      <w:r>
        <w:rPr>
          <w:rFonts w:ascii="SimSun" w:hAnsi="SimSun" w:eastAsia="SimSun"/>
          <w:b w:val="0"/>
          <w:sz w:val="21"/>
        </w:rPr>
        <w:t>住所地：北京市丰台区方庄南路18号院3号楼1层3-1内1109</w:t>
      </w:r>
    </w:p>
    <w:p>
      <w:pPr>
        <w:spacing w:before="0" w:after="120" w:line="324" w:lineRule="auto"/>
      </w:pPr>
      <w:r>
        <w:rPr>
          <w:rFonts w:ascii="SimSun" w:hAnsi="SimSun" w:eastAsia="SimSun"/>
          <w:b w:val="0"/>
          <w:sz w:val="21"/>
        </w:rPr>
        <w:t>项目联系人：林少彬    电话：15562781987    电子邮箱：15562781987@163.com</w:t>
      </w:r>
    </w:p>
    <w:p>
      <w:pPr>
        <w:spacing w:before="0" w:after="120" w:line="324" w:lineRule="auto"/>
      </w:pPr>
      <w:r>
        <w:rPr>
          <w:rFonts w:ascii="SimSun" w:hAnsi="SimSun" w:eastAsia="SimSun"/>
          <w:b w:val="0"/>
          <w:sz w:val="21"/>
        </w:rPr>
        <w:t>受托方（乙方）：福州外语外贸学院</w:t>
      </w:r>
    </w:p>
    <w:p>
      <w:pPr>
        <w:spacing w:before="0" w:after="120" w:line="324" w:lineRule="auto"/>
      </w:pPr>
      <w:r>
        <w:rPr>
          <w:rFonts w:ascii="SimSun" w:hAnsi="SimSun" w:eastAsia="SimSun"/>
          <w:b w:val="0"/>
          <w:sz w:val="21"/>
        </w:rPr>
        <w:t>住所地：福建省福州长乐区首占新区育环路28号</w:t>
      </w:r>
    </w:p>
    <w:p>
      <w:pPr>
        <w:spacing w:before="0" w:after="120" w:line="324" w:lineRule="auto"/>
      </w:pPr>
      <w:r>
        <w:rPr>
          <w:rFonts w:ascii="SimSun" w:hAnsi="SimSun" w:eastAsia="SimSun"/>
          <w:b w:val="0"/>
          <w:sz w:val="21"/>
        </w:rPr>
        <w:t>项目联系人：谢坤达    电话：15880111091    电子邮箱：jumbokh@qq.com</w:t>
      </w:r>
    </w:p>
    <w:p>
      <w:pPr>
        <w:spacing w:before="0" w:after="120" w:line="324" w:lineRule="auto"/>
      </w:pPr>
      <w:r>
        <w:rPr>
          <w:rFonts w:ascii="SimSun" w:hAnsi="SimSun" w:eastAsia="SimSun"/>
          <w:b w:val="0"/>
          <w:sz w:val="21"/>
        </w:rPr>
        <w:t>项目组成员：谢坤达、郑欣、冯建淞、陈昭埌、严盛辉、颜俊英。</w:t>
      </w:r>
    </w:p>
    <w:p>
      <w:pPr>
        <w:spacing w:before="0" w:after="120" w:line="324" w:lineRule="auto"/>
        <w:ind w:firstLine="420"/>
      </w:pPr>
      <w:r>
        <w:rPr>
          <w:rFonts w:ascii="SimSun" w:hAnsi="SimSun" w:eastAsia="SimSun"/>
          <w:b w:val="0"/>
          <w:sz w:val="21"/>
        </w:rPr>
        <w:t>本合同甲方委托乙方就“非遗文物物流与辨识、溯源系统开发”项目提供专项技术服务，并支付相应技术服务报酬。双方依据《中华人民共和国民法典》等法律法规，在平等、自愿、诚实信用基础上，经协商一致，订立本合同，共同遵照执行。</w:t>
      </w:r>
    </w:p>
    <w:p>
      <w:pPr>
        <w:spacing w:before="160" w:after="80" w:line="324" w:lineRule="auto"/>
      </w:pPr>
      <w:r>
        <w:rPr>
          <w:rFonts w:ascii="SimSun" w:hAnsi="SimSun" w:eastAsia="SimSun"/>
          <w:b/>
          <w:sz w:val="24"/>
        </w:rPr>
        <w:t>第一条  技术服务目标、内容与项目定位</w:t>
      </w:r>
    </w:p>
    <w:p>
      <w:pPr>
        <w:spacing w:before="0" w:after="120" w:line="324" w:lineRule="auto"/>
        <w:ind w:firstLine="420"/>
      </w:pPr>
      <w:r>
        <w:rPr>
          <w:rFonts w:ascii="SimSun" w:hAnsi="SimSun" w:eastAsia="SimSun"/>
          <w:b w:val="0"/>
          <w:sz w:val="21"/>
        </w:rPr>
        <w:t>1. 技术服务目标：围绕非遗文物（或艺术品）物流与辨识管理需求，建设一套基于 RFID 的示范应用系统，实现文物/艺术品基础信息建档、NFC/UHF 双标签绑定、入库/出库管理、权限控制、事件采集、状态追踪与异常告警。</w:t>
      </w:r>
    </w:p>
    <w:p>
      <w:pPr>
        <w:spacing w:before="0" w:after="120" w:line="324" w:lineRule="auto"/>
        <w:ind w:firstLine="420"/>
      </w:pPr>
      <w:r>
        <w:rPr>
          <w:rFonts w:ascii="SimSun" w:hAnsi="SimSun" w:eastAsia="SimSun"/>
          <w:b w:val="0"/>
          <w:sz w:val="21"/>
        </w:rPr>
        <w:t>2. 技术服务内容包括但不限于：</w:t>
      </w:r>
    </w:p>
    <w:p>
      <w:pPr>
        <w:spacing w:before="0" w:after="120" w:line="324" w:lineRule="auto"/>
        <w:ind w:firstLine="420"/>
      </w:pPr>
      <w:r>
        <w:rPr>
          <w:rFonts w:ascii="SimSun" w:hAnsi="SimSun" w:eastAsia="SimSun"/>
          <w:b w:val="0"/>
          <w:sz w:val="21"/>
        </w:rPr>
        <w:t>（1）文物基础信息建档模块设计与实现；</w:t>
      </w:r>
    </w:p>
    <w:p>
      <w:pPr>
        <w:spacing w:before="0" w:after="120" w:line="324" w:lineRule="auto"/>
        <w:ind w:firstLine="420"/>
      </w:pPr>
      <w:r>
        <w:rPr>
          <w:rFonts w:ascii="SimSun" w:hAnsi="SimSun" w:eastAsia="SimSun"/>
          <w:b w:val="0"/>
          <w:sz w:val="21"/>
        </w:rPr>
        <w:t>（2）NFC/UHF 双标签编码、绑定、管理与查询功能设计与实现；</w:t>
      </w:r>
    </w:p>
    <w:p>
      <w:pPr>
        <w:spacing w:before="0" w:after="120" w:line="324" w:lineRule="auto"/>
        <w:ind w:firstLine="420"/>
      </w:pPr>
      <w:r>
        <w:rPr>
          <w:rFonts w:ascii="SimSun" w:hAnsi="SimSun" w:eastAsia="SimSun"/>
          <w:b w:val="0"/>
          <w:sz w:val="21"/>
        </w:rPr>
        <w:t>（3）入库、出库、回库、审批联动、权限控制与异常告警功能设计与实现；</w:t>
      </w:r>
    </w:p>
    <w:p>
      <w:pPr>
        <w:spacing w:before="0" w:after="120" w:line="324" w:lineRule="auto"/>
        <w:ind w:firstLine="420"/>
      </w:pPr>
      <w:r>
        <w:rPr>
          <w:rFonts w:ascii="SimSun" w:hAnsi="SimSun" w:eastAsia="SimSun"/>
          <w:b w:val="0"/>
          <w:sz w:val="21"/>
        </w:rPr>
        <w:t>（4）RFID 感知设备接入、Savant 中间件配置、事件过滤、聚合处理及数据对接；</w:t>
      </w:r>
    </w:p>
    <w:p>
      <w:pPr>
        <w:spacing w:before="0" w:after="120" w:line="324" w:lineRule="auto"/>
        <w:ind w:firstLine="420"/>
      </w:pPr>
      <w:r>
        <w:rPr>
          <w:rFonts w:ascii="SimSun" w:hAnsi="SimSun" w:eastAsia="SimSun"/>
          <w:b w:val="0"/>
          <w:sz w:val="21"/>
        </w:rPr>
        <w:t>（5）系统原型、演示流程、测试环境及部署调试；</w:t>
      </w:r>
    </w:p>
    <w:p>
      <w:pPr>
        <w:spacing w:before="0" w:after="120" w:line="324" w:lineRule="auto"/>
        <w:ind w:firstLine="420"/>
      </w:pPr>
      <w:r>
        <w:rPr>
          <w:rFonts w:ascii="SimSun" w:hAnsi="SimSun" w:eastAsia="SimSun"/>
          <w:b w:val="0"/>
          <w:sz w:val="21"/>
        </w:rPr>
        <w:t>（6）需求、设计、测试、验收、培训及运维相关文档整理。</w:t>
      </w:r>
    </w:p>
    <w:p>
      <w:pPr>
        <w:spacing w:before="0" w:after="120" w:line="324" w:lineRule="auto"/>
        <w:ind w:firstLine="420"/>
      </w:pPr>
      <w:r>
        <w:rPr>
          <w:rFonts w:ascii="SimSun" w:hAnsi="SimSun" w:eastAsia="SimSun"/>
          <w:b w:val="0"/>
          <w:sz w:val="21"/>
        </w:rPr>
        <w:t>3. 项目定位：本项目不以单纯“系统开发”为唯一目标，还应兼顾实际应用场景落地、博物馆/展陈场景对接、可展示性及后续推广应用潜力。</w:t>
      </w:r>
    </w:p>
    <w:p>
      <w:pPr>
        <w:spacing w:before="160" w:after="80" w:line="324" w:lineRule="auto"/>
      </w:pPr>
      <w:r>
        <w:rPr>
          <w:rFonts w:ascii="SimSun" w:hAnsi="SimSun" w:eastAsia="SimSun"/>
          <w:b/>
          <w:sz w:val="24"/>
        </w:rPr>
        <w:t>第二条  服务方式、地点、期限、进度及质量要求</w:t>
      </w:r>
    </w:p>
    <w:p>
      <w:pPr>
        <w:spacing w:before="0" w:after="120" w:line="324" w:lineRule="auto"/>
        <w:ind w:firstLine="420"/>
      </w:pPr>
      <w:r>
        <w:rPr>
          <w:rFonts w:ascii="SimSun" w:hAnsi="SimSun" w:eastAsia="SimSun"/>
          <w:b w:val="0"/>
          <w:sz w:val="21"/>
        </w:rPr>
        <w:t>1. 服务方式：现场技术服务与远程支持相结合。</w:t>
      </w:r>
    </w:p>
    <w:p>
      <w:pPr>
        <w:spacing w:before="0" w:after="120" w:line="324" w:lineRule="auto"/>
        <w:ind w:firstLine="420"/>
      </w:pPr>
      <w:r>
        <w:rPr>
          <w:rFonts w:ascii="SimSun" w:hAnsi="SimSun" w:eastAsia="SimSun"/>
          <w:b w:val="0"/>
          <w:sz w:val="21"/>
        </w:rPr>
        <w:t>2. 服务地点：甲方指定场所（北京市）及乙方所在地（福州市）；必要时双方可书面协商其他测试或展示地点。</w:t>
      </w:r>
    </w:p>
    <w:p>
      <w:pPr>
        <w:spacing w:before="0" w:after="120" w:line="324" w:lineRule="auto"/>
        <w:ind w:firstLine="420"/>
      </w:pPr>
      <w:r>
        <w:rPr>
          <w:rFonts w:ascii="SimSun" w:hAnsi="SimSun" w:eastAsia="SimSun"/>
          <w:b w:val="0"/>
          <w:sz w:val="21"/>
        </w:rPr>
        <w:t>3. 服务期限：自合同生效之日起六个月。</w:t>
      </w:r>
    </w:p>
    <w:p>
      <w:pPr>
        <w:spacing w:before="0" w:after="120" w:line="324" w:lineRule="auto"/>
        <w:ind w:firstLine="420"/>
      </w:pPr>
      <w:r>
        <w:rPr>
          <w:rFonts w:ascii="SimSun" w:hAnsi="SimSun" w:eastAsia="SimSun"/>
          <w:b w:val="0"/>
          <w:sz w:val="21"/>
        </w:rPr>
        <w:t>4. 计划进度：</w:t>
      </w:r>
    </w:p>
    <w:p>
      <w:pPr>
        <w:spacing w:before="0" w:after="120" w:line="324" w:lineRule="auto"/>
        <w:ind w:firstLine="420"/>
      </w:pPr>
      <w:r>
        <w:rPr>
          <w:rFonts w:ascii="SimSun" w:hAnsi="SimSun" w:eastAsia="SimSun"/>
          <w:b w:val="0"/>
          <w:sz w:val="21"/>
        </w:rPr>
        <w:t>（1）第 1-2 个月：需求确认、场景梳理、系统框架设计、标签方案及项目计划输出；</w:t>
      </w:r>
    </w:p>
    <w:p>
      <w:pPr>
        <w:spacing w:before="0" w:after="120" w:line="324" w:lineRule="auto"/>
        <w:ind w:firstLine="420"/>
      </w:pPr>
      <w:r>
        <w:rPr>
          <w:rFonts w:ascii="SimSun" w:hAnsi="SimSun" w:eastAsia="SimSun"/>
          <w:b w:val="0"/>
          <w:sz w:val="21"/>
        </w:rPr>
        <w:t>（2）第 3-4 个月：主要功能开发、Savant 中间件配置、核心流程联调；</w:t>
      </w:r>
    </w:p>
    <w:p>
      <w:pPr>
        <w:spacing w:before="0" w:after="120" w:line="324" w:lineRule="auto"/>
        <w:ind w:firstLine="420"/>
      </w:pPr>
      <w:r>
        <w:rPr>
          <w:rFonts w:ascii="SimSun" w:hAnsi="SimSun" w:eastAsia="SimSun"/>
          <w:b w:val="0"/>
          <w:sz w:val="21"/>
        </w:rPr>
        <w:t>（3）第 5 个月：部署测试、演示验证、异常流程验证及阶段整改；</w:t>
      </w:r>
    </w:p>
    <w:p>
      <w:pPr>
        <w:spacing w:before="0" w:after="120" w:line="324" w:lineRule="auto"/>
        <w:ind w:firstLine="420"/>
      </w:pPr>
      <w:r>
        <w:rPr>
          <w:rFonts w:ascii="SimSun" w:hAnsi="SimSun" w:eastAsia="SimSun"/>
          <w:b w:val="0"/>
          <w:sz w:val="21"/>
        </w:rPr>
        <w:t>（4）第 6 个月：培训、知识移交、最终验收与结项。</w:t>
      </w:r>
    </w:p>
    <w:p>
      <w:pPr>
        <w:spacing w:before="0" w:after="120" w:line="324" w:lineRule="auto"/>
        <w:ind w:firstLine="420"/>
      </w:pPr>
      <w:r>
        <w:rPr>
          <w:rFonts w:ascii="SimSun" w:hAnsi="SimSun" w:eastAsia="SimSun"/>
          <w:b w:val="0"/>
          <w:sz w:val="21"/>
        </w:rPr>
        <w:t>5. 质量要求：系统应能够稳定实现文物建档、双标签绑定、入出库流程管理、权限控制、异常告警、基础留痕及场景演示功能。</w:t>
      </w:r>
    </w:p>
    <w:p>
      <w:pPr>
        <w:spacing w:before="0" w:after="120" w:line="324" w:lineRule="auto"/>
        <w:ind w:firstLine="420"/>
      </w:pPr>
      <w:r>
        <w:rPr>
          <w:rFonts w:ascii="SimSun" w:hAnsi="SimSun" w:eastAsia="SimSun"/>
          <w:b w:val="0"/>
          <w:sz w:val="21"/>
        </w:rPr>
        <w:t>6. 质量保证期：项目验收合格后，乙方提供六个月免费运维支持及相关技术咨询。</w:t>
      </w:r>
    </w:p>
    <w:p>
      <w:pPr>
        <w:spacing w:before="160" w:after="80" w:line="324" w:lineRule="auto"/>
      </w:pPr>
      <w:r>
        <w:rPr>
          <w:rFonts w:ascii="SimSun" w:hAnsi="SimSun" w:eastAsia="SimSun"/>
          <w:b/>
          <w:sz w:val="24"/>
        </w:rPr>
        <w:t>第三条  甲方提供的工作条件、协作事项与配合义务</w:t>
      </w:r>
    </w:p>
    <w:p>
      <w:pPr>
        <w:spacing w:before="0" w:after="120" w:line="324" w:lineRule="auto"/>
        <w:ind w:firstLine="420"/>
      </w:pPr>
      <w:r>
        <w:rPr>
          <w:rFonts w:ascii="SimSun" w:hAnsi="SimSun" w:eastAsia="SimSun"/>
          <w:b w:val="0"/>
          <w:sz w:val="21"/>
        </w:rPr>
        <w:t>1. 甲方应于合同生效后十个工作日内，向乙方提供项目所需的基础资料、业务流程、场景说明、测试对象信息、展示需求及其他必要协作信息。</w:t>
      </w:r>
    </w:p>
    <w:p>
      <w:pPr>
        <w:spacing w:before="0" w:after="120" w:line="324" w:lineRule="auto"/>
        <w:ind w:firstLine="420"/>
      </w:pPr>
      <w:r>
        <w:rPr>
          <w:rFonts w:ascii="SimSun" w:hAnsi="SimSun" w:eastAsia="SimSun"/>
          <w:b w:val="0"/>
          <w:sz w:val="21"/>
        </w:rPr>
        <w:t>2. 甲方应指定固定项目联系人及业务接口人员，负责需求澄清、业务规则确认、测试组织、流程确认、验收参与及书面反馈。</w:t>
      </w:r>
    </w:p>
    <w:p>
      <w:pPr>
        <w:spacing w:before="0" w:after="120" w:line="324" w:lineRule="auto"/>
        <w:ind w:firstLine="420"/>
      </w:pPr>
      <w:r>
        <w:rPr>
          <w:rFonts w:ascii="SimSun" w:hAnsi="SimSun" w:eastAsia="SimSun"/>
          <w:b w:val="0"/>
          <w:sz w:val="21"/>
        </w:rPr>
        <w:t>3. 甲方应提供或协调必要的测试环境、场地、电源、网络、设备部署条件及其他现场配套资源。</w:t>
      </w:r>
    </w:p>
    <w:p>
      <w:pPr>
        <w:spacing w:before="0" w:after="120" w:line="324" w:lineRule="auto"/>
        <w:ind w:firstLine="420"/>
      </w:pPr>
      <w:r>
        <w:rPr>
          <w:rFonts w:ascii="SimSun" w:hAnsi="SimSun" w:eastAsia="SimSun"/>
          <w:b w:val="0"/>
          <w:sz w:val="21"/>
        </w:rPr>
        <w:t>4. 甲方对乙方提交的需求说明、设计文档、阶段成果、测试报告等，应在合理期限内完成审阅与反馈；逾期未反馈且不提出实质异议的，乙方可按既定计划继续推进。</w:t>
      </w:r>
    </w:p>
    <w:p>
      <w:pPr>
        <w:spacing w:before="0" w:after="120" w:line="324" w:lineRule="auto"/>
        <w:ind w:firstLine="420"/>
      </w:pPr>
      <w:r>
        <w:rPr>
          <w:rFonts w:ascii="SimSun" w:hAnsi="SimSun" w:eastAsia="SimSun"/>
          <w:b w:val="0"/>
          <w:sz w:val="21"/>
        </w:rPr>
        <w:t>5. 因甲方未及时提供资料、场地条件、书面确认或临时变更核心需求导致项目延期的，履约期限相应顺延，乙方不承担由此产生的违约责任。</w:t>
      </w:r>
    </w:p>
    <w:p>
      <w:pPr>
        <w:spacing w:before="160" w:after="80" w:line="324" w:lineRule="auto"/>
      </w:pPr>
      <w:r>
        <w:rPr>
          <w:rFonts w:ascii="SimSun" w:hAnsi="SimSun" w:eastAsia="SimSun"/>
          <w:b/>
          <w:sz w:val="24"/>
        </w:rPr>
        <w:t>第四条  项目沟通、变更管理及书面确认机制</w:t>
      </w:r>
    </w:p>
    <w:p>
      <w:pPr>
        <w:spacing w:before="0" w:after="120" w:line="324" w:lineRule="auto"/>
        <w:ind w:firstLine="420"/>
      </w:pPr>
      <w:r>
        <w:rPr>
          <w:rFonts w:ascii="SimSun" w:hAnsi="SimSun" w:eastAsia="SimSun"/>
          <w:b w:val="0"/>
          <w:sz w:val="21"/>
        </w:rPr>
        <w:t>1. 双方应建立项目对接群，用于需求澄清、资料往返、问题跟踪、测试安排、会议纪要留存及日常协作。</w:t>
      </w:r>
    </w:p>
    <w:p>
      <w:pPr>
        <w:spacing w:before="0" w:after="120" w:line="324" w:lineRule="auto"/>
        <w:ind w:firstLine="420"/>
      </w:pPr>
      <w:r>
        <w:rPr>
          <w:rFonts w:ascii="SimSun" w:hAnsi="SimSun" w:eastAsia="SimSun"/>
          <w:b w:val="0"/>
          <w:sz w:val="21"/>
        </w:rPr>
        <w:t>2. 原则上，项目推进期间双方至少每两周进行一次进度沟通；遇关键节点、重大问题或合同修订事项时，可临时召开专项会议。</w:t>
      </w:r>
    </w:p>
    <w:p>
      <w:pPr>
        <w:spacing w:before="0" w:after="120" w:line="324" w:lineRule="auto"/>
        <w:ind w:firstLine="420"/>
      </w:pPr>
      <w:r>
        <w:rPr>
          <w:rFonts w:ascii="SimSun" w:hAnsi="SimSun" w:eastAsia="SimSun"/>
          <w:b w:val="0"/>
          <w:sz w:val="21"/>
        </w:rPr>
        <w:t>3. 凡涉及范围新增、关键需求变更、交付时间调整、验收口径调整、商业化合作安排、额外资源投入等事项，均应通过会议纪要、邮件、群消息确认、书面签认或补充协议等方式留痕确认。</w:t>
      </w:r>
    </w:p>
    <w:p>
      <w:pPr>
        <w:spacing w:before="0" w:after="120" w:line="324" w:lineRule="auto"/>
        <w:ind w:firstLine="420"/>
      </w:pPr>
      <w:r>
        <w:rPr>
          <w:rFonts w:ascii="SimSun" w:hAnsi="SimSun" w:eastAsia="SimSun"/>
          <w:b w:val="0"/>
          <w:sz w:val="21"/>
        </w:rPr>
        <w:t>4. 无人机配送、低空经济、其他高监管硬件系统或新增大型平台对接等延伸事项，不当然纳入本合同既定交付范围；如需纳入实施，应由双方另行签署补充协议。</w:t>
      </w:r>
    </w:p>
    <w:p>
      <w:pPr>
        <w:spacing w:before="160" w:after="80" w:line="324" w:lineRule="auto"/>
      </w:pPr>
      <w:r>
        <w:rPr>
          <w:rFonts w:ascii="SimSun" w:hAnsi="SimSun" w:eastAsia="SimSun"/>
          <w:b/>
          <w:sz w:val="24"/>
        </w:rPr>
        <w:t>第五条  技术服务报酬及支付方式</w:t>
      </w:r>
    </w:p>
    <w:p>
      <w:pPr>
        <w:spacing w:before="0" w:after="120" w:line="324" w:lineRule="auto"/>
        <w:ind w:firstLine="420"/>
      </w:pPr>
      <w:r>
        <w:rPr>
          <w:rFonts w:ascii="SimSun" w:hAnsi="SimSun" w:eastAsia="SimSun"/>
          <w:b w:val="0"/>
          <w:sz w:val="21"/>
        </w:rPr>
        <w:t>1. 技术服务费总额为人民币 145,684.48 元（大写：壹拾肆万伍仟陆佰捌拾肆元肆角捌分）。</w:t>
      </w:r>
    </w:p>
    <w:p>
      <w:pPr>
        <w:spacing w:before="0" w:after="120" w:line="324" w:lineRule="auto"/>
        <w:ind w:firstLine="420"/>
      </w:pPr>
      <w:r>
        <w:rPr>
          <w:rFonts w:ascii="SimSun" w:hAnsi="SimSun" w:eastAsia="SimSun"/>
          <w:b w:val="0"/>
          <w:sz w:val="21"/>
        </w:rPr>
        <w:t>2. 经费明细如下：附件硬件 36,982.48 元、服务器 31,202.00 元、顾问费 30,000.00 元（2 人×15,000 元）、工时费 45,000.00 元（45 天×1,000 元）、路由器五金 2,500.00 元。</w:t>
      </w:r>
    </w:p>
    <w:p>
      <w:pPr>
        <w:spacing w:before="0" w:after="120" w:line="324" w:lineRule="auto"/>
        <w:ind w:firstLine="420"/>
      </w:pPr>
      <w:r>
        <w:rPr>
          <w:rFonts w:ascii="SimSun" w:hAnsi="SimSun" w:eastAsia="SimSun"/>
          <w:b w:val="0"/>
          <w:sz w:val="21"/>
        </w:rPr>
        <w:t>3. 为降低履约风险并对应项目节点，甲方分三期支付乙方技术服务费：</w:t>
      </w:r>
    </w:p>
    <w:p>
      <w:pPr>
        <w:spacing w:before="0" w:after="120" w:line="324" w:lineRule="auto"/>
        <w:ind w:firstLine="420"/>
      </w:pPr>
      <w:r>
        <w:rPr>
          <w:rFonts w:ascii="SimSun" w:hAnsi="SimSun" w:eastAsia="SimSun"/>
          <w:b w:val="0"/>
          <w:sz w:val="21"/>
        </w:rPr>
        <w:t>（1）首期款：合同签订后十个工作日内，支付合同总额的 40%；</w:t>
      </w:r>
    </w:p>
    <w:p>
      <w:pPr>
        <w:spacing w:before="0" w:after="120" w:line="324" w:lineRule="auto"/>
        <w:ind w:firstLine="420"/>
      </w:pPr>
      <w:r>
        <w:rPr>
          <w:rFonts w:ascii="SimSun" w:hAnsi="SimSun" w:eastAsia="SimSun"/>
          <w:b w:val="0"/>
          <w:sz w:val="21"/>
        </w:rPr>
        <w:t>（2）中期款：主要功能完成、硬件到货并完成阶段联调后十个工作日内，支付合同总额的 40%；</w:t>
      </w:r>
    </w:p>
    <w:p>
      <w:pPr>
        <w:spacing w:before="0" w:after="120" w:line="324" w:lineRule="auto"/>
        <w:ind w:firstLine="420"/>
      </w:pPr>
      <w:r>
        <w:rPr>
          <w:rFonts w:ascii="SimSun" w:hAnsi="SimSun" w:eastAsia="SimSun"/>
          <w:b w:val="0"/>
          <w:sz w:val="21"/>
        </w:rPr>
        <w:t>（3）尾款：最终验收合格后十个工作日内，支付剩余 20%。</w:t>
      </w:r>
    </w:p>
    <w:p>
      <w:pPr>
        <w:spacing w:before="0" w:after="120" w:line="324" w:lineRule="auto"/>
        <w:ind w:firstLine="420"/>
      </w:pPr>
      <w:r>
        <w:rPr>
          <w:rFonts w:ascii="SimSun" w:hAnsi="SimSun" w:eastAsia="SimSun"/>
          <w:b w:val="0"/>
          <w:sz w:val="21"/>
        </w:rPr>
        <w:t>4. 乙方开户银行名称、地址和帐号沿用原合同信息；如有调整，以乙方正式书面通知为准。</w:t>
      </w:r>
    </w:p>
    <w:p>
      <w:pPr>
        <w:spacing w:before="160" w:after="80" w:line="324" w:lineRule="auto"/>
      </w:pPr>
      <w:r>
        <w:rPr>
          <w:rFonts w:ascii="SimSun" w:hAnsi="SimSun" w:eastAsia="SimSun"/>
          <w:b/>
          <w:sz w:val="24"/>
        </w:rPr>
        <w:t>第六条  工作报告、交付成果与验收标准</w:t>
      </w:r>
    </w:p>
    <w:p>
      <w:pPr>
        <w:spacing w:before="0" w:after="120" w:line="324" w:lineRule="auto"/>
        <w:ind w:firstLine="420"/>
      </w:pPr>
      <w:r>
        <w:rPr>
          <w:rFonts w:ascii="SimSun" w:hAnsi="SimSun" w:eastAsia="SimSun"/>
          <w:b w:val="0"/>
          <w:sz w:val="21"/>
        </w:rPr>
        <w:t>1. 项目实施过程中，甲方有权了解项目执行情况，乙方应在合理范围内提供必要说明、相关资料及答疑支持。</w:t>
      </w:r>
    </w:p>
    <w:p>
      <w:pPr>
        <w:spacing w:before="0" w:after="120" w:line="324" w:lineRule="auto"/>
        <w:ind w:firstLine="420"/>
      </w:pPr>
      <w:r>
        <w:rPr>
          <w:rFonts w:ascii="SimSun" w:hAnsi="SimSun" w:eastAsia="SimSun"/>
          <w:b w:val="0"/>
          <w:sz w:val="21"/>
        </w:rPr>
        <w:t>2. 乙方交付成果原则上包括但不限于：</w:t>
      </w:r>
    </w:p>
    <w:p>
      <w:pPr>
        <w:spacing w:before="0" w:after="120" w:line="324" w:lineRule="auto"/>
        <w:ind w:firstLine="420"/>
      </w:pPr>
      <w:r>
        <w:rPr>
          <w:rFonts w:ascii="SimSun" w:hAnsi="SimSun" w:eastAsia="SimSun"/>
          <w:b w:val="0"/>
          <w:sz w:val="21"/>
        </w:rPr>
        <w:t>（1）需求分析或业务流程说明文件；</w:t>
      </w:r>
    </w:p>
    <w:p>
      <w:pPr>
        <w:spacing w:before="0" w:after="120" w:line="324" w:lineRule="auto"/>
        <w:ind w:firstLine="420"/>
      </w:pPr>
      <w:r>
        <w:rPr>
          <w:rFonts w:ascii="SimSun" w:hAnsi="SimSun" w:eastAsia="SimSun"/>
          <w:b w:val="0"/>
          <w:sz w:val="21"/>
        </w:rPr>
        <w:t>（2）系统架构图、数据库或基础数据设计文件；</w:t>
      </w:r>
    </w:p>
    <w:p>
      <w:pPr>
        <w:spacing w:before="0" w:after="120" w:line="324" w:lineRule="auto"/>
        <w:ind w:firstLine="420"/>
      </w:pPr>
      <w:r>
        <w:rPr>
          <w:rFonts w:ascii="SimSun" w:hAnsi="SimSun" w:eastAsia="SimSun"/>
          <w:b w:val="0"/>
          <w:sz w:val="21"/>
        </w:rPr>
        <w:t>（3）原型系统或演示系统；</w:t>
      </w:r>
    </w:p>
    <w:p>
      <w:pPr>
        <w:spacing w:before="0" w:after="120" w:line="324" w:lineRule="auto"/>
        <w:ind w:firstLine="420"/>
      </w:pPr>
      <w:r>
        <w:rPr>
          <w:rFonts w:ascii="SimSun" w:hAnsi="SimSun" w:eastAsia="SimSun"/>
          <w:b w:val="0"/>
          <w:sz w:val="21"/>
        </w:rPr>
        <w:t>（4）硬件对接、标签方案、Savant 中间件事件处理说明；</w:t>
      </w:r>
    </w:p>
    <w:p>
      <w:pPr>
        <w:spacing w:before="0" w:after="120" w:line="324" w:lineRule="auto"/>
        <w:ind w:firstLine="420"/>
      </w:pPr>
      <w:r>
        <w:rPr>
          <w:rFonts w:ascii="SimSun" w:hAnsi="SimSun" w:eastAsia="SimSun"/>
          <w:b w:val="0"/>
          <w:sz w:val="21"/>
        </w:rPr>
        <w:t>（5）测试记录、问题清单、整改说明；</w:t>
      </w:r>
    </w:p>
    <w:p>
      <w:pPr>
        <w:spacing w:before="0" w:after="120" w:line="324" w:lineRule="auto"/>
        <w:ind w:firstLine="420"/>
      </w:pPr>
      <w:r>
        <w:rPr>
          <w:rFonts w:ascii="SimSun" w:hAnsi="SimSun" w:eastAsia="SimSun"/>
          <w:b w:val="0"/>
          <w:sz w:val="21"/>
        </w:rPr>
        <w:t>（6）用户操作说明、培训或知识移交材料。</w:t>
      </w:r>
    </w:p>
    <w:p>
      <w:pPr>
        <w:spacing w:before="0" w:after="120" w:line="324" w:lineRule="auto"/>
        <w:ind w:firstLine="420"/>
      </w:pPr>
      <w:r>
        <w:rPr>
          <w:rFonts w:ascii="SimSun" w:hAnsi="SimSun" w:eastAsia="SimSun"/>
          <w:b w:val="0"/>
          <w:sz w:val="21"/>
        </w:rPr>
        <w:t>3. 验收采用“功能验收 + 场景验收”方式进行：</w:t>
      </w:r>
    </w:p>
    <w:p>
      <w:pPr>
        <w:spacing w:before="0" w:after="120" w:line="324" w:lineRule="auto"/>
        <w:ind w:firstLine="420"/>
      </w:pPr>
      <w:r>
        <w:rPr>
          <w:rFonts w:ascii="SimSun" w:hAnsi="SimSun" w:eastAsia="SimSun"/>
          <w:b w:val="0"/>
          <w:sz w:val="21"/>
        </w:rPr>
        <w:t>（1）文物建档、双标签绑定、入出库流程与权限控制功能可正常运行；</w:t>
      </w:r>
    </w:p>
    <w:p>
      <w:pPr>
        <w:spacing w:before="0" w:after="120" w:line="324" w:lineRule="auto"/>
        <w:ind w:firstLine="420"/>
      </w:pPr>
      <w:r>
        <w:rPr>
          <w:rFonts w:ascii="SimSun" w:hAnsi="SimSun" w:eastAsia="SimSun"/>
          <w:b w:val="0"/>
          <w:sz w:val="21"/>
        </w:rPr>
        <w:t>（2）Savant 可对合法与异常事件进行识别、记录与展示；</w:t>
      </w:r>
    </w:p>
    <w:p>
      <w:pPr>
        <w:spacing w:before="0" w:after="120" w:line="324" w:lineRule="auto"/>
        <w:ind w:firstLine="420"/>
      </w:pPr>
      <w:r>
        <w:rPr>
          <w:rFonts w:ascii="SimSun" w:hAnsi="SimSun" w:eastAsia="SimSun"/>
          <w:b w:val="0"/>
          <w:sz w:val="21"/>
        </w:rPr>
        <w:t>（3）示范场景可完成至少一轮“建档—入库—申请/审批—出库—回库”闭环演示；</w:t>
      </w:r>
    </w:p>
    <w:p>
      <w:pPr>
        <w:spacing w:before="0" w:after="120" w:line="324" w:lineRule="auto"/>
        <w:ind w:firstLine="420"/>
      </w:pPr>
      <w:r>
        <w:rPr>
          <w:rFonts w:ascii="SimSun" w:hAnsi="SimSun" w:eastAsia="SimSun"/>
          <w:b w:val="0"/>
          <w:sz w:val="21"/>
        </w:rPr>
        <w:t>（4）主要交付文档齐备，并完成现场或线上培训说明。</w:t>
      </w:r>
    </w:p>
    <w:p>
      <w:pPr>
        <w:spacing w:before="0" w:after="120" w:line="324" w:lineRule="auto"/>
        <w:ind w:firstLine="420"/>
      </w:pPr>
      <w:r>
        <w:rPr>
          <w:rFonts w:ascii="SimSun" w:hAnsi="SimSun" w:eastAsia="SimSun"/>
          <w:b w:val="0"/>
          <w:sz w:val="21"/>
        </w:rPr>
        <w:t>4. 验收应由双方共同参与，并形成书面验收纪要。若甲方于验收后提出新增功能或超出原范围的调整，应另行确认工期、费用与交付方式。</w:t>
      </w:r>
    </w:p>
    <w:p>
      <w:pPr>
        <w:spacing w:before="160" w:after="80" w:line="324" w:lineRule="auto"/>
      </w:pPr>
      <w:r>
        <w:rPr>
          <w:rFonts w:ascii="SimSun" w:hAnsi="SimSun" w:eastAsia="SimSun"/>
          <w:b/>
          <w:sz w:val="24"/>
        </w:rPr>
        <w:t>第七条  智慧财产、成果归属及使用方式</w:t>
      </w:r>
    </w:p>
    <w:p>
      <w:pPr>
        <w:spacing w:before="0" w:after="120" w:line="324" w:lineRule="auto"/>
        <w:ind w:firstLine="420"/>
      </w:pPr>
      <w:r>
        <w:rPr>
          <w:rFonts w:ascii="SimSun" w:hAnsi="SimSun" w:eastAsia="SimSun"/>
          <w:b w:val="0"/>
          <w:sz w:val="21"/>
        </w:rPr>
        <w:t>1. 甲方如于本项目开始执行前或执行过程中，另行与乙方签订技术转让、技术许可或成果转化协议者，相关知识产权及使用方式依该等协议另行规范。</w:t>
      </w:r>
    </w:p>
    <w:p>
      <w:pPr>
        <w:spacing w:before="0" w:after="120" w:line="324" w:lineRule="auto"/>
        <w:ind w:firstLine="420"/>
      </w:pPr>
      <w:r>
        <w:rPr>
          <w:rFonts w:ascii="SimSun" w:hAnsi="SimSun" w:eastAsia="SimSun"/>
          <w:b w:val="0"/>
          <w:sz w:val="21"/>
        </w:rPr>
        <w:t>2. 除双方另有书面约定外，乙方在履行本合同过程中基于自身既有技术、既有平台、既有方法、既有模型、既有文档模板及通用研发能力所形成或改进之成果，其知识产权仍归乙方所有。</w:t>
      </w:r>
    </w:p>
    <w:p>
      <w:pPr>
        <w:spacing w:before="0" w:after="120" w:line="324" w:lineRule="auto"/>
        <w:ind w:firstLine="420"/>
      </w:pPr>
      <w:r>
        <w:rPr>
          <w:rFonts w:ascii="SimSun" w:hAnsi="SimSun" w:eastAsia="SimSun"/>
          <w:b w:val="0"/>
          <w:sz w:val="21"/>
        </w:rPr>
        <w:t>3. 以甲方支付本合同经费完成并形成之本项目专属软件程序、系统文档、流程方案、演示材料、测试成果及其他交付成果，其著作权及相关可归属之产学合作成果原则上归乙方所有；甲方在本合同目的范围内享有非排他、不可转授权、可内部使用之使用权，有权为项目展示、内部管理、测试验证及向潜在合作对象说明项目用途而使用相关成果。</w:t>
      </w:r>
    </w:p>
    <w:p>
      <w:pPr>
        <w:spacing w:before="0" w:after="120" w:line="324" w:lineRule="auto"/>
        <w:ind w:firstLine="420"/>
      </w:pPr>
      <w:r>
        <w:rPr>
          <w:rFonts w:ascii="SimSun" w:hAnsi="SimSun" w:eastAsia="SimSun"/>
          <w:b w:val="0"/>
          <w:sz w:val="21"/>
        </w:rPr>
        <w:t>4. 未经乙方事先书面同意，甲方不得擅自对乙方享有权利之软件、源代码、算法、模型、数据库结构、技术文档进行复制、反向工程、对外许可、出售、转让或提供给第三方商业化使用；但为本项目内部运行、维护与验收所必要者，不在此限。</w:t>
      </w:r>
    </w:p>
    <w:p>
      <w:pPr>
        <w:spacing w:before="0" w:after="120" w:line="324" w:lineRule="auto"/>
        <w:ind w:firstLine="420"/>
      </w:pPr>
      <w:r>
        <w:rPr>
          <w:rFonts w:ascii="SimSun" w:hAnsi="SimSun" w:eastAsia="SimSun"/>
          <w:b w:val="0"/>
          <w:sz w:val="21"/>
        </w:rPr>
        <w:t>5. 如甲方后续拟将本项目成果用于对外商业运营、规模化部署、技术转移、再许可或与第三方共同开发，应由双方另行协商并签署补充协议，明确权利归属、收益分配、责任承担及实施范围。</w:t>
      </w:r>
    </w:p>
    <w:p>
      <w:pPr>
        <w:spacing w:before="0" w:after="120" w:line="324" w:lineRule="auto"/>
        <w:ind w:firstLine="420"/>
      </w:pPr>
      <w:r>
        <w:rPr>
          <w:rFonts w:ascii="SimSun" w:hAnsi="SimSun" w:eastAsia="SimSun"/>
          <w:b w:val="0"/>
          <w:sz w:val="21"/>
        </w:rPr>
        <w:t>6. 有关本项目成果中涉及乙方名称、校名、校徽、标章或其他识别标识之使用，未经乙方书面授权，甲方不得擅自用于宣传、背书、招商、融资或其他对外用途。确需使用者，应就授权标的、授权范围、授权期间及授权费用另行书面约定。</w:t>
      </w:r>
    </w:p>
    <w:p>
      <w:pPr>
        <w:spacing w:before="0" w:after="120" w:line="324" w:lineRule="auto"/>
        <w:ind w:firstLine="420"/>
      </w:pPr>
      <w:r>
        <w:rPr>
          <w:rFonts w:ascii="SimSun" w:hAnsi="SimSun" w:eastAsia="SimSun"/>
          <w:b w:val="0"/>
          <w:sz w:val="21"/>
        </w:rPr>
        <w:t>7. 乙方为本项目所购置之图书、期刊、仪器、设备及剩余经费形成之财产，除本合同另有明确约定外，均归乙方所有。</w:t>
      </w:r>
    </w:p>
    <w:p>
      <w:pPr>
        <w:spacing w:before="160" w:after="80" w:line="324" w:lineRule="auto"/>
      </w:pPr>
      <w:r>
        <w:rPr>
          <w:rFonts w:ascii="SimSun" w:hAnsi="SimSun" w:eastAsia="SimSun"/>
          <w:b/>
          <w:sz w:val="24"/>
        </w:rPr>
        <w:t>第八条  侵权责任与第三方权利保护</w:t>
      </w:r>
    </w:p>
    <w:p>
      <w:pPr>
        <w:spacing w:before="0" w:after="120" w:line="324" w:lineRule="auto"/>
        <w:ind w:firstLine="420"/>
      </w:pPr>
      <w:r>
        <w:rPr>
          <w:rFonts w:ascii="SimSun" w:hAnsi="SimSun" w:eastAsia="SimSun"/>
          <w:b w:val="0"/>
          <w:sz w:val="21"/>
        </w:rPr>
        <w:t>1. 乙方执行本项目应注意不得侵害他人之营业秘密、知识产权或其他合法权益；如因乙方故意或重大过失导致侵权，乙方依法承担相应责任。</w:t>
      </w:r>
    </w:p>
    <w:p>
      <w:pPr>
        <w:spacing w:before="0" w:after="120" w:line="324" w:lineRule="auto"/>
        <w:ind w:firstLine="420"/>
      </w:pPr>
      <w:r>
        <w:rPr>
          <w:rFonts w:ascii="SimSun" w:hAnsi="SimSun" w:eastAsia="SimSun"/>
          <w:b w:val="0"/>
          <w:sz w:val="21"/>
        </w:rPr>
        <w:t>2. 乙方保证依本合同交付之成果，在其知悉范围内不存在故意侵害第三人知识产权之情形。甲方如因乙方交付成果遭第三人主张权利，乙方应在合理范围内协助甲方进行答辩并提供必要资料。</w:t>
      </w:r>
    </w:p>
    <w:p>
      <w:pPr>
        <w:spacing w:before="0" w:after="120" w:line="324" w:lineRule="auto"/>
        <w:ind w:firstLine="420"/>
      </w:pPr>
      <w:r>
        <w:rPr>
          <w:rFonts w:ascii="SimSun" w:hAnsi="SimSun" w:eastAsia="SimSun"/>
          <w:b w:val="0"/>
          <w:sz w:val="21"/>
        </w:rPr>
        <w:t>3. 项目执行过程中，乙方应尽合理注意义务避免损害第三人合法权益；因甲方提供资料、指定方案、第三方软件/硬件或甲方自行扩展使用导致的侵权或争议，由甲方自行承担相应责任。</w:t>
      </w:r>
    </w:p>
    <w:p>
      <w:pPr>
        <w:spacing w:before="160" w:after="80" w:line="324" w:lineRule="auto"/>
      </w:pPr>
      <w:r>
        <w:rPr>
          <w:rFonts w:ascii="SimSun" w:hAnsi="SimSun" w:eastAsia="SimSun"/>
          <w:b/>
          <w:sz w:val="24"/>
        </w:rPr>
        <w:t>第九条  保密责任</w:t>
      </w:r>
    </w:p>
    <w:p>
      <w:pPr>
        <w:spacing w:before="0" w:after="120" w:line="324" w:lineRule="auto"/>
        <w:ind w:firstLine="420"/>
      </w:pPr>
      <w:r>
        <w:rPr>
          <w:rFonts w:ascii="SimSun" w:hAnsi="SimSun" w:eastAsia="SimSun"/>
          <w:b w:val="0"/>
          <w:sz w:val="21"/>
        </w:rPr>
        <w:t>1. 未经任一方事先书面同意，他方不得向任何与本合同履行无关之第三人披露本合同内容及在履约过程中知悉的商业秘密、技术资料、业务数据及其他保密信息。</w:t>
      </w:r>
    </w:p>
    <w:p>
      <w:pPr>
        <w:spacing w:before="0" w:after="120" w:line="324" w:lineRule="auto"/>
        <w:ind w:firstLine="420"/>
      </w:pPr>
      <w:r>
        <w:rPr>
          <w:rFonts w:ascii="SimSun" w:hAnsi="SimSun" w:eastAsia="SimSun"/>
          <w:b w:val="0"/>
          <w:sz w:val="21"/>
        </w:rPr>
        <w:t>2. 前款保密义务不适用于以下信息：依法已公开的信息；非因受领方过错而公开的信息；受领方可证明其在披露前已合法持有的信息；依法令、监管要求或司法机关要求必须披露的信息，但受领方应在法律允许范围内及时通知披露方。</w:t>
      </w:r>
    </w:p>
    <w:p>
      <w:pPr>
        <w:spacing w:before="0" w:after="120" w:line="324" w:lineRule="auto"/>
        <w:ind w:firstLine="420"/>
      </w:pPr>
      <w:r>
        <w:rPr>
          <w:rFonts w:ascii="SimSun" w:hAnsi="SimSun" w:eastAsia="SimSun"/>
          <w:b w:val="0"/>
          <w:sz w:val="21"/>
        </w:rPr>
        <w:t>3. 双方保密义务自信息披露之日起生效，并在本合同终止或解除后继续有效三年。</w:t>
      </w:r>
    </w:p>
    <w:p>
      <w:pPr>
        <w:spacing w:before="160" w:after="80" w:line="324" w:lineRule="auto"/>
      </w:pPr>
      <w:r>
        <w:rPr>
          <w:rFonts w:ascii="SimSun" w:hAnsi="SimSun" w:eastAsia="SimSun"/>
          <w:b/>
          <w:sz w:val="24"/>
        </w:rPr>
        <w:t>第十条  合同终止、违约责任与不可抗力</w:t>
      </w:r>
    </w:p>
    <w:p>
      <w:pPr>
        <w:spacing w:before="0" w:after="120" w:line="324" w:lineRule="auto"/>
        <w:ind w:firstLine="420"/>
      </w:pPr>
      <w:r>
        <w:rPr>
          <w:rFonts w:ascii="SimSun" w:hAnsi="SimSun" w:eastAsia="SimSun"/>
          <w:b w:val="0"/>
          <w:sz w:val="21"/>
        </w:rPr>
        <w:t>1. 任一方严重违反本合同约定，经守约方书面催告后在合理期限内仍未改正的，守约方有权解除合同，并要求违约方承担相应损失。</w:t>
      </w:r>
    </w:p>
    <w:p>
      <w:pPr>
        <w:spacing w:before="0" w:after="120" w:line="324" w:lineRule="auto"/>
        <w:ind w:firstLine="420"/>
      </w:pPr>
      <w:r>
        <w:rPr>
          <w:rFonts w:ascii="SimSun" w:hAnsi="SimSun" w:eastAsia="SimSun"/>
          <w:b w:val="0"/>
          <w:sz w:val="21"/>
        </w:rPr>
        <w:t>2. 乙方无正当理由停止工作、严重延误进度且经甲方书面催告仍未改善，或未按约定提交应交成果且经催告仍未履行的，甲方有权停止支付相应款项并解除合同。</w:t>
      </w:r>
    </w:p>
    <w:p>
      <w:pPr>
        <w:spacing w:before="0" w:after="120" w:line="324" w:lineRule="auto"/>
        <w:ind w:firstLine="420"/>
      </w:pPr>
      <w:r>
        <w:rPr>
          <w:rFonts w:ascii="SimSun" w:hAnsi="SimSun" w:eastAsia="SimSun"/>
          <w:b w:val="0"/>
          <w:sz w:val="21"/>
        </w:rPr>
        <w:t>3. 甲方未按约支付技术服务费，经乙方书面催告后仍未支付的，乙方有权暂停服务、顺延工期，情节严重的有权解除合同，并要求甲方支付逾期款项及相应损失。</w:t>
      </w:r>
    </w:p>
    <w:p>
      <w:pPr>
        <w:spacing w:before="0" w:after="120" w:line="324" w:lineRule="auto"/>
        <w:ind w:firstLine="420"/>
      </w:pPr>
      <w:r>
        <w:rPr>
          <w:rFonts w:ascii="SimSun" w:hAnsi="SimSun" w:eastAsia="SimSun"/>
          <w:b w:val="0"/>
          <w:sz w:val="21"/>
        </w:rPr>
        <w:t>4. 因天灾、政府行为、政策限制、重大疫情、重大供应链中断或其他不可抗力导致无法履行本合同的，受影响一方应于事件发生后十日内书面通知另一方，并在合理范围内提供证明。不可抗力持续超过九十日的，任一方均有权解除合同，双方据实结算已完成工作。</w:t>
      </w:r>
    </w:p>
    <w:p>
      <w:pPr>
        <w:spacing w:before="160" w:after="80" w:line="324" w:lineRule="auto"/>
      </w:pPr>
      <w:r>
        <w:rPr>
          <w:rFonts w:ascii="SimSun" w:hAnsi="SimSun" w:eastAsia="SimSun"/>
          <w:b/>
          <w:sz w:val="24"/>
        </w:rPr>
        <w:t>第十一条  权利义务转让、争议解决及其他</w:t>
      </w:r>
    </w:p>
    <w:p>
      <w:pPr>
        <w:spacing w:before="0" w:after="120" w:line="324" w:lineRule="auto"/>
        <w:ind w:firstLine="420"/>
      </w:pPr>
      <w:r>
        <w:rPr>
          <w:rFonts w:ascii="SimSun" w:hAnsi="SimSun" w:eastAsia="SimSun"/>
          <w:b w:val="0"/>
          <w:sz w:val="21"/>
        </w:rPr>
        <w:t>1. 未经对方事先书面同意，任何一方不得将本合同项下全部或部分权利义务转让给第三人。</w:t>
      </w:r>
    </w:p>
    <w:p>
      <w:pPr>
        <w:spacing w:before="0" w:after="120" w:line="324" w:lineRule="auto"/>
        <w:ind w:firstLine="420"/>
      </w:pPr>
      <w:r>
        <w:rPr>
          <w:rFonts w:ascii="SimSun" w:hAnsi="SimSun" w:eastAsia="SimSun"/>
          <w:b w:val="0"/>
          <w:sz w:val="21"/>
        </w:rPr>
        <w:t>2. 本合同部分条款被认定无效，不影响其他条款之效力。</w:t>
      </w:r>
    </w:p>
    <w:p>
      <w:pPr>
        <w:spacing w:before="0" w:after="120" w:line="324" w:lineRule="auto"/>
        <w:ind w:firstLine="420"/>
      </w:pPr>
      <w:r>
        <w:rPr>
          <w:rFonts w:ascii="SimSun" w:hAnsi="SimSun" w:eastAsia="SimSun"/>
          <w:b w:val="0"/>
          <w:sz w:val="21"/>
        </w:rPr>
        <w:t>3. 因本合同引起的或与本合同有关的任何争议，双方应先友好协商；协商不成的，任一方可向乙方所在地有管辖权的人民法院提起诉讼。</w:t>
      </w:r>
    </w:p>
    <w:p>
      <w:pPr>
        <w:spacing w:before="0" w:after="120" w:line="324" w:lineRule="auto"/>
        <w:ind w:firstLine="420"/>
      </w:pPr>
      <w:r>
        <w:rPr>
          <w:rFonts w:ascii="SimSun" w:hAnsi="SimSun" w:eastAsia="SimSun"/>
          <w:b w:val="0"/>
          <w:sz w:val="21"/>
        </w:rPr>
        <w:t>4. 本合同未尽事宜，由双方另行协商，并可签署补充协议；补充协议与本合同具有同等法律效力。</w:t>
      </w:r>
    </w:p>
    <w:p>
      <w:pPr>
        <w:spacing w:before="160" w:after="80" w:line="324" w:lineRule="auto"/>
      </w:pPr>
      <w:r>
        <w:rPr>
          <w:rFonts w:ascii="SimSun" w:hAnsi="SimSun" w:eastAsia="SimSun"/>
          <w:b/>
          <w:sz w:val="24"/>
        </w:rPr>
        <w:t>第十二条  生效及合同份数</w:t>
      </w:r>
    </w:p>
    <w:p>
      <w:pPr>
        <w:spacing w:before="0" w:after="120" w:line="324" w:lineRule="auto"/>
        <w:ind w:firstLine="420"/>
      </w:pPr>
      <w:r>
        <w:rPr>
          <w:rFonts w:ascii="SimSun" w:hAnsi="SimSun" w:eastAsia="SimSun"/>
          <w:b w:val="0"/>
          <w:sz w:val="21"/>
        </w:rPr>
        <w:t>1. 本合同自双方授权代表签字并盖章之日起生效。</w:t>
      </w:r>
    </w:p>
    <w:p>
      <w:pPr>
        <w:spacing w:before="0" w:after="120" w:line="324" w:lineRule="auto"/>
        <w:ind w:firstLine="420"/>
      </w:pPr>
      <w:r>
        <w:rPr>
          <w:rFonts w:ascii="SimSun" w:hAnsi="SimSun" w:eastAsia="SimSun"/>
          <w:b w:val="0"/>
          <w:sz w:val="21"/>
        </w:rPr>
        <w:t>2. 本合同正本一式贰份，甲、乙双方各执壹份，具有同等法律效力。</w:t>
      </w:r>
    </w:p>
    <w:p/>
    <w:p>
      <w:pPr>
        <w:spacing w:before="0" w:after="120" w:line="324" w:lineRule="auto"/>
      </w:pPr>
      <w:r>
        <w:rPr>
          <w:rFonts w:ascii="SimSun" w:hAnsi="SimSun" w:eastAsia="SimSun"/>
          <w:b/>
          <w:sz w:val="24"/>
        </w:rPr>
        <w:t>附件一：经费明细表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before="0" w:after="0" w:line="240" w:lineRule="auto"/>
              <w:jc w:val="center"/>
            </w:pPr>
            <w:r/>
            <w:r>
              <w:rPr>
                <w:rFonts w:ascii="SimSun" w:hAnsi="SimSun" w:eastAsia="SimSun"/>
                <w:b/>
                <w:sz w:val="21"/>
              </w:rPr>
              <w:t>项目</w:t>
            </w:r>
          </w:p>
        </w:tc>
        <w:tc>
          <w:tcPr>
            <w:tcW w:type="dxa" w:w="3135"/>
            <w:vAlign w:val="center"/>
          </w:tcPr>
          <w:p>
            <w:pPr>
              <w:spacing w:before="0" w:after="0" w:line="240" w:lineRule="auto"/>
              <w:jc w:val="center"/>
            </w:pPr>
            <w:r/>
            <w:r>
              <w:rPr>
                <w:rFonts w:ascii="SimSun" w:hAnsi="SimSun" w:eastAsia="SimSun"/>
                <w:b/>
                <w:sz w:val="21"/>
              </w:rPr>
              <w:t>金额（元）</w:t>
            </w:r>
          </w:p>
        </w:tc>
        <w:tc>
          <w:tcPr>
            <w:tcW w:type="dxa" w:w="3135"/>
            <w:vAlign w:val="center"/>
          </w:tcPr>
          <w:p>
            <w:pPr>
              <w:spacing w:before="0" w:after="0" w:line="240" w:lineRule="auto"/>
              <w:jc w:val="center"/>
            </w:pPr>
            <w:r/>
            <w:r>
              <w:rPr>
                <w:rFonts w:ascii="SimSun" w:hAnsi="SimSun" w:eastAsia="SimSun"/>
                <w:b/>
                <w:sz w:val="21"/>
              </w:rPr>
              <w:t>备注</w:t>
            </w:r>
          </w:p>
        </w:tc>
      </w:tr>
      <w:tr>
        <w:tc>
          <w:tcPr>
            <w:tcW w:type="dxa" w:w="3135"/>
            <w:vAlign w:val="center"/>
          </w:tcPr>
          <w:p>
            <w:pPr>
              <w:spacing w:before="0" w:after="0" w:line="240" w:lineRule="auto"/>
              <w:jc w:val="center"/>
            </w:pPr>
            <w:r/>
            <w:r>
              <w:rPr>
                <w:rFonts w:ascii="SimSun" w:hAnsi="SimSun" w:eastAsia="SimSun"/>
                <w:b w:val="0"/>
                <w:sz w:val="21"/>
              </w:rPr>
              <w:t>附件硬件</w:t>
            </w:r>
          </w:p>
        </w:tc>
        <w:tc>
          <w:tcPr>
            <w:tcW w:type="dxa" w:w="3135"/>
            <w:vAlign w:val="center"/>
          </w:tcPr>
          <w:p>
            <w:pPr>
              <w:spacing w:before="0" w:after="0" w:line="240" w:lineRule="auto"/>
              <w:jc w:val="center"/>
            </w:pPr>
            <w:r/>
            <w:r>
              <w:rPr>
                <w:rFonts w:ascii="SimSun" w:hAnsi="SimSun" w:eastAsia="SimSun"/>
                <w:b w:val="0"/>
                <w:sz w:val="21"/>
              </w:rPr>
              <w:t>36,982.48</w:t>
            </w:r>
          </w:p>
        </w:tc>
        <w:tc>
          <w:tcPr>
            <w:tcW w:type="dxa" w:w="3135"/>
            <w:vAlign w:val="center"/>
          </w:tcPr>
          <w:p>
            <w:pPr>
              <w:spacing w:before="0" w:after="0" w:line="240" w:lineRule="auto"/>
              <w:jc w:val="left"/>
            </w:pPr>
            <w:r/>
            <w:r>
              <w:rPr>
                <w:rFonts w:ascii="SimSun" w:hAnsi="SimSun" w:eastAsia="SimSun"/>
                <w:b w:val="0"/>
                <w:sz w:val="21"/>
              </w:rPr>
              <w:t>按原合同约定</w:t>
            </w:r>
          </w:p>
        </w:tc>
      </w:tr>
      <w:tr>
        <w:tc>
          <w:tcPr>
            <w:tcW w:type="dxa" w:w="3135"/>
            <w:vAlign w:val="center"/>
          </w:tcPr>
          <w:p>
            <w:pPr>
              <w:spacing w:before="0" w:after="0" w:line="240" w:lineRule="auto"/>
              <w:jc w:val="center"/>
            </w:pPr>
            <w:r/>
            <w:r>
              <w:rPr>
                <w:rFonts w:ascii="SimSun" w:hAnsi="SimSun" w:eastAsia="SimSun"/>
                <w:b w:val="0"/>
                <w:sz w:val="21"/>
              </w:rPr>
              <w:t>服务器</w:t>
            </w:r>
          </w:p>
        </w:tc>
        <w:tc>
          <w:tcPr>
            <w:tcW w:type="dxa" w:w="3135"/>
            <w:vAlign w:val="center"/>
          </w:tcPr>
          <w:p>
            <w:pPr>
              <w:spacing w:before="0" w:after="0" w:line="240" w:lineRule="auto"/>
              <w:jc w:val="center"/>
            </w:pPr>
            <w:r/>
            <w:r>
              <w:rPr>
                <w:rFonts w:ascii="SimSun" w:hAnsi="SimSun" w:eastAsia="SimSun"/>
                <w:b w:val="0"/>
                <w:sz w:val="21"/>
              </w:rPr>
              <w:t>31,202.00</w:t>
            </w:r>
          </w:p>
        </w:tc>
        <w:tc>
          <w:tcPr>
            <w:tcW w:type="dxa" w:w="3135"/>
            <w:vAlign w:val="center"/>
          </w:tcPr>
          <w:p>
            <w:pPr>
              <w:spacing w:before="0" w:after="0" w:line="240" w:lineRule="auto"/>
              <w:jc w:val="left"/>
            </w:pPr>
            <w:r/>
            <w:r>
              <w:rPr>
                <w:rFonts w:ascii="SimSun" w:hAnsi="SimSun" w:eastAsia="SimSun"/>
                <w:b w:val="0"/>
                <w:sz w:val="21"/>
              </w:rPr>
              <w:t>Lenovo ThinkSystem SR258 v3</w:t>
            </w:r>
          </w:p>
        </w:tc>
      </w:tr>
      <w:tr>
        <w:tc>
          <w:tcPr>
            <w:tcW w:type="dxa" w:w="3135"/>
            <w:vAlign w:val="center"/>
          </w:tcPr>
          <w:p>
            <w:pPr>
              <w:spacing w:before="0" w:after="0" w:line="240" w:lineRule="auto"/>
              <w:jc w:val="center"/>
            </w:pPr>
            <w:r/>
            <w:r>
              <w:rPr>
                <w:rFonts w:ascii="SimSun" w:hAnsi="SimSun" w:eastAsia="SimSun"/>
                <w:b w:val="0"/>
                <w:sz w:val="21"/>
              </w:rPr>
              <w:t>顾问费</w:t>
            </w:r>
          </w:p>
        </w:tc>
        <w:tc>
          <w:tcPr>
            <w:tcW w:type="dxa" w:w="3135"/>
            <w:vAlign w:val="center"/>
          </w:tcPr>
          <w:p>
            <w:pPr>
              <w:spacing w:before="0" w:after="0" w:line="240" w:lineRule="auto"/>
              <w:jc w:val="center"/>
            </w:pPr>
            <w:r/>
            <w:r>
              <w:rPr>
                <w:rFonts w:ascii="SimSun" w:hAnsi="SimSun" w:eastAsia="SimSun"/>
                <w:b w:val="0"/>
                <w:sz w:val="21"/>
              </w:rPr>
              <w:t>30,000.00</w:t>
            </w:r>
          </w:p>
        </w:tc>
        <w:tc>
          <w:tcPr>
            <w:tcW w:type="dxa" w:w="3135"/>
            <w:vAlign w:val="center"/>
          </w:tcPr>
          <w:p>
            <w:pPr>
              <w:spacing w:before="0" w:after="0" w:line="240" w:lineRule="auto"/>
              <w:jc w:val="left"/>
            </w:pPr>
            <w:r/>
            <w:r>
              <w:rPr>
                <w:rFonts w:ascii="SimSun" w:hAnsi="SimSun" w:eastAsia="SimSun"/>
                <w:b w:val="0"/>
                <w:sz w:val="21"/>
              </w:rPr>
              <w:t>2人 × 15,000</w:t>
            </w:r>
          </w:p>
        </w:tc>
      </w:tr>
      <w:tr>
        <w:tc>
          <w:tcPr>
            <w:tcW w:type="dxa" w:w="3135"/>
            <w:vAlign w:val="center"/>
          </w:tcPr>
          <w:p>
            <w:pPr>
              <w:spacing w:before="0" w:after="0" w:line="240" w:lineRule="auto"/>
              <w:jc w:val="center"/>
            </w:pPr>
            <w:r/>
            <w:r>
              <w:rPr>
                <w:rFonts w:ascii="SimSun" w:hAnsi="SimSun" w:eastAsia="SimSun"/>
                <w:b w:val="0"/>
                <w:sz w:val="21"/>
              </w:rPr>
              <w:t>工时费</w:t>
            </w:r>
          </w:p>
        </w:tc>
        <w:tc>
          <w:tcPr>
            <w:tcW w:type="dxa" w:w="3135"/>
            <w:vAlign w:val="center"/>
          </w:tcPr>
          <w:p>
            <w:pPr>
              <w:spacing w:before="0" w:after="0" w:line="240" w:lineRule="auto"/>
              <w:jc w:val="center"/>
            </w:pPr>
            <w:r/>
            <w:r>
              <w:rPr>
                <w:rFonts w:ascii="SimSun" w:hAnsi="SimSun" w:eastAsia="SimSun"/>
                <w:b w:val="0"/>
                <w:sz w:val="21"/>
              </w:rPr>
              <w:t>45,000.00</w:t>
            </w:r>
          </w:p>
        </w:tc>
        <w:tc>
          <w:tcPr>
            <w:tcW w:type="dxa" w:w="3135"/>
            <w:vAlign w:val="center"/>
          </w:tcPr>
          <w:p>
            <w:pPr>
              <w:spacing w:before="0" w:after="0" w:line="240" w:lineRule="auto"/>
              <w:jc w:val="left"/>
            </w:pPr>
            <w:r/>
            <w:r>
              <w:rPr>
                <w:rFonts w:ascii="SimSun" w:hAnsi="SimSun" w:eastAsia="SimSun"/>
                <w:b w:val="0"/>
                <w:sz w:val="21"/>
              </w:rPr>
              <w:t>45天 × 1,000</w:t>
            </w:r>
          </w:p>
        </w:tc>
      </w:tr>
      <w:tr>
        <w:tc>
          <w:tcPr>
            <w:tcW w:type="dxa" w:w="3135"/>
            <w:vAlign w:val="center"/>
          </w:tcPr>
          <w:p>
            <w:pPr>
              <w:spacing w:before="0" w:after="0" w:line="240" w:lineRule="auto"/>
              <w:jc w:val="center"/>
            </w:pPr>
            <w:r/>
            <w:r>
              <w:rPr>
                <w:rFonts w:ascii="SimSun" w:hAnsi="SimSun" w:eastAsia="SimSun"/>
                <w:b w:val="0"/>
                <w:sz w:val="21"/>
              </w:rPr>
              <w:t>路由器五金</w:t>
            </w:r>
          </w:p>
        </w:tc>
        <w:tc>
          <w:tcPr>
            <w:tcW w:type="dxa" w:w="3135"/>
            <w:vAlign w:val="center"/>
          </w:tcPr>
          <w:p>
            <w:pPr>
              <w:spacing w:before="0" w:after="0" w:line="240" w:lineRule="auto"/>
              <w:jc w:val="center"/>
            </w:pPr>
            <w:r/>
            <w:r>
              <w:rPr>
                <w:rFonts w:ascii="SimSun" w:hAnsi="SimSun" w:eastAsia="SimSun"/>
                <w:b w:val="0"/>
                <w:sz w:val="21"/>
              </w:rPr>
              <w:t>2,500.00</w:t>
            </w:r>
          </w:p>
        </w:tc>
        <w:tc>
          <w:tcPr>
            <w:tcW w:type="dxa" w:w="3135"/>
            <w:vAlign w:val="center"/>
          </w:tcPr>
          <w:p>
            <w:pPr>
              <w:spacing w:before="0" w:after="0" w:line="240" w:lineRule="auto"/>
              <w:jc w:val="left"/>
            </w:pPr>
            <w:r/>
            <w:r>
              <w:rPr>
                <w:rFonts w:ascii="SimSun" w:hAnsi="SimSun" w:eastAsia="SimSun"/>
                <w:b w:val="0"/>
                <w:sz w:val="21"/>
              </w:rPr>
              <w:t>按原合同约定</w:t>
            </w:r>
          </w:p>
        </w:tc>
      </w:tr>
      <w:tr>
        <w:tc>
          <w:tcPr>
            <w:tcW w:type="dxa" w:w="3135"/>
            <w:vAlign w:val="center"/>
          </w:tcPr>
          <w:p>
            <w:pPr>
              <w:spacing w:before="0" w:after="0" w:line="240" w:lineRule="auto"/>
              <w:jc w:val="center"/>
            </w:pPr>
            <w:r/>
            <w:r>
              <w:rPr>
                <w:rFonts w:ascii="SimSun" w:hAnsi="SimSun" w:eastAsia="SimSun"/>
                <w:b w:val="0"/>
                <w:sz w:val="21"/>
              </w:rPr>
              <w:t>合计</w:t>
            </w:r>
          </w:p>
        </w:tc>
        <w:tc>
          <w:tcPr>
            <w:tcW w:type="dxa" w:w="3135"/>
            <w:vAlign w:val="center"/>
          </w:tcPr>
          <w:p>
            <w:pPr>
              <w:spacing w:before="0" w:after="0" w:line="240" w:lineRule="auto"/>
              <w:jc w:val="center"/>
            </w:pPr>
            <w:r/>
            <w:r>
              <w:rPr>
                <w:rFonts w:ascii="SimSun" w:hAnsi="SimSun" w:eastAsia="SimSun"/>
                <w:b w:val="0"/>
                <w:sz w:val="21"/>
              </w:rPr>
              <w:t>145,684.48</w:t>
            </w:r>
          </w:p>
        </w:tc>
        <w:tc>
          <w:tcPr>
            <w:tcW w:type="dxa" w:w="3135"/>
            <w:vAlign w:val="center"/>
          </w:tcPr>
          <w:p>
            <w:pPr>
              <w:spacing w:before="0" w:after="0" w:line="240" w:lineRule="auto"/>
              <w:jc w:val="left"/>
            </w:pPr>
            <w:r/>
            <w:r>
              <w:rPr>
                <w:rFonts w:ascii="SimSun" w:hAnsi="SimSun" w:eastAsia="SimSun"/>
                <w:b w:val="0"/>
                <w:sz w:val="21"/>
              </w:rPr>
            </w:r>
          </w:p>
        </w:tc>
      </w:tr>
    </w:tbl>
    <w:p/>
    <w:p>
      <w:pPr>
        <w:spacing w:before="0" w:after="120" w:line="324" w:lineRule="auto"/>
        <w:jc w:val="center"/>
      </w:pPr>
      <w:r>
        <w:rPr>
          <w:rFonts w:ascii="SimSun" w:hAnsi="SimSun" w:eastAsia="SimSun"/>
          <w:b w:val="0"/>
          <w:sz w:val="21"/>
        </w:rPr>
        <w:t>（以下为签署栏）</w:t>
      </w:r>
    </w:p>
    <w:p>
      <w:pPr>
        <w:spacing w:before="0" w:after="120" w:line="324" w:lineRule="auto"/>
      </w:pPr>
      <w:r>
        <w:rPr>
          <w:rFonts w:ascii="SimSun" w:hAnsi="SimSun" w:eastAsia="SimSun"/>
          <w:b w:val="0"/>
          <w:sz w:val="21"/>
        </w:rPr>
        <w:t>甲方：保际（北京）非物质文化遗产保护发展有限公司</w:t>
      </w:r>
    </w:p>
    <w:p>
      <w:pPr>
        <w:spacing w:before="0" w:after="120" w:line="324" w:lineRule="auto"/>
      </w:pPr>
      <w:r>
        <w:rPr>
          <w:rFonts w:ascii="SimSun" w:hAnsi="SimSun" w:eastAsia="SimSun"/>
          <w:b w:val="0"/>
          <w:sz w:val="21"/>
        </w:rPr>
        <w:t>授权代表人：____________________    （签章）</w:t>
      </w:r>
    </w:p>
    <w:p>
      <w:pPr>
        <w:spacing w:before="0" w:after="120" w:line="324" w:lineRule="auto"/>
      </w:pPr>
      <w:r>
        <w:rPr>
          <w:rFonts w:ascii="SimSun" w:hAnsi="SimSun" w:eastAsia="SimSun"/>
          <w:b w:val="0"/>
          <w:sz w:val="21"/>
        </w:rPr>
        <w:t>地址：北京市丰台区方庄南路18号院3号楼1层3-1内1109</w:t>
      </w:r>
    </w:p>
    <w:p>
      <w:pPr>
        <w:spacing w:before="0" w:after="120" w:line="324" w:lineRule="auto"/>
      </w:pPr>
      <w:r>
        <w:rPr>
          <w:rFonts w:ascii="SimSun" w:hAnsi="SimSun" w:eastAsia="SimSun"/>
          <w:b w:val="0"/>
          <w:sz w:val="21"/>
        </w:rPr>
        <w:t>统一社会信用代码：____________________</w:t>
      </w:r>
    </w:p>
    <w:p>
      <w:pPr>
        <w:spacing w:before="0" w:after="120" w:line="324" w:lineRule="auto"/>
      </w:pPr>
    </w:p>
    <w:p>
      <w:pPr>
        <w:spacing w:before="0" w:after="120" w:line="324" w:lineRule="auto"/>
      </w:pPr>
      <w:r>
        <w:rPr>
          <w:rFonts w:ascii="SimSun" w:hAnsi="SimSun" w:eastAsia="SimSun"/>
          <w:b w:val="0"/>
          <w:sz w:val="21"/>
        </w:rPr>
        <w:t>乙方：福州外语外贸学院</w:t>
      </w:r>
    </w:p>
    <w:p>
      <w:pPr>
        <w:spacing w:before="0" w:after="120" w:line="324" w:lineRule="auto"/>
      </w:pPr>
      <w:r>
        <w:rPr>
          <w:rFonts w:ascii="SimSun" w:hAnsi="SimSun" w:eastAsia="SimSun"/>
          <w:b w:val="0"/>
          <w:sz w:val="21"/>
        </w:rPr>
        <w:t>授权代表人：____________________    （签章）</w:t>
      </w:r>
    </w:p>
    <w:p>
      <w:pPr>
        <w:spacing w:before="0" w:after="120" w:line="324" w:lineRule="auto"/>
      </w:pPr>
      <w:r>
        <w:rPr>
          <w:rFonts w:ascii="SimSun" w:hAnsi="SimSun" w:eastAsia="SimSun"/>
          <w:b w:val="0"/>
          <w:sz w:val="21"/>
        </w:rPr>
        <w:t>项目负责人：谢坤达</w:t>
      </w:r>
    </w:p>
    <w:p>
      <w:pPr>
        <w:spacing w:before="0" w:after="120" w:line="324" w:lineRule="auto"/>
      </w:pPr>
      <w:r>
        <w:rPr>
          <w:rFonts w:ascii="SimSun" w:hAnsi="SimSun" w:eastAsia="SimSun"/>
          <w:b w:val="0"/>
          <w:sz w:val="21"/>
        </w:rPr>
        <w:t>地址：福建省福州长乐区首占新区育环路28号</w:t>
      </w:r>
    </w:p>
    <w:p>
      <w:pPr>
        <w:spacing w:before="0" w:after="120" w:line="324" w:lineRule="auto"/>
      </w:pPr>
    </w:p>
    <w:p>
      <w:pPr>
        <w:spacing w:before="0" w:after="120" w:line="324" w:lineRule="auto"/>
      </w:pPr>
      <w:r>
        <w:rPr>
          <w:rFonts w:ascii="SimSun" w:hAnsi="SimSun" w:eastAsia="SimSun"/>
          <w:b w:val="0"/>
          <w:sz w:val="21"/>
        </w:rPr>
        <w:t>签署日期：__________年____月____日</w:t>
      </w:r>
    </w:p>
    <w:sectPr w:rsidR="00FC693F" w:rsidRPr="0006063C" w:rsidSect="00034616">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