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20" w:line="324" w:lineRule="auto"/>
        <w:jc w:val="center"/>
      </w:pPr>
      <w:r>
        <w:rPr>
          <w:b w:val="0"/>
        </w:rPr>
        <w:t>文物物流與辨識項目技術服務合同</w:t>
      </w:r>
    </w:p>
    <w:p>
      <w:pPr>
        <w:spacing w:before="0" w:after="200" w:line="324" w:lineRule="auto"/>
        <w:jc w:val="center"/>
      </w:pPr>
      <w:r>
        <w:rPr>
          <w:b/>
          <w:color w:val="1F4E78"/>
        </w:rPr>
        <w:t>依 2026/04/03 會議紀錄修訂版（討論稿）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vAlign w:val="center"/>
            <w:shd w:fill="EAF2F8"/>
          </w:tcPr>
          <w:p>
            <w:pPr>
              <w:spacing w:after="0" w:before="0" w:line="288" w:lineRule="auto"/>
            </w:pPr>
            <w:r>
              <w:rPr>
                <w:b/>
                <w:sz w:val="19"/>
              </w:rPr>
              <w:t>說明：本稿依原合同與 2026/04/03 會議紀錄整理，重點補強專案定位、雙方協作、交付與驗收、變更管理、付款節點及成果使用邊界。建議作為雙方內部討論與法務整合底稿。</w:t>
            </w:r>
          </w:p>
        </w:tc>
      </w:tr>
    </w:tbl>
    <w:p>
      <w:pPr>
        <w:spacing w:before="0" w:after="40" w:line="324" w:lineRule="auto"/>
      </w:pPr>
      <w:r>
        <w:rPr>
          <w:b w:val="0"/>
        </w:rPr>
      </w:r>
    </w:p>
    <w:p>
      <w:pPr>
        <w:pStyle w:val="Heading1"/>
        <w:spacing w:before="0" w:after="120" w:line="324" w:lineRule="auto"/>
      </w:pPr>
      <w:r>
        <w:rPr>
          <w:b w:val="0"/>
          <w:color w:val="1F4E78"/>
        </w:rPr>
        <w:t>一、合同主體資訊</w:t>
      </w:r>
    </w:p>
    <w:p>
      <w:pPr>
        <w:spacing w:before="0" w:after="120" w:line="324" w:lineRule="auto"/>
      </w:pPr>
      <w:r>
        <w:rPr>
          <w:b w:val="0"/>
        </w:rPr>
        <w:t>項目名稱：非遺文物物流與辨識、溯源系統開發</w:t>
      </w:r>
    </w:p>
    <w:p>
      <w:pPr>
        <w:spacing w:before="0" w:after="120" w:line="324" w:lineRule="auto"/>
      </w:pPr>
      <w:r>
        <w:rPr>
          <w:b w:val="0"/>
        </w:rPr>
        <w:t>委託方（甲方）：保際（北京）非物質文化遺產保護發展有限公司（正式名稱請以營業執照為準）</w:t>
      </w:r>
    </w:p>
    <w:p>
      <w:pPr>
        <w:spacing w:before="0" w:after="120" w:line="324" w:lineRule="auto"/>
      </w:pPr>
      <w:r>
        <w:rPr>
          <w:b w:val="0"/>
        </w:rPr>
        <w:t>受託方（乙方）：福州外語外貿學院</w:t>
      </w:r>
    </w:p>
    <w:p>
      <w:pPr>
        <w:spacing w:before="0" w:after="120" w:line="324" w:lineRule="auto"/>
      </w:pPr>
      <w:r>
        <w:rPr>
          <w:b w:val="0"/>
        </w:rPr>
        <w:t>簽訂時間：2026年4月15日</w:t>
      </w:r>
    </w:p>
    <w:p>
      <w:pPr>
        <w:spacing w:before="0" w:after="120" w:line="324" w:lineRule="auto"/>
      </w:pPr>
      <w:r>
        <w:rPr>
          <w:b w:val="0"/>
        </w:rPr>
        <w:t>有效期限：2026年4月15日至2027年4月14日</w:t>
      </w:r>
    </w:p>
    <w:p>
      <w:pPr>
        <w:pStyle w:val="Heading1"/>
        <w:spacing w:before="0" w:after="120" w:line="324" w:lineRule="auto"/>
      </w:pPr>
      <w:r>
        <w:rPr>
          <w:b w:val="0"/>
          <w:color w:val="1F4E78"/>
        </w:rPr>
        <w:t>二、修訂原則與總體定位</w:t>
      </w:r>
    </w:p>
    <w:p>
      <w:pPr>
        <w:spacing w:before="0" w:after="120" w:line="324" w:lineRule="auto"/>
      </w:pPr>
      <w:r>
        <w:rPr>
          <w:b w:val="0"/>
        </w:rPr>
        <w:t>1. 本項目不宜僅以「系統開發」為目標，應定位為「非遺文物物流與辨識示範應用項目」，同步兼顧實際場景落地、館方對接、可展示性及後續可推廣性。</w:t>
      </w:r>
    </w:p>
    <w:p>
      <w:pPr>
        <w:spacing w:before="0" w:after="120" w:line="324" w:lineRule="auto"/>
      </w:pPr>
      <w:r>
        <w:rPr>
          <w:b w:val="0"/>
        </w:rPr>
        <w:t>2. 本次合同約定之工作範圍，以 RFID 文物建檔、雙標籤綁定、入出庫管理、Savant 中介處理、示範展示與基礎驗收為核心。</w:t>
      </w:r>
    </w:p>
    <w:p>
      <w:pPr>
        <w:spacing w:before="0" w:after="120" w:line="324" w:lineRule="auto"/>
      </w:pPr>
      <w:r>
        <w:rPr>
          <w:b w:val="0"/>
        </w:rPr>
        <w:t>3. 涉及無人機配送、低空經濟、進一步商業化部署、其他館舍擴點或新增硬體整合需求者，原則上列為後續合作方向，不當然納入本次必交範圍，除非雙方另以書面補充協議確認。</w:t>
      </w:r>
    </w:p>
    <w:p>
      <w:pPr>
        <w:pStyle w:val="Heading1"/>
        <w:spacing w:before="0" w:after="120" w:line="324" w:lineRule="auto"/>
      </w:pPr>
      <w:r>
        <w:rPr>
          <w:b w:val="0"/>
          <w:color w:val="1F4E78"/>
        </w:rPr>
        <w:t>三、第一條修訂建議：技術服務目標與內容</w:t>
      </w:r>
    </w:p>
    <w:p>
      <w:pPr>
        <w:spacing w:before="0" w:after="120" w:line="324" w:lineRule="auto"/>
      </w:pPr>
      <w:r>
        <w:rPr>
          <w:b w:val="0"/>
        </w:rPr>
        <w:t>1. 技術服務目標：建立基於 RFID 技術之文物物流與辨識示範系統，完成文物基礎資料建檔、NFC/UHF 雙標籤綁定、入出庫流程管理、權限控制、異常事件告警，以及示範場景展示。</w:t>
      </w:r>
    </w:p>
    <w:p>
      <w:pPr>
        <w:spacing w:before="0" w:after="120" w:line="324" w:lineRule="auto"/>
      </w:pPr>
      <w:r>
        <w:rPr>
          <w:b w:val="0"/>
        </w:rPr>
        <w:t>2. 技術服務內容包括：</w:t>
      </w:r>
    </w:p>
    <w:p>
      <w:pPr>
        <w:spacing w:before="0" w:after="120" w:line="324" w:lineRule="auto"/>
      </w:pPr>
      <w:r>
        <w:rPr>
          <w:b w:val="0"/>
        </w:rPr>
        <w:t>（1）文物基本資料建檔模組；</w:t>
      </w:r>
    </w:p>
    <w:p>
      <w:pPr>
        <w:spacing w:before="0" w:after="120" w:line="324" w:lineRule="auto"/>
      </w:pPr>
      <w:r>
        <w:rPr>
          <w:b w:val="0"/>
        </w:rPr>
        <w:t>（2）NFC 與 UHF 雙標籤綁定與管理模組；</w:t>
      </w:r>
    </w:p>
    <w:p>
      <w:pPr>
        <w:spacing w:before="0" w:after="120" w:line="324" w:lineRule="auto"/>
      </w:pPr>
      <w:r>
        <w:rPr>
          <w:b w:val="0"/>
        </w:rPr>
        <w:t>（3）入庫、出庫、回庫、權限核驗與異常告警模組；</w:t>
      </w:r>
    </w:p>
    <w:p>
      <w:pPr>
        <w:spacing w:before="0" w:after="120" w:line="324" w:lineRule="auto"/>
      </w:pPr>
      <w:r>
        <w:rPr>
          <w:b w:val="0"/>
        </w:rPr>
        <w:t>（4）RFID 感知設備、Savant 中間件與基礎資料流轉配置；</w:t>
      </w:r>
    </w:p>
    <w:p>
      <w:pPr>
        <w:spacing w:before="0" w:after="120" w:line="324" w:lineRule="auto"/>
      </w:pPr>
      <w:r>
        <w:rPr>
          <w:b w:val="0"/>
        </w:rPr>
        <w:t>（5）示範展示流程、簡報支援材料與測試場景配置；</w:t>
      </w:r>
    </w:p>
    <w:p>
      <w:pPr>
        <w:spacing w:before="0" w:after="120" w:line="324" w:lineRule="auto"/>
      </w:pPr>
      <w:r>
        <w:rPr>
          <w:b w:val="0"/>
        </w:rPr>
        <w:t>（6）必要之系統部署、測試、驗收與使用說明。</w:t>
      </w:r>
    </w:p>
    <w:p>
      <w:pPr>
        <w:pStyle w:val="Heading1"/>
        <w:spacing w:before="0" w:after="120" w:line="324" w:lineRule="auto"/>
      </w:pPr>
      <w:r>
        <w:rPr>
          <w:b w:val="0"/>
          <w:color w:val="1F4E78"/>
        </w:rPr>
        <w:t>四、第二條修訂建議：期限、進度與雙方協作節點</w:t>
      </w:r>
    </w:p>
    <w:p>
      <w:pPr>
        <w:spacing w:before="0" w:after="120" w:line="324" w:lineRule="auto"/>
      </w:pPr>
      <w:r>
        <w:rPr>
          <w:b w:val="0"/>
        </w:rPr>
        <w:t>1. 技術服務期限為自合同生效之日起 6 個月。</w:t>
      </w:r>
    </w:p>
    <w:p>
      <w:pPr>
        <w:spacing w:before="0" w:after="120" w:line="324" w:lineRule="auto"/>
      </w:pPr>
      <w:r>
        <w:rPr>
          <w:b w:val="0"/>
        </w:rPr>
        <w:t>2. 階段安排建議如下：</w:t>
      </w:r>
    </w:p>
    <w:p>
      <w:pPr>
        <w:spacing w:before="0" w:after="120" w:line="324" w:lineRule="auto"/>
      </w:pPr>
      <w:r>
        <w:rPr>
          <w:b w:val="0"/>
        </w:rPr>
        <w:t>第一階段（第 1–2 個月）：需求確認、場景盤點、系統原型、硬體方案與項目計畫確認；</w:t>
      </w:r>
    </w:p>
    <w:p>
      <w:pPr>
        <w:spacing w:before="0" w:after="120" w:line="324" w:lineRule="auto"/>
      </w:pPr>
      <w:r>
        <w:rPr>
          <w:b w:val="0"/>
        </w:rPr>
        <w:t>第二階段（第 3–4 個月）：建檔、標籤、Savant 中介與流程功能開發及聯調；</w:t>
      </w:r>
    </w:p>
    <w:p>
      <w:pPr>
        <w:spacing w:before="0" w:after="120" w:line="324" w:lineRule="auto"/>
      </w:pPr>
      <w:r>
        <w:rPr>
          <w:b w:val="0"/>
        </w:rPr>
        <w:t>第三階段（第 5 個月）：設備安裝、場景測試、示範流程優化與文件整理；</w:t>
      </w:r>
    </w:p>
    <w:p>
      <w:pPr>
        <w:spacing w:before="0" w:after="120" w:line="324" w:lineRule="auto"/>
      </w:pPr>
      <w:r>
        <w:rPr>
          <w:b w:val="0"/>
        </w:rPr>
        <w:t>第四階段（第 6 個月）：現場驗收、培訓、問題修正、最終交付。</w:t>
      </w:r>
    </w:p>
    <w:p>
      <w:pPr>
        <w:spacing w:before="0" w:after="120" w:line="324" w:lineRule="auto"/>
      </w:pPr>
      <w:r>
        <w:rPr>
          <w:b w:val="0"/>
        </w:rPr>
        <w:t>3. 甲方應指派固定對接人員，乙方應指派項目負責人；雙方於簽約前後可透過群組 Q&amp;A、線上會議或會議紀要方式持續確認需求與修訂事項。</w:t>
      </w:r>
    </w:p>
    <w:p>
      <w:pPr>
        <w:spacing w:before="0" w:after="120" w:line="324" w:lineRule="auto"/>
      </w:pPr>
      <w:r>
        <w:rPr>
          <w:b w:val="0"/>
        </w:rPr>
        <w:t>4. 關鍵需求、功能增刪、時間調整、驗收方式變更及新增投入，均應以會議紀要、郵件、書面簽認或補充協議確認。</w:t>
      </w:r>
    </w:p>
    <w:p>
      <w:pPr>
        <w:pStyle w:val="Heading1"/>
        <w:spacing w:before="0" w:after="120" w:line="324" w:lineRule="auto"/>
      </w:pPr>
      <w:r>
        <w:rPr>
          <w:b w:val="0"/>
          <w:color w:val="1F4E78"/>
        </w:rPr>
        <w:t>五、第三條修訂建議：甲方配合義務</w:t>
      </w:r>
    </w:p>
    <w:p>
      <w:pPr>
        <w:spacing w:before="0" w:after="120" w:line="324" w:lineRule="auto"/>
      </w:pPr>
      <w:r>
        <w:rPr>
          <w:b w:val="0"/>
        </w:rPr>
        <w:t>1. 甲方應於合同生效後 10 個工作日內提供文物資料、業務規則、典型應用場景、展示需求、館方對接資訊及必要測試條件。</w:t>
      </w:r>
    </w:p>
    <w:p>
      <w:pPr>
        <w:spacing w:before="0" w:after="120" w:line="324" w:lineRule="auto"/>
      </w:pPr>
      <w:r>
        <w:rPr>
          <w:b w:val="0"/>
        </w:rPr>
        <w:t>2. 甲方應安排能夠持續回應需求確認、測試配合、驗收參與及書面確認之窗口人員。</w:t>
      </w:r>
    </w:p>
    <w:p>
      <w:pPr>
        <w:spacing w:before="0" w:after="120" w:line="324" w:lineRule="auto"/>
      </w:pPr>
      <w:r>
        <w:rPr>
          <w:b w:val="0"/>
        </w:rPr>
        <w:t>3. 因甲方未及時提供資料、未完成確認、未安排現場條件或臨時變更核心需求，致使項目延期者，乙方不承擔因此產生之違約責任；履約時程得順延。</w:t>
      </w:r>
    </w:p>
    <w:p>
      <w:pPr>
        <w:pStyle w:val="Heading1"/>
        <w:spacing w:before="0" w:after="120" w:line="324" w:lineRule="auto"/>
      </w:pPr>
      <w:r>
        <w:rPr>
          <w:b w:val="0"/>
          <w:color w:val="1F4E78"/>
        </w:rPr>
        <w:t>六、第四條修訂建議：費用與付款方式</w:t>
      </w:r>
    </w:p>
    <w:p>
      <w:pPr>
        <w:spacing w:before="0" w:after="120" w:line="324" w:lineRule="auto"/>
      </w:pPr>
      <w:r>
        <w:rPr>
          <w:b w:val="0"/>
        </w:rPr>
        <w:t>1. 技術服務費總額維持人民幣 145,684.48 元，費用構成沿用原合同約定：硬件 36,982.48 元、伺服器 31,202 元、顧問費 30,000 元、工時費 45,000 元、路由器五金 2,500 元。</w:t>
      </w:r>
    </w:p>
    <w:p>
      <w:pPr>
        <w:spacing w:before="0" w:after="120" w:line="324" w:lineRule="auto"/>
      </w:pPr>
      <w:r>
        <w:rPr>
          <w:b w:val="0"/>
        </w:rPr>
        <w:t>2. 為降低履約風險，建議改為分期付款：</w:t>
      </w:r>
    </w:p>
    <w:p>
      <w:pPr>
        <w:spacing w:before="0" w:after="120" w:line="324" w:lineRule="auto"/>
      </w:pPr>
      <w:r>
        <w:rPr>
          <w:b w:val="0"/>
        </w:rPr>
        <w:t>（1）首期款：合同簽訂後 10 個工作日內支付合同總額之 40%；</w:t>
      </w:r>
    </w:p>
    <w:p>
      <w:pPr>
        <w:spacing w:before="0" w:after="120" w:line="324" w:lineRule="auto"/>
      </w:pPr>
      <w:r>
        <w:rPr>
          <w:b w:val="0"/>
        </w:rPr>
        <w:t>（2）中期款：主要功能完成、硬件到貨並完成階段聯調後 10 個工作日內支付合同總額之 40%；</w:t>
      </w:r>
    </w:p>
    <w:p>
      <w:pPr>
        <w:spacing w:before="0" w:after="120" w:line="324" w:lineRule="auto"/>
      </w:pPr>
      <w:r>
        <w:rPr>
          <w:b w:val="0"/>
        </w:rPr>
        <w:t>（3）尾款：最終驗收合格後 10 個工作日內支付剩餘 20%。</w:t>
      </w:r>
    </w:p>
    <w:p>
      <w:pPr>
        <w:spacing w:before="0" w:after="120" w:line="324" w:lineRule="auto"/>
      </w:pPr>
      <w:r>
        <w:rPr>
          <w:b w:val="0"/>
        </w:rPr>
        <w:t>3. 如甲方仍堅持一次性付款，建議將付款條件明確為「合同簽訂且硬件到貨驗收合格」後支付，以確保資金安排與履約節點對應。</w:t>
      </w:r>
    </w:p>
    <w:p>
      <w:pPr>
        <w:pStyle w:val="Heading1"/>
        <w:spacing w:before="0" w:after="120" w:line="324" w:lineRule="auto"/>
      </w:pPr>
      <w:r>
        <w:rPr>
          <w:b w:val="0"/>
          <w:color w:val="1F4E78"/>
        </w:rPr>
        <w:t>七、第七條修訂建議：交付成果與驗收標準</w:t>
      </w:r>
    </w:p>
    <w:p>
      <w:pPr>
        <w:spacing w:before="0" w:after="120" w:line="324" w:lineRule="auto"/>
      </w:pPr>
      <w:r>
        <w:rPr>
          <w:b w:val="0"/>
        </w:rPr>
        <w:t>1. 乙方交付內容建議至少包括下列項目：</w:t>
      </w:r>
    </w:p>
    <w:p>
      <w:pPr>
        <w:spacing w:before="0" w:after="120" w:line="324" w:lineRule="auto"/>
      </w:pPr>
      <w:r>
        <w:rPr>
          <w:b w:val="0"/>
        </w:rPr>
        <w:t>（1）系統功能性成果；</w:t>
      </w:r>
    </w:p>
    <w:p>
      <w:pPr>
        <w:spacing w:before="0" w:after="120" w:line="324" w:lineRule="auto"/>
      </w:pPr>
      <w:r>
        <w:rPr>
          <w:b w:val="0"/>
        </w:rPr>
        <w:t>（2）技術部署、配置或操作說明文件；</w:t>
      </w:r>
    </w:p>
    <w:p>
      <w:pPr>
        <w:spacing w:before="0" w:after="120" w:line="324" w:lineRule="auto"/>
      </w:pPr>
      <w:r>
        <w:rPr>
          <w:b w:val="0"/>
        </w:rPr>
        <w:t>（3）建檔、綁標、入庫、出庫、回庫之示範流程；</w:t>
      </w:r>
    </w:p>
    <w:p>
      <w:pPr>
        <w:spacing w:before="0" w:after="120" w:line="324" w:lineRule="auto"/>
      </w:pPr>
      <w:r>
        <w:rPr>
          <w:b w:val="0"/>
        </w:rPr>
        <w:t>（4）Savant 中間件事件處理與異常告警展示；</w:t>
      </w:r>
    </w:p>
    <w:p>
      <w:pPr>
        <w:spacing w:before="0" w:after="120" w:line="324" w:lineRule="auto"/>
      </w:pPr>
      <w:r>
        <w:rPr>
          <w:b w:val="0"/>
        </w:rPr>
        <w:t>（5）必要之測試記錄、驗收紀要及培訓說明。</w:t>
      </w:r>
    </w:p>
    <w:p>
      <w:pPr>
        <w:spacing w:before="0" w:after="120" w:line="324" w:lineRule="auto"/>
      </w:pPr>
      <w:r>
        <w:rPr>
          <w:b w:val="0"/>
        </w:rPr>
        <w:t>2. 驗收標準建議採「功能驗收 + 場景驗收」雙軌方式：</w:t>
      </w:r>
    </w:p>
    <w:p>
      <w:pPr>
        <w:spacing w:before="0" w:after="120" w:line="324" w:lineRule="auto"/>
      </w:pPr>
      <w:r>
        <w:rPr>
          <w:b w:val="0"/>
        </w:rPr>
        <w:t>（1）文物建檔、雙標籤綁定、入出庫流程與權限控制可正常運行；</w:t>
      </w:r>
    </w:p>
    <w:p>
      <w:pPr>
        <w:spacing w:before="0" w:after="120" w:line="324" w:lineRule="auto"/>
      </w:pPr>
      <w:r>
        <w:rPr>
          <w:b w:val="0"/>
        </w:rPr>
        <w:t>（2）Savant 可對合法與異常事件進行識別、記錄與展示；</w:t>
      </w:r>
    </w:p>
    <w:p>
      <w:pPr>
        <w:spacing w:before="0" w:after="120" w:line="324" w:lineRule="auto"/>
      </w:pPr>
      <w:r>
        <w:rPr>
          <w:b w:val="0"/>
        </w:rPr>
        <w:t>（3）示範場景可完成至少一輪建檔—入庫—申請/審批—出庫—回庫閉環演示；</w:t>
      </w:r>
    </w:p>
    <w:p>
      <w:pPr>
        <w:spacing w:before="0" w:after="120" w:line="324" w:lineRule="auto"/>
      </w:pPr>
      <w:r>
        <w:rPr>
          <w:b w:val="0"/>
        </w:rPr>
        <w:t>（4）主要文檔齊備，並完成現場或線上培訓說明。</w:t>
      </w:r>
    </w:p>
    <w:p>
      <w:pPr>
        <w:spacing w:before="0" w:after="120" w:line="324" w:lineRule="auto"/>
      </w:pPr>
      <w:r>
        <w:rPr>
          <w:b w:val="0"/>
        </w:rPr>
        <w:t>3. 驗收應由雙方共同參與，並形成書面驗收紀要；若甲方於驗收後提出新增功能或超出原範圍之調整，應另行確認工期、費用與交付方式。</w:t>
      </w:r>
    </w:p>
    <w:p>
      <w:pPr>
        <w:pStyle w:val="Heading1"/>
        <w:spacing w:before="0" w:after="120" w:line="324" w:lineRule="auto"/>
      </w:pPr>
      <w:r>
        <w:rPr>
          <w:b w:val="0"/>
          <w:color w:val="1F4E78"/>
        </w:rPr>
        <w:t>八、第五條與第八條修訂建議：保密、成果使用與知識產權</w:t>
      </w:r>
    </w:p>
    <w:p>
      <w:pPr>
        <w:spacing w:before="0" w:after="120" w:line="324" w:lineRule="auto"/>
      </w:pPr>
      <w:r>
        <w:rPr>
          <w:b w:val="0"/>
        </w:rPr>
        <w:t>1. 雙方對於在履約過程中知悉之文物資料、業務資訊、測試數據、系統設計、技術方案及商業安排，均負有保密義務。</w:t>
      </w:r>
    </w:p>
    <w:p>
      <w:pPr>
        <w:spacing w:before="0" w:after="120" w:line="324" w:lineRule="auto"/>
      </w:pPr>
      <w:r>
        <w:rPr>
          <w:b w:val="0"/>
        </w:rPr>
        <w:t>2. 本項目形成之示範系統、通用技術模塊、研究方法、論文成果及後續申報材料，原則上由雙方依實際貢獻另行協商署名、使用與對外發表方式。</w:t>
      </w:r>
    </w:p>
    <w:p>
      <w:pPr>
        <w:spacing w:before="0" w:after="120" w:line="324" w:lineRule="auto"/>
      </w:pPr>
      <w:r>
        <w:rPr>
          <w:b w:val="0"/>
        </w:rPr>
        <w:t>3. 甲方基於本項目成果另行進行商業化部署、擴點應用或對外授權者，如涉及乙方持續投入、定制開發或技術支持，應另訂合作協議。</w:t>
      </w:r>
    </w:p>
    <w:p>
      <w:pPr>
        <w:pStyle w:val="Heading1"/>
        <w:spacing w:before="0" w:after="120" w:line="324" w:lineRule="auto"/>
      </w:pPr>
      <w:r>
        <w:rPr>
          <w:b w:val="0"/>
          <w:color w:val="1F4E78"/>
        </w:rPr>
        <w:t>九、第六條與新增條款建議：變更管理與後續合作邊界</w:t>
      </w:r>
    </w:p>
    <w:p>
      <w:pPr>
        <w:spacing w:before="0" w:after="120" w:line="324" w:lineRule="auto"/>
      </w:pPr>
      <w:r>
        <w:rPr>
          <w:b w:val="0"/>
        </w:rPr>
        <w:t>1. 功能增補、需求調整、時程變更、場景擴大、第三方對接、硬體新增等事項，均屬項目變更事項，應以書面確認後執行。</w:t>
      </w:r>
    </w:p>
    <w:p>
      <w:pPr>
        <w:spacing w:before="0" w:after="120" w:line="324" w:lineRule="auto"/>
      </w:pPr>
      <w:r>
        <w:rPr>
          <w:b w:val="0"/>
        </w:rPr>
        <w:t>2. 會議紀要、群組確認紀錄、正式郵件與補充協議，均可作為雙方確認之依據；涉及金額、交付範圍及知識產權調整者，應以雙方簽章文件為準。</w:t>
      </w:r>
    </w:p>
    <w:p>
      <w:pPr>
        <w:spacing w:before="0" w:after="120" w:line="324" w:lineRule="auto"/>
      </w:pPr>
      <w:r>
        <w:rPr>
          <w:b w:val="0"/>
        </w:rPr>
        <w:t>3. 無人機配送、低空經濟、額外感知硬體整合、跨館部署、區塊鏈/NFT 延伸模塊等，建議列入「後續合作方向」，不直接作為本次驗收必交項。</w:t>
      </w:r>
    </w:p>
    <w:p>
      <w:pPr>
        <w:pStyle w:val="Heading1"/>
        <w:spacing w:before="0" w:after="120" w:line="324" w:lineRule="auto"/>
      </w:pPr>
      <w:r>
        <w:rPr>
          <w:b w:val="0"/>
          <w:color w:val="1F4E78"/>
        </w:rPr>
        <w:t>十、建議補充條款（可直接納入正式合同）</w:t>
      </w:r>
    </w:p>
    <w:p>
      <w:pPr>
        <w:spacing w:before="0" w:after="120" w:line="324" w:lineRule="auto"/>
      </w:pPr>
      <w:r>
        <w:rPr>
          <w:b w:val="0"/>
        </w:rPr>
        <w:t>1. 雙方同意，在正式驗收前，得以群組、郵件、線上或線下會議方式進行持續對接；涉及核心需求、交付標準及付款節點之確認，應形成書面紀錄。</w:t>
      </w:r>
    </w:p>
    <w:p>
      <w:pPr>
        <w:spacing w:before="0" w:after="120" w:line="324" w:lineRule="auto"/>
      </w:pPr>
      <w:r>
        <w:rPr>
          <w:b w:val="0"/>
        </w:rPr>
        <w:t>2. 如任一方對需求、範圍、時程或配套條件提出重大調整，應由雙方協商後以補充協議確認，未經確認前，乙方僅按原約定範圍履行。</w:t>
      </w:r>
    </w:p>
    <w:p>
      <w:pPr>
        <w:spacing w:before="0" w:after="120" w:line="324" w:lineRule="auto"/>
      </w:pPr>
      <w:r>
        <w:rPr>
          <w:b w:val="0"/>
        </w:rPr>
        <w:t>3. 本項目之示範性成果可用於雙方後續場景展示、項目申報、學術研究或合作洽談；對外公開前，應充分考量保密與商業敏感性。</w:t>
      </w:r>
    </w:p>
    <w:p>
      <w:pPr>
        <w:spacing w:before="0" w:after="120" w:line="324" w:lineRule="auto"/>
      </w:pPr>
      <w:r>
        <w:rPr>
          <w:b w:val="0"/>
        </w:rPr>
        <w:t>4. 因政策監管、場地限制、硬體供應、第三方配合不足等非乙方單方可控因素所致之延誤，經雙方確認後，履約時程得相應順延。</w:t>
      </w:r>
    </w:p>
    <w:p>
      <w:pPr>
        <w:pStyle w:val="Heading1"/>
        <w:spacing w:before="0" w:after="120" w:line="324" w:lineRule="auto"/>
      </w:pPr>
      <w:r>
        <w:rPr>
          <w:b w:val="0"/>
          <w:color w:val="1F4E78"/>
        </w:rPr>
        <w:t>十一、建議修訂摘要表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9EAF7"/>
          </w:tcPr>
          <w:p>
            <w:pPr>
              <w:spacing w:after="0" w:before="0"/>
              <w:jc w:val="center"/>
            </w:pPr>
            <w:r>
              <w:t>修訂面向</w:t>
            </w:r>
          </w:p>
        </w:tc>
        <w:tc>
          <w:tcPr>
            <w:tcW w:type="dxa" w:w="2665"/>
            <w:shd w:fill="D9EAF7"/>
          </w:tcPr>
          <w:p>
            <w:pPr>
              <w:spacing w:after="0" w:before="0"/>
              <w:jc w:val="center"/>
            </w:pPr>
            <w:r>
              <w:t>原合同情況</w:t>
            </w:r>
          </w:p>
        </w:tc>
        <w:tc>
          <w:tcPr>
            <w:tcW w:type="dxa" w:w="4535"/>
            <w:shd w:fill="D9EAF7"/>
          </w:tcPr>
          <w:p>
            <w:pPr>
              <w:spacing w:after="0" w:before="0"/>
              <w:jc w:val="center"/>
            </w:pPr>
            <w:r>
              <w:t>建議修訂方向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</w:pPr>
            <w:r>
              <w:t>專案定位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76" w:lineRule="auto"/>
            </w:pPr>
            <w:r>
              <w:t>偏重系統開發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76" w:lineRule="auto"/>
            </w:pPr>
            <w:r>
              <w:t>改為系統開發＋示範場景落地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</w:pPr>
            <w:r>
              <w:t>協作機制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76" w:lineRule="auto"/>
            </w:pPr>
            <w:r>
              <w:t>未明確持續對接方式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76" w:lineRule="auto"/>
            </w:pPr>
            <w:r>
              <w:t>加入群組 Q&amp;A、會議紀要、書面確認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</w:pPr>
            <w:r>
              <w:t>交付內容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76" w:lineRule="auto"/>
            </w:pPr>
            <w:r>
              <w:t>以功能性描述為主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76" w:lineRule="auto"/>
            </w:pPr>
            <w:r>
              <w:t>補入示範流程、文檔、培訓與場景展示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</w:pPr>
            <w:r>
              <w:t>驗收方式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76" w:lineRule="auto"/>
            </w:pPr>
            <w:r>
              <w:t>偏功能驗收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76" w:lineRule="auto"/>
            </w:pPr>
            <w:r>
              <w:t>改為功能驗收＋場景驗收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</w:pPr>
            <w:r>
              <w:t>付款條件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76" w:lineRule="auto"/>
            </w:pPr>
            <w:r>
              <w:t>一次性付款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76" w:lineRule="auto"/>
            </w:pPr>
            <w:r>
              <w:t>建議分期支付或至少對應明確節點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</w:pPr>
            <w:r>
              <w:t>延伸需求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76" w:lineRule="auto"/>
            </w:pPr>
            <w:r>
              <w:t>未區分本次與後續內容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76" w:lineRule="auto"/>
            </w:pPr>
            <w:r>
              <w:t>將無人機、低空經濟等列為後續合作方向</w:t>
            </w:r>
          </w:p>
        </w:tc>
      </w:tr>
    </w:tbl>
    <w:p>
      <w:pPr>
        <w:pStyle w:val="Heading1"/>
        <w:spacing w:before="0" w:after="120" w:line="324" w:lineRule="auto"/>
      </w:pPr>
      <w:r>
        <w:rPr>
          <w:b w:val="0"/>
          <w:color w:val="1F4E78"/>
        </w:rPr>
        <w:t>十二、使用建議</w:t>
      </w:r>
    </w:p>
    <w:p>
      <w:pPr>
        <w:spacing w:before="0" w:after="120" w:line="324" w:lineRule="auto"/>
      </w:pPr>
      <w:r>
        <w:rPr>
          <w:b w:val="0"/>
        </w:rPr>
        <w:t>1. 本版為「依會議記錄提出之修訂版」，適合先作為內部討論稿或回覆合作方之修訂依據。</w:t>
      </w:r>
    </w:p>
    <w:p>
      <w:pPr>
        <w:spacing w:before="0" w:after="120" w:line="324" w:lineRule="auto"/>
      </w:pPr>
      <w:r>
        <w:rPr>
          <w:b w:val="0"/>
        </w:rPr>
        <w:t>2. 若需正式簽章，建議再由法務或行政端依雙方用印格式整合為最終版本。</w:t>
      </w:r>
    </w:p>
    <w:p>
      <w:pPr>
        <w:spacing w:before="0" w:after="120" w:line="324" w:lineRule="auto"/>
      </w:pPr>
      <w:r>
        <w:rPr>
          <w:b w:val="0"/>
        </w:rPr>
        <w:t>3. 如需要，我方可再另行整理成「原條文／建議條文」對照版，以便逐條回覆。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