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  <w:jc w:val="center"/>
      </w:pPr>
      <w:r>
        <w:rPr>
          <w:rFonts w:ascii="Noto Sans CJK TC" w:hAnsi="Noto Sans CJK TC" w:eastAsia="Noto Sans CJK TC"/>
          <w:b/>
          <w:color w:val="1F4E79"/>
          <w:sz w:val="44"/>
        </w:rPr>
        <w:t>附錄：非遺資產 RFID／ONS／Savant／NFT</w:t>
        <w:br/>
      </w:r>
      <w:r>
        <w:rPr>
          <w:rFonts w:ascii="Noto Sans CJK TC" w:hAnsi="Noto Sans CJK TC" w:eastAsia="Noto Sans CJK TC"/>
          <w:b/>
          <w:color w:val="1F4E79"/>
          <w:sz w:val="36"/>
        </w:rPr>
        <w:t>系統資料庫表結構清單與 ER 圖版</w:t>
      </w:r>
    </w:p>
    <w:p>
      <w:pPr>
        <w:spacing w:before="40" w:after="240" w:line="288" w:lineRule="auto"/>
        <w:jc w:val="center"/>
      </w:pPr>
      <w:r>
        <w:rPr>
          <w:rFonts w:ascii="Noto Sans CJK TC" w:hAnsi="Noto Sans CJK TC" w:eastAsia="Noto Sans CJK TC"/>
          <w:b w:val="0"/>
          <w:color w:val="5B6572"/>
          <w:sz w:val="22"/>
        </w:rPr>
        <w:t>適用於「非遺資產防偽辨識、全流程追蹤與區塊鏈映射系統」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</w:tblPr>
      <w:tblGrid>
        <w:gridCol w:w="6900"/>
        <w:gridCol w:w="6900"/>
      </w:tblGrid>
      <w:tr>
        <w:trPr>
          <w:cantSplit/>
        </w:trPr>
        <w:tc>
          <w:tcPr>
            <w:tcW w:type="dxa" w:w="2438"/>
            <w:shd w:fill="EAF1FB" w:color="auto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/>
                <w:color w:val="1F4E79"/>
                <w:sz w:val="21"/>
              </w:rPr>
              <w:t>文件屬性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報告附錄版</w:t>
            </w:r>
          </w:p>
        </w:tc>
      </w:tr>
      <w:tr>
        <w:trPr>
          <w:cantSplit/>
        </w:trPr>
        <w:tc>
          <w:tcPr>
            <w:tcW w:type="dxa" w:w="2438"/>
            <w:shd w:fill="EAF1FB" w:color="auto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/>
                <w:color w:val="1F4E79"/>
                <w:sz w:val="21"/>
              </w:rPr>
              <w:t>文件版本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2438"/>
            <w:shd w:fill="EAF1FB" w:color="auto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/>
                <w:color w:val="1F4E79"/>
                <w:sz w:val="21"/>
              </w:rPr>
              <w:t>整理日期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2026-03-13</w:t>
            </w:r>
          </w:p>
        </w:tc>
      </w:tr>
      <w:tr>
        <w:trPr>
          <w:cantSplit/>
        </w:trPr>
        <w:tc>
          <w:tcPr>
            <w:tcW w:type="dxa" w:w="2438"/>
            <w:shd w:fill="EAF1FB" w:color="auto" w:val="clear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/>
                <w:color w:val="1F4E79"/>
                <w:sz w:val="21"/>
              </w:rPr>
              <w:t>內容範圍</w:t>
            </w:r>
          </w:p>
        </w:tc>
        <w:tc>
          <w:tcPr>
            <w:tcW w:type="dxa" w:w="53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資料庫表結構清單、核心關聯摘要、ER 圖</w:t>
            </w:r>
          </w:p>
        </w:tc>
      </w:tr>
    </w:tbl>
    <w:p>
      <w:r>
        <w:br w:type="page"/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附錄說明</w:t>
      </w:r>
    </w:p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1"/>
        </w:rPr>
        <w:t>本附錄以「非遺資產主檔」為核心，整理 ONS 私有解析、Savant 中介控制、RFID 標籤綁定、作品狀況與所屬管理，以及 NFT／區塊鏈映射等資料表結構，作為系統分析、資料庫建置與後續 ER 圖設計之依據。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本附錄採「主資料、解析資料、事件資料、鏈上索引資料」分層設計，以兼顧管理、追溯與擴充性。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資產識別碼由平台統一生成與管理，對應 RFID 晶片硬體識別與 ONS 路由規則。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ER 圖採核心關聯呈現方式；完整欄位定義以本附錄表結構清單為準。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A　資料表分類總覽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4E5"/>
          <w:left w:val="single" w:sz="6" w:space="0" w:color="C9D4E5"/>
          <w:bottom w:val="single" w:sz="6" w:space="0" w:color="C9D4E5"/>
          <w:right w:val="single" w:sz="6" w:space="0" w:color="C9D4E5"/>
          <w:insideH w:val="single" w:sz="6" w:space="0" w:color="C9D4E5"/>
          <w:insideV w:val="single" w:sz="6" w:space="0" w:color="C9D4E5"/>
        </w:tblBorders>
      </w:tblPr>
      <w:tblGrid>
        <w:gridCol w:w="3450"/>
        <w:gridCol w:w="3450"/>
        <w:gridCol w:w="3450"/>
        <w:gridCol w:w="3450"/>
      </w:tblGrid>
      <w:tr>
        <w:trPr>
          <w:tblHeader w:val="true"/>
          <w:cantSplit/>
        </w:trPr>
        <w:tc>
          <w:tcPr>
            <w:tcW w:type="dxa" w:w="1020"/>
            <w:shd w:fill="DCE6F1" w:color="auto" w:val="clear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序號</w:t>
            </w:r>
          </w:p>
        </w:tc>
        <w:tc>
          <w:tcPr>
            <w:tcW w:type="dxa" w:w="3515"/>
            <w:shd w:fill="DCE6F1" w:color="auto" w:val="clear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資料域</w:t>
            </w:r>
          </w:p>
        </w:tc>
        <w:tc>
          <w:tcPr>
            <w:tcW w:type="dxa" w:w="1417"/>
            <w:shd w:fill="DCE6F1" w:color="auto" w:val="clear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表數</w:t>
            </w:r>
          </w:p>
        </w:tc>
        <w:tc>
          <w:tcPr>
            <w:tcW w:type="dxa" w:w="8617"/>
            <w:shd w:fill="DCE6F1" w:color="auto" w:val="clear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color w:val="1F1F1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共用主資料表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5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提供組織、人員、地點、非遺項目與作品主檔，是所有其他資料表之外鍵基礎。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ONS 解析資料表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5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用於識別碼命名空間、解析規則、服務端點與解析日誌管理。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Savant / RFID 中介資料表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9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支援標籤綁定、設備接入、寫碼控制、事件處理與異常告警。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非遺作品狀況與所屬資料表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8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記錄權屬、保管、狀態、展陳、物流與證書等生命週期資料。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EPCIS / 事件追溯資料表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3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保存標準化事件主檔、事件物件關聯與擴充欄位。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F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NFT / 區塊鏈映射資料表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8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保存鏈網路、合約、集合、Token、Metadata 與交易日誌。</w:t>
            </w:r>
          </w:p>
        </w:tc>
      </w:tr>
      <w:tr>
        <w:trPr>
          <w:cantSplit/>
        </w:trPr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  <w:shd w:fill="F7FAFE" w:color="auto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數位檔案與存證資料表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2</w:t>
            </w:r>
          </w:p>
        </w:tc>
        <w:tc>
          <w:tcPr>
            <w:tcW w:type="dxa" w:w="3450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保存鏈下檔案、影像、證書與鏈上存證錨定關係。</w:t>
            </w:r>
          </w:p>
        </w:tc>
      </w:tr>
    </w:tbl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A. 共用主資料表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A-1　共用主資料表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org_unit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記錄博物館、工坊、平台、物流方與保護中心等組織資料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org_id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-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org_code；org_name；org_type；license_no；address；status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person_entity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記錄傳承人、鑑定師、館員、收藏者與操作員等人員資料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person_id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org_id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person_code；person_name；person_type；title_name；phone；email；status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location_node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記錄庫房、展館、工坊、物流中轉點與收藏地點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org_id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location_code；location_name；location_type；address；gps_lat；gps_lng；status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4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heritage_project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記錄非遺項目主檔，如工藝類別、地方項目與保護級別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project_id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protection_unit_org_id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project_code；project_name；project_level；category_code；region_code；description；status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5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heritage_asset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非遺作品主檔，作為全系統核心主表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project_id；creator_person_id；creator_org_id；current_location_id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asset_uuid；asset_code；asset_name；asset_type；material；craft_description；edition_type；current_status；nft_enabled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此區資料表構成整體主資料層，後續 RFID、ONS、EPCIS 與 NFT 模組均需透過外鍵關聯至作品主檔。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B. ONS 解析資料表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A-2　ONS 解析資料表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6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asset_identity_code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記錄系統主導的資產識別碼，如 ICH-EPC、內部 UUID 與證書碼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identity_id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asset_id；issuer_org_id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identity_type；identity_value；version_no；check_digit；issued_at；is_primary；status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7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ons_namespace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ONS 命名空間設定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namespace_id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-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namespace_code；namespace_name；description；status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8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ons_resolution_rule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ONS 解析規則，定義不同識別碼對應的服務路由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rule_id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namespace_id；project_id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identity_prefix；asset_type；route_strategy；priority_no；is_enabled；version_no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9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ons_service_endpoint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ONS 可解析到的服務端點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endpoint_id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rule_id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service_type；endpoint_name；endpoint_url；http_method；auth_type；timeout_sec；status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10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ons_resolution_log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ONS 解析請求與回應日誌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resolve_log_id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rule_id；resolved_endpoint_id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identity_value；request_source；resolved_result；status_code；client_ip；request_time；response_ms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建議於應用層採私有 ONS Resolver 實作，將 asset_identity_code 作為解析入口，並以 ons_resolution_rule / ons_service_endpoint 控制路由。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C. Savant / RFID 中介資料表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A-3　Savant / RFID 中介資料表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11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rfid_tag_chip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RFID 晶片與標籤硬體資料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tag_chip_id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-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chip_uid；tid_value；chip_vendor；chip_model；frequency_type；security_capability；status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12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asset_tag_binding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記錄非遺資產與 RFID 標籤的綁定關係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binding_id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asset_id；tag_chip_id；identity_id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binding_type；bind_time；unbind_time；is_active；anti_tamper_flag；bind_operator_id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13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edge_gateway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記錄邊緣閘道設備資料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gateway_id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org_id；location_id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gateway_code；gateway_name；ip_address；os_version；agent_version；status；last_heartbeat_at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14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reader_device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記錄各類 RFID / NFC 讀寫設備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reader_id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gateway_id；location_id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reader_code；reader_name；reader_type；vendor_name；model_name；serial_no；ip_address；status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15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tag_write_job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記錄標籤寫碼任務，由平台主導編碼與下發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write_job_id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asset_id；tag_chip_id；identity_id；writer_reader_id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write_epc_value；write_user_memory；write_signature；job_status；requested_by；approved_by；executed_at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16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savant_event_raw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記錄原始 RFID 讀取事件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raw_event_id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reader_id；gateway_id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epc_value；tid_value；antenna_no；rssi；read_count；event_time；payload_json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17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savant_event_filtered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記錄經去重與規則處理後的有效事件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filtered_event_id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raw_event_id；asset_id；identity_id；reader_id；location_id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biz_step；event_type；disposition；is_duplicate；confidence_score；event_time；processed_time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18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savant_rule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Savant 規則引擎設定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rule_id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-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rule_code；rule_name；rule_type；rule_expression；severity_level；is_enabled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19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savant_alert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記錄異常告警，如複製、異地衝突與未授權讀取等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alert_id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filtered_event_id；asset_id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alert_type；alert_level；alert_title；alert_desc；status；assigned_to；created_at；closed_at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此區資料表同時支援設備接入與中介規則治理；其中 tag_write_job 為「系統主導編碼」實作關鍵。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D. 非遺作品狀況與所屬資料表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A-4　非遺作品狀況與所屬資料表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20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asset_ownership_history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記錄作品所有權變化歷程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ownership_id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asset_id；owner_org_id；owner_person_id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owner_type；ownership_type；effective_from；effective_to；source_doc_id；tx_ref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21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asset_custody_history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記錄作品保管與佔有歷程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custody_id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asset_id；custodian_org_id；location_id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custody_type；start_time；end_time；handover_doc_no；remark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22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asset_condition_report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記錄作品保存狀況、損傷情形與修復需求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condition_id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asset_id；inspector_person_id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inspection_date；condition_grade；surface_status；structure_status；damage_desc；repair_needed；repair_status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23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asset_status_history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記錄作品狀態變更歷程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status_hist_id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asset_id；event_id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old_status；new_status；change_reason；biz_step；changed_by；change_time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24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asset_certificate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記錄真偽證書、鑑定證書與展覽證明等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cert_id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asset_id；issuer_org_id；issuer_person_id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cert_type；cert_no；issue_date；expire_date；cert_hash；file_uri；status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25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asset_transfer_record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記錄作品移交、買賣、借展與捐贈等流轉資料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transfer_id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asset_id；from_owner_org_id；to_owner_org_id；from_owner_person_id；to_owner_person_id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transfer_type；contract_no；transfer_date；price_amount；currency_code；settlement_status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26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asset_exhibition_record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記錄作品展出與借展資訊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exhibit_id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asset_id；host_org_id；location_id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event_name；start_date；end_date；is_loaned；insurance_no；remark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27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asset_logistics_record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記錄運輸、轉運、到貨與物流軌跡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logistics_id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asset_id；from_location_id；to_location_id；carrier_org_id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tracking_no；transport_mode；dispatch_time；arrival_time；transport_status；security_seal_no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建議將所有權、保管權與物流事件分離建模，以利同一作品在借展、維修與寄存場景下準確反映實際狀態。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E. EPCIS / 事件追溯資料表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A-5　EPCIS / 事件追溯資料表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28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epcis_event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記錄標準化事件主檔，用於全流程追溯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epcis_event_id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read_point_id；biz_location_id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event_type；event_time；record_time；biz_step；disposition；action_code；why_code；event_hash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29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epcis_event_object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記錄事件與資產、標籤及識別碼的關聯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event_object_id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epcis_event_id；asset_id；identity_id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epc_value；role_type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30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epcis_event_extension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EPCIS 事件的自訂擴充欄位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ext_id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epcis_event_id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field_name；field_value；field_type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若後續採 EPCIS 2.0 兼容設計，可於 epcis_event_extension 增補業務語意欄位，兼顧標準化與本地化需求。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F. NFT / 區塊鏈映射資料表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A-6　NFT / 區塊鏈映射資料表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31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blockchain_network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記錄區塊鏈網路主檔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network_id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-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network_code；network_name；chain_id；rpc_endpoint；explorer_url；network_type；status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32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smart_contract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NFT、Registry、Provenance 等智能合約資料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contract_id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network_id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contract_name；contract_type；contract_address；abi_version；deploy_tx_hash；deploy_block_no；status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33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nft_collection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NFT 集合資料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collection_id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contract_id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collection_name；token_standard；symbol；base_uri；royalty_ratio；status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34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nft_token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NFT Token 與實體資產的對應關係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token_pk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collection_id；asset_id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token_id；token_name；token_uri；metadata_cid；image_uri；mint_status；mint_tx_hash；current_wallet_address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35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asset_nft_binding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記錄實體資產與 NFT 的綁定方式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binding_id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asset_id；token_pk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binding_type；is_primary；effective_from；effective_to；status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36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metadata_snapshot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記錄每次 NFT Metadata 的快照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snapshot_id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token_pk；asset_id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metadata_version；metadata_json；metadata_hash；storage_type；storage_uri；cid_value；created_at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37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chain_transaction_log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記錄所有上鏈交易，如部署、鑄造、轉移與銷毀等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chain_tx_id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network_id；contract_id；token_pk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biz_ref_type；biz_ref_id；tx_type；wallet_from；wallet_to；tx_hash；block_no；tx_status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38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token_transfer_history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 NFT 歷次轉移交易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transfer_hist_id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token_pk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from_wallet；to_wallet；transfer_tx_hash；transfer_time；biz_reason；linked_transfer_id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asset_nft_binding 可支援一對一、證書映射或衍生映射等模式；metadata_snapshot 則用於保存歷次上鏈內容版本。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G. 數位檔案與存證資料表</w:t>
      </w:r>
    </w:p>
    <w:p>
      <w:pPr>
        <w:spacing w:before="160" w:after="60" w:line="240" w:lineRule="auto"/>
        <w:jc w:val="left"/>
      </w:pPr>
      <w:r>
        <w:rPr>
          <w:rFonts w:ascii="Noto Sans CJK TC" w:hAnsi="Noto Sans CJK TC" w:eastAsia="Noto Sans CJK TC"/>
          <w:b/>
          <w:color w:val="1F4E79"/>
          <w:sz w:val="23"/>
        </w:rPr>
        <w:t>表 A-7　數位檔案與存證資料表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6D3E3"/>
          <w:left w:val="single" w:sz="5" w:space="0" w:color="C6D3E3"/>
          <w:bottom w:val="single" w:sz="5" w:space="0" w:color="C6D3E3"/>
          <w:right w:val="single" w:sz="5" w:space="0" w:color="C6D3E3"/>
          <w:insideH w:val="single" w:sz="5" w:space="0" w:color="C6D3E3"/>
          <w:insideV w:val="single" w:sz="5" w:space="0" w:color="C6D3E3"/>
        </w:tblBorders>
      </w:tblPr>
      <w:tblGrid>
        <w:gridCol w:w="2300"/>
        <w:gridCol w:w="2300"/>
        <w:gridCol w:w="2300"/>
        <w:gridCol w:w="2300"/>
        <w:gridCol w:w="2300"/>
        <w:gridCol w:w="2300"/>
      </w:tblGrid>
      <w:tr>
        <w:trPr>
          <w:tblHeader w:val="true"/>
          <w:cantSplit/>
        </w:trPr>
        <w:tc>
          <w:tcPr>
            <w:tcW w:type="dxa" w:w="56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序號</w:t>
            </w:r>
          </w:p>
        </w:tc>
        <w:tc>
          <w:tcPr>
            <w:tcW w:type="dxa" w:w="1814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資料表名稱</w:t>
            </w:r>
          </w:p>
        </w:tc>
        <w:tc>
          <w:tcPr>
            <w:tcW w:type="dxa" w:w="3288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用途說明</w:t>
            </w:r>
          </w:p>
        </w:tc>
        <w:tc>
          <w:tcPr>
            <w:tcW w:type="dxa" w:w="1247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主鍵</w:t>
            </w:r>
          </w:p>
        </w:tc>
        <w:tc>
          <w:tcPr>
            <w:tcW w:type="dxa" w:w="2381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主要外鍵</w:t>
            </w:r>
          </w:p>
        </w:tc>
        <w:tc>
          <w:tcPr>
            <w:tcW w:type="dxa" w:w="5499"/>
            <w:shd w:fill="DCE6F1" w:color="auto" w:val="clear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TC" w:hAnsi="Noto Sans CJK TC" w:eastAsia="Noto Sans CJK TC"/>
                <w:b/>
                <w:sz w:val="19"/>
              </w:rPr>
              <w:t>核心欄位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39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digital_object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記錄圖片、影片、鑑定書與工藝說明等數位檔案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file_id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asset_id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  <w:shd w:fill="FAFCFE" w:color="auto" w:val="clea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file_type；file_name；mime_type；file_size；file_hash；storage_type；storage_uri；cid_value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40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evidence_anchor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記錄鏈下資料與鏈上存證的對應關係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center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anchor_id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network_id；contract_id</w:t>
            </w:r>
          </w:p>
        </w:tc>
        <w:tc>
          <w:tcPr>
            <w:tcW w:type="dxa" w:w="2300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pPr>
              <w:spacing w:before="0" w:after="0" w:line="278" w:lineRule="auto"/>
              <w:jc w:val="left"/>
            </w:pPr>
            <w:r>
              <w:rPr>
                <w:rFonts w:ascii="Noto Sans CJK TC" w:hAnsi="Noto Sans CJK TC" w:eastAsia="Noto Sans CJK TC"/>
                <w:b w:val="0"/>
                <w:sz w:val="18"/>
              </w:rPr>
              <w:t>biz_type；biz_id；hash_type；hash_value；tx_hash；block_no；anchor_time；status</w:t>
            </w:r>
          </w:p>
        </w:tc>
      </w:tr>
    </w:tbl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digital_object 與 evidence_anchor 共同支撐「鏈下內容—鏈上哈希」雙軌存證設計。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B　核心關聯摘要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heritage_project → heritage_asset：一個非遺項目可對應多件作品或衍生資產。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heritage_asset → asset_identity_code：一件作品可擁有多種識別碼，但系統主碼應僅有一筆主識別紀錄。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heritage_asset → asset_tag_binding → rfid_tag_chip：形成作品、平台識別碼與實體標籤晶片的三方綁定。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asset_identity_code → ons_resolution_rule → ons_service_endpoint：完成私有 ONS 的命名解析與服務路由。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reader_device → savant_event_raw → savant_event_filtered → savant_alert：完成讀取、去重、規則處理與異常告警鏈。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heritage_asset ↔ nft_token（經 asset_nft_binding）：建立實體資產與 NFT／數位憑證的映射關係。</w:t>
      </w:r>
    </w:p>
    <w:p>
      <w:pPr>
        <w:spacing w:before="0" w:after="40" w:line="283" w:lineRule="auto"/>
        <w:ind w:left="283" w:hanging="198"/>
      </w:pPr>
      <w:r>
        <w:rPr>
          <w:rFonts w:ascii="Noto Sans CJK TC" w:hAnsi="Noto Sans CJK TC" w:eastAsia="Noto Sans CJK TC"/>
          <w:b/>
          <w:color w:val="1F4E79"/>
          <w:sz w:val="21"/>
        </w:rPr>
        <w:t xml:space="preserve">• </w:t>
      </w:r>
      <w:r>
        <w:rPr>
          <w:rFonts w:ascii="Noto Sans CJK TC" w:hAnsi="Noto Sans CJK TC" w:eastAsia="Noto Sans CJK TC"/>
          <w:b w:val="0"/>
          <w:sz w:val="21"/>
        </w:rPr>
        <w:t>digital_object / metadata_snapshot → evidence_anchor：完成鏈下檔案與鏈上哈希的可驗證對應。</w:t>
      </w:r>
    </w:p>
    <w:p>
      <w:r>
        <w:br w:type="page"/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 C　ER 圖版</w:t>
      </w:r>
    </w:p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下列 ER 圖以核心實體與主要外鍵關聯為主，目的在於輔助報告呈現與系統溝通；完整欄位定義仍以本附錄前述表結構清單為準。</w:t>
      </w:r>
    </w:p>
    <w:p>
      <w:pPr>
        <w:spacing w:before="120" w:after="80" w:line="240" w:lineRule="auto"/>
      </w:pPr>
      <w:r>
        <w:rPr>
          <w:rFonts w:ascii="Noto Sans CJK TC" w:hAnsi="Noto Sans CJK TC" w:eastAsia="Noto Sans CJK TC"/>
          <w:b/>
          <w:color w:val="1F4E79"/>
          <w:sz w:val="23"/>
        </w:rPr>
        <w:t>圖 C-1　核心實體 ER 圖（主資料—RFID／ONS—Savant—NFT）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928000" cy="3637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28000" cy="363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19"/>
        </w:rPr>
        <w:t>圖 C-1 強調整體系統的核心主線：以 heritage_asset 為中心，同步連結資產識別碼、RFID 標籤綁定、Savant 事件處理，以及 NFT／區塊鏈交易索引。</w:t>
      </w:r>
    </w:p>
    <w:p>
      <w:r>
        <w:br w:type="page"/>
      </w:r>
    </w:p>
    <w:p>
      <w:pPr>
        <w:spacing w:before="40" w:after="80" w:line="240" w:lineRule="auto"/>
      </w:pPr>
      <w:r>
        <w:rPr>
          <w:rFonts w:ascii="Noto Sans CJK TC" w:hAnsi="Noto Sans CJK TC" w:eastAsia="Noto Sans CJK TC"/>
          <w:b/>
          <w:color w:val="1F4E79"/>
          <w:sz w:val="23"/>
        </w:rPr>
        <w:t>圖 C-2　事件追溯與鏈上映射 ER 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56000" cy="2700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_er_la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2700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19"/>
        </w:rPr>
        <w:t>圖 C-2 著重描述 RFID 事件如何經 Savant 過濾後進入 EPCIS 事件庫，並延伸至作品狀態更新、數位檔案存證與 NFT Metadata 錨定。</w:t>
      </w:r>
    </w:p>
    <w:p>
      <w:pPr>
        <w:spacing w:before="160" w:after="120" w:line="264" w:lineRule="auto"/>
      </w:pPr>
      <w:r>
        <w:rPr>
          <w:rFonts w:ascii="Noto Sans CJK TC" w:hAnsi="Noto Sans CJK TC" w:eastAsia="Noto Sans CJK TC"/>
          <w:b/>
          <w:color w:val="1F4E79"/>
          <w:sz w:val="32"/>
        </w:rPr>
        <w:t>附錄結語</w:t>
      </w:r>
    </w:p>
    <w:p>
      <w:pPr>
        <w:spacing w:before="0" w:after="80" w:line="307" w:lineRule="auto"/>
      </w:pPr>
      <w:r>
        <w:rPr>
          <w:rFonts w:ascii="Noto Sans CJK TC" w:hAnsi="Noto Sans CJK TC" w:eastAsia="Noto Sans CJK TC"/>
          <w:b w:val="0"/>
          <w:color w:val="333333"/>
          <w:sz w:val="20"/>
        </w:rPr>
        <w:t>本附錄可直接作為後續資料庫建模、ER 圖再細化、資料字典撰寫、SQL DDL 草案設計與系統模組拆分之基礎版本。若後續進入實作階段，建議再補充欄位型別、唯一索引、檢查約束、觸發器與同步策略等技術規格。</w:t>
      </w:r>
    </w:p>
    <w:sectPr w:rsidR="00FC693F" w:rsidRPr="0006063C" w:rsidSect="00034616">
      <w:footerReference w:type="default" r:id="rId11"/>
      <w:pgSz w:w="15840" w:h="12240" w:orient="landscape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TC" w:hAnsi="Noto Sans CJK TC" w:eastAsia="Noto Sans CJK TC"/>
        <w:b w:val="0"/>
        <w:color w:val="6B7280"/>
        <w:sz w:val="17"/>
      </w:rPr>
      <w:t>附錄：非遺資產資料庫表結構清單與 ER 圖版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