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TC" w:hAnsi="Noto Sans CJK TC" w:eastAsia="Noto Sans CJK TC"/>
          <w:b/>
          <w:color w:val="2F5597"/>
          <w:sz w:val="40"/>
        </w:rPr>
        <w:t>非遺資產 RFID 防偽辨識、全流程追蹤與 NFT 映射系統</w:t>
      </w:r>
    </w:p>
    <w:p>
      <w:pPr>
        <w:pStyle w:val="Subtitle"/>
        <w:jc w:val="center"/>
        <w:pBdr>
          <w:bottom w:val="single" w:sz="8" w:space="4" w:color="D9E2F3"/>
        </w:pBdr>
      </w:pPr>
      <w:r>
        <w:rPr>
          <w:rFonts w:ascii="Noto Sans CJK TC" w:hAnsi="Noto Sans CJK TC" w:eastAsia="Noto Sans CJK TC"/>
          <w:color w:val="666666"/>
          <w:sz w:val="22"/>
        </w:rPr>
        <w:t>正式報告版（含總體架構圖、分層模組說明與系統流程圖）</w:t>
      </w:r>
    </w:p>
    <w:p>
      <w:pPr>
        <w:jc w:val="center"/>
      </w:pPr>
      <w:r>
        <w:rPr>
          <w:rFonts w:ascii="Noto Sans CJK TC" w:hAnsi="Noto Sans CJK TC" w:eastAsia="Noto Sans CJK TC"/>
          <w:b/>
          <w:color w:val="1F1F1F"/>
          <w:sz w:val="21"/>
        </w:rPr>
        <w:t>主題：</w:t>
      </w:r>
      <w:r>
        <w:rPr>
          <w:rFonts w:ascii="Noto Sans CJK TC" w:hAnsi="Noto Sans CJK TC" w:eastAsia="Noto Sans CJK TC"/>
          <w:b w:val="0"/>
          <w:color w:val="1F1F1F"/>
          <w:sz w:val="21"/>
        </w:rPr>
        <w:t>保留 ONS 與 Savant 架構角色，並由平台主導 RFID 編碼與解析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9241"/>
      </w:tblGrid>
      <w:tr>
        <w:tc>
          <w:tcPr>
            <w:tcW w:type="dxa" w:w="9525"/>
            <w:shd w:fill="F6F9FE"/>
          </w:tcPr>
          <w:p>
            <w:pPr>
              <w:spacing w:before="100" w:after="100"/>
            </w:pPr>
            <w:r>
              <w:rPr>
                <w:rFonts w:ascii="Noto Sans CJK TC" w:hAnsi="Noto Sans CJK TC" w:eastAsia="Noto Sans CJK TC"/>
                <w:b/>
                <w:color w:val="2F5597"/>
                <w:sz w:val="21"/>
              </w:rPr>
              <w:t>摘要：</w:t>
            </w:r>
            <w:r>
              <w:rPr>
                <w:rFonts w:ascii="Noto Sans CJK TC" w:hAnsi="Noto Sans CJK TC" w:eastAsia="Noto Sans CJK TC"/>
                <w:color w:val="1F1F1F"/>
                <w:sz w:val="21"/>
              </w:rPr>
              <w:t>本系統以非遺作品、證書與包裝等實體資產為核心，透過 RFID / NFC / UHF 標籤完成身份綁定，再由 Savant 中介主機、私有 ONS 解析服務與 EPCIS 事件追溯中心構成平台主控架構；最終把核心證據、Metadata 與權屬資訊映射至區塊鏈與 NFT，形成兼具防偽辨識、過程追蹤、數位存證與文化展示的整合性系統。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2F5597"/>
          <w:sz w:val="28"/>
        </w:rPr>
        <w:t>一、系統總體架構圖</w:t>
      </w:r>
    </w:p>
    <w:p>
      <w:pPr>
        <w:spacing w:after="120"/>
        <w:jc w:val="center"/>
      </w:pPr>
      <w:r>
        <w:rPr>
          <w:rFonts w:ascii="Noto Sans CJK TC" w:hAnsi="Noto Sans CJK TC" w:eastAsia="Noto Sans CJK TC"/>
          <w:b/>
          <w:color w:val="244061"/>
          <w:sz w:val="21"/>
        </w:rPr>
        <w:t>圖 1  非遺資產 RFID 防偽追蹤與 NFT 映射系統總體架構圖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56000" cy="3972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972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both"/>
      </w:pPr>
      <w:r>
        <w:rPr>
          <w:rFonts w:ascii="Noto Sans CJK TC" w:hAnsi="Noto Sans CJK TC" w:eastAsia="Noto Sans CJK TC"/>
          <w:b/>
          <w:color w:val="244061"/>
          <w:sz w:val="20"/>
        </w:rPr>
        <w:t>圖說：</w:t>
      </w:r>
      <w:r>
        <w:rPr>
          <w:rFonts w:ascii="Noto Sans CJK TC" w:hAnsi="Noto Sans CJK TC" w:eastAsia="Noto Sans CJK TC"/>
          <w:color w:val="1F1F1F"/>
          <w:sz w:val="20"/>
        </w:rPr>
        <w:t>本架構以「實體資產—標籤—採集—邊緣—中介—解析—追溯—上鏈—應用」為主線。Savant 主機負責資料過濾、事件去重、編碼下發與異常判斷；ONS 解析服務則將 ICH-EPC 對應到主資料、驗真、追溯與 NFT 服務端點；EPCIS 則持續保存生命週期事件，以支撐非遺資產的可追溯、可驗證與可展示。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  <w:b/>
          <w:color w:val="2F5597"/>
          <w:sz w:val="28"/>
        </w:rPr>
        <w:t>二、分層模組說明</w:t>
      </w:r>
    </w:p>
    <w:p>
      <w:pPr>
        <w:spacing w:after="160"/>
        <w:jc w:val="center"/>
      </w:pPr>
      <w:r>
        <w:rPr>
          <w:rFonts w:ascii="Noto Sans CJK TC" w:hAnsi="Noto Sans CJK TC" w:eastAsia="Noto Sans CJK TC"/>
          <w:b/>
          <w:color w:val="244061"/>
          <w:sz w:val="21"/>
        </w:rPr>
        <w:t>表 1  系統分層模組與職能對照表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1757"/>
        <w:gridCol w:w="2268"/>
        <w:gridCol w:w="3798"/>
        <w:gridCol w:w="1417"/>
      </w:tblGrid>
      <w:tr>
        <w:tc>
          <w:tcPr>
            <w:tcW w:type="dxa" w:w="2381"/>
            <w:shd w:fill="D9E2F3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1F1F"/>
                <w:sz w:val="20"/>
              </w:rPr>
              <w:t>層級</w:t>
            </w:r>
          </w:p>
        </w:tc>
        <w:tc>
          <w:tcPr>
            <w:tcW w:type="dxa" w:w="2381"/>
            <w:shd w:fill="D9E2F3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1F1F"/>
                <w:sz w:val="20"/>
              </w:rPr>
              <w:t>核心模組</w:t>
            </w:r>
          </w:p>
        </w:tc>
        <w:tc>
          <w:tcPr>
            <w:tcW w:type="dxa" w:w="2381"/>
            <w:shd w:fill="D9E2F3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1F1F"/>
                <w:sz w:val="20"/>
              </w:rPr>
              <w:t>主要功能</w:t>
            </w:r>
          </w:p>
        </w:tc>
        <w:tc>
          <w:tcPr>
            <w:tcW w:type="dxa" w:w="2381"/>
            <w:shd w:fill="D9E2F3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1F1F"/>
                <w:sz w:val="20"/>
              </w:rPr>
              <w:t>關鍵資料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非遺實體資產層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作品、衍生品、證書、包裝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作為被識別、被追蹤與被映射的實體主體，完成建檔與唯一綁定。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Asset UUID / 類別 / 來源 / 權屬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感知層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RFID、NFC、UHF、雙頻標籤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承載標籤硬體身份與平台主導識別碼，支援近距離驗真與批量盤點。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TID / UID / ICH-EPC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採集層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手持 Reader、固定 Reader、NFC 手機、發碼工作站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完成標籤讀寫、盤點、啟用、核驗與現場資料採集。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讀取事件 / 寫碼紀錄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邊緣層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Edge Gateway、設備介接、協定轉換、本地快取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對原始資料進行緩衝、去重預處理、離線暫存與異常告警。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Reader Log / Gateway Cache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Savant 中介主機層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事件引擎、規則引擎、權限控制、編碼下發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作為整體控制中樞，統一接入設備並主導 RFID 編碼、事件過濾與異常判斷。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編碼規則 / 事件流 / 權限策略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ONS 解析服務層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私有 ONS Resolver、服務定位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將 ICH-EPC 解析到主資料、驗真、追溯與 NFT 相關服務端點。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解析規則 / Namespace / API Endpoint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EPCIS 事件追溯層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Capture、Query、履歷查詢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保存從建檔、入庫、物流、展示、借展到轉移的全生命週期事件。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Event ID / 時間 / 地點 / 行為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主資料與業務平台層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非遺項目管理、傳承人管理、鑑定證書、用戶權限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維護資產的權威主檔與業務關聯，作為驗真與上鏈的資料來源。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Master Data / Certificate / Role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防偽驗證引擎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TID 比對、EPC 比對、簽章驗證、防拆檢測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綜合判斷資產是否真實、是否被複製或異常流通。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驗真結果 / 告警類型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NFT 與區塊鏈層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Metadata、IPFS、智能合約、NFT Mint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將資產摘要、數位證書與 Token 建立映射，形成可驗證的數位資產。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CID / Hash / Token ID / Ownership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應用層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管理後台、驗真小程式、館藏管理、倉儲物流、收藏者查詢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向不同角色提供查詢、管理、驗真、展示與授權操作入口。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查詢結果 / 前端頁面 / 操作紀錄</w:t>
            </w:r>
          </w:p>
        </w:tc>
      </w:tr>
    </w:tbl>
    <w:p/>
    <w:p>
      <w:pPr>
        <w:spacing w:before="40" w:after="200"/>
      </w:pPr>
      <w:r>
        <w:rPr>
          <w:rFonts w:ascii="Noto Sans CJK TC" w:hAnsi="Noto Sans CJK TC" w:eastAsia="Noto Sans CJK TC"/>
          <w:b/>
          <w:color w:val="244061"/>
          <w:sz w:val="20"/>
        </w:rPr>
        <w:t>說明：</w:t>
      </w:r>
      <w:r>
        <w:rPr>
          <w:rFonts w:ascii="Noto Sans CJK TC" w:hAnsi="Noto Sans CJK TC" w:eastAsia="Noto Sans CJK TC"/>
          <w:color w:val="1F1F1F"/>
          <w:sz w:val="20"/>
        </w:rPr>
        <w:t>上表反映出本系統的設計重心在於「平台主導編碼」與「事件化追溯」。其中 TID 屬於晶片硬體身份，ICH-EPC 屬於平台業務身份，兩者結合可同時滿足防偽驗真與流轉追蹤需求。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  <w:b/>
          <w:color w:val="2F5597"/>
          <w:sz w:val="28"/>
        </w:rPr>
        <w:t>三、系統流程圖</w:t>
      </w:r>
    </w:p>
    <w:p>
      <w:pPr>
        <w:spacing w:after="120"/>
        <w:jc w:val="center"/>
      </w:pPr>
      <w:r>
        <w:rPr>
          <w:rFonts w:ascii="Noto Sans CJK TC" w:hAnsi="Noto Sans CJK TC" w:eastAsia="Noto Sans CJK TC"/>
          <w:b/>
          <w:color w:val="244061"/>
          <w:sz w:val="21"/>
        </w:rPr>
        <w:t>圖 2  非遺資產 RFID 防偽追蹤與 NFT 映射系統流程圖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7314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731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both"/>
      </w:pPr>
      <w:r>
        <w:rPr>
          <w:rFonts w:ascii="Noto Sans CJK TC" w:hAnsi="Noto Sans CJK TC" w:eastAsia="Noto Sans CJK TC"/>
          <w:b/>
          <w:color w:val="244061"/>
          <w:sz w:val="20"/>
        </w:rPr>
        <w:t>圖說：</w:t>
      </w:r>
      <w:r>
        <w:rPr>
          <w:rFonts w:ascii="Noto Sans CJK TC" w:hAnsi="Noto Sans CJK TC" w:eastAsia="Noto Sans CJK TC"/>
          <w:color w:val="1F1F1F"/>
          <w:sz w:val="20"/>
        </w:rPr>
        <w:t>系統以「主資料建立—平台發碼—標籤綁定—現場採集—中介處理—驗真判定—履歷寫入—上鏈映射」為主流程。標籤讀取後，事件先由 Edge Gateway 與 Savant 主機處理，再經 ONS 定位相關服務並完成驗真；通過者寫入 EPCIS 並映射 NFT，未通過者則進入告警與人工複核。</w:t>
      </w:r>
    </w:p>
    <w:p>
      <w:pPr>
        <w:jc w:val="center"/>
      </w:pPr>
      <w:r>
        <w:rPr>
          <w:rFonts w:ascii="Noto Sans CJK TC" w:hAnsi="Noto Sans CJK TC" w:eastAsia="Noto Sans CJK TC"/>
          <w:b/>
          <w:color w:val="244061"/>
          <w:sz w:val="21"/>
        </w:rPr>
        <w:t>表 2  流程步驟與輸出結果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6" w:color="B7C9E2"/>
          <w:insideV w:val="single" w:sz="6" w:color="B7C9E2"/>
        </w:tblBorders>
      </w:tblPr>
      <w:tblGrid>
        <w:gridCol w:w="624"/>
        <w:gridCol w:w="1701"/>
        <w:gridCol w:w="4989"/>
        <w:gridCol w:w="1928"/>
      </w:tblGrid>
      <w:tr>
        <w:tc>
          <w:tcPr>
            <w:tcW w:type="dxa" w:w="2381"/>
            <w:shd w:fill="E9EF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1F1F"/>
                <w:sz w:val="20"/>
              </w:rPr>
              <w:t>步驟</w:t>
            </w:r>
          </w:p>
        </w:tc>
        <w:tc>
          <w:tcPr>
            <w:tcW w:type="dxa" w:w="2381"/>
            <w:shd w:fill="E9EF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1F1F"/>
                <w:sz w:val="20"/>
              </w:rPr>
              <w:t>流程階段</w:t>
            </w:r>
          </w:p>
        </w:tc>
        <w:tc>
          <w:tcPr>
            <w:tcW w:type="dxa" w:w="2381"/>
            <w:shd w:fill="E9EF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1F1F"/>
                <w:sz w:val="20"/>
              </w:rPr>
              <w:t>主要作業</w:t>
            </w:r>
          </w:p>
        </w:tc>
        <w:tc>
          <w:tcPr>
            <w:tcW w:type="dxa" w:w="2381"/>
            <w:shd w:fill="E9EF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1F1F"/>
                <w:sz w:val="20"/>
              </w:rPr>
              <w:t>輸出結果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主資料建立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建立非遺項目、傳承人、作品或證書主檔。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資產主檔與基礎屬性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平台發碼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系統產生 ICH-EPC，作為平台主導的業務身份碼。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ICH-EPC / 編碼規則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標籤綁定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將 ICH-EPC 與 TID、Asset UUID 關聯，並完成寫標。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Tag 綁定紀錄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現場採集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Reader 或手機讀取標籤並上送事件。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讀取事件 / 原始資料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中介處理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Savant 主機進行去重、過濾、權限檢查與異常判斷。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標準化事件流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驗真追溯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ONS 解析定位資源，驗真引擎與 EPCIS 執行核驗與履歷寫入。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驗真結果 / 事件履歷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上鏈映射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生成 Metadata、寫入 Hash 與 Token 關聯，鑄造 NFT。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CID / Hash / Token ID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應用呈現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在後台或查詢端展示真偽、履歷、所有權與 NFT 狀態。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1F1F"/>
                <w:sz w:val="19"/>
              </w:rPr>
              <w:t>查詢頁面 / 視覺化結果</w:t>
            </w:r>
          </w:p>
        </w:tc>
      </w:tr>
    </w:tbl>
    <w:p>
      <w:pPr>
        <w:pStyle w:val="Heading1"/>
      </w:pPr>
      <w:r>
        <w:rPr>
          <w:rFonts w:ascii="Noto Sans CJK TC" w:hAnsi="Noto Sans CJK TC" w:eastAsia="Noto Sans CJK TC"/>
          <w:b/>
          <w:color w:val="2F5597"/>
          <w:sz w:val="28"/>
        </w:rPr>
        <w:t>四、結論</w:t>
      </w:r>
    </w:p>
    <w:p>
      <w:pPr>
        <w:jc w:val="both"/>
      </w:pPr>
      <w:r>
        <w:rPr>
          <w:rFonts w:ascii="Noto Sans CJK TC" w:hAnsi="Noto Sans CJK TC" w:eastAsia="Noto Sans CJK TC"/>
          <w:color w:val="1F1F1F"/>
          <w:sz w:val="21"/>
        </w:rPr>
        <w:t>本報告所規畫之系統，將 RFID 的實體辨識能力、ONS 與 Savant 的中介解析機制、EPCIS 的事件追溯能力，以及區塊鏈與 NFT 的數位確權特性加以整合，可形成面向非遺場景的「實體資產可信識別 + 全生命週期追蹤 + 鏈上數位映射」整體架構。其核心價值在於：一方面提升非遺作品與衍生品的防偽與流轉可信度；另一方面也為文化資產的數位展示、授權、收藏與後續商業化提供可延展的技術基礎。</w:t>
      </w:r>
    </w:p>
    <w:sectPr>
      <w:headerReference w:type="default" r:id="rId9"/>
      <w:footerReference w:type="default" r:id="rId10"/>
      <w:pgSz w:w="11906" w:h="16838"/>
      <w:pgMar w:top="1191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TC" w:hAnsi="Noto Sans CJK TC" w:eastAsia="Noto Sans CJK TC"/>
        <w:color w:val="6B728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8"/>
      </w:rPr>
      <w:t>非遺資產 RFID 防偽追蹤與 NFT 映射系統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406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F559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