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熵权法求权重计算步骤</w:t>
      </w:r>
    </w:p>
    <w:p>
      <w:pPr>
        <w:spacing w:line="360" w:lineRule="auto"/>
        <w:ind w:firstLine="420" w:firstLineChars="0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4"/>
        </w:rPr>
        <w:t>标准化处理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由于各项指标的计量单位并不统一，比如单位当中有元、万元、百分比，因此在用它们计算综合指标前，先要进行标准化处理，即把指标的绝对值转化为相对值，从而解决各项不同质指标值的同质化问题。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另外，正向指标和负向指标数值代表的含义不同（正向指标数值越高越好，负向指标数值越低越好），因此，对于正向、负向指标需要采用不同的算法进行数据标准化处理。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如果正向化之后所有数据均为正数，我们可以使用下式对矩阵X当中各指标进行标准化：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bookmarkStart w:id="0" w:name="_GoBack"/>
      <w:r>
        <w:rPr>
          <w:rFonts w:hint="eastAsia" w:ascii="宋体" w:hAnsi="宋体" w:eastAsia="宋体" w:cs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424815</wp:posOffset>
                </wp:positionV>
                <wp:extent cx="676910" cy="379095"/>
                <wp:effectExtent l="12700" t="12700" r="26670" b="19685"/>
                <wp:wrapNone/>
                <wp:docPr id="48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4295" y="4010660"/>
                          <a:ext cx="1184910" cy="537845"/>
                        </a:xfrm>
                        <a:prstGeom prst="right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5C477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vert="horz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右箭头 5" o:spid="_x0000_s1026" o:spt="13" type="#_x0000_t13" style="position:absolute;left:0pt;margin-left:197.35pt;margin-top:33.45pt;height:29.85pt;width:53.3pt;z-index:251659264;v-text-anchor:middle;mso-width-relative:page;mso-height-relative:page;" fillcolor="#8064A2" filled="t" stroked="t" coordsize="21600,21600" o:gfxdata="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ZNU&#10;8NsAAAAKAQAADwAAAAAAAAABACAAAAAiAAAAZHJzL2Rvd25yZXYueG1sUEsBAhQAFAAAAAgAh07i&#10;QNuydf4fAgAANwQAAA4AAAAAAAAAAQAgAAAAKgEAAGRycy9lMm9Eb2MueG1sUEsFBgAAAAAGAAYA&#10;WQEAALsFAAAAAA==&#10;" adj="16698,5400">
                <v:fill on="t" focussize="0,0"/>
                <v:stroke weight="2pt" color="#413255" joinstyle="round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rFonts w:hint="eastAsia" w:ascii="宋体" w:hAnsi="宋体" w:eastAsia="宋体" w:cs="宋体"/>
          <w:bCs/>
          <w:sz w:val="24"/>
        </w:rPr>
        <w:t xml:space="preserve"> </w:t>
      </w:r>
      <w:r>
        <w:rPr>
          <w:rFonts w:hint="eastAsia" w:ascii="宋体" w:hAnsi="宋体" w:eastAsia="宋体" w:cs="宋体"/>
          <w:bCs/>
          <w:position w:val="-68"/>
          <w:sz w:val="24"/>
        </w:rPr>
        <w:object>
          <v:shape id="_x0000_i1025" o:spt="75" type="#_x0000_t75" style="height:73.95pt;width:128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 xml:space="preserve">                    </w:t>
      </w:r>
      <w:r>
        <w:rPr>
          <w:rFonts w:hint="eastAsia" w:ascii="宋体" w:hAnsi="宋体" w:eastAsia="宋体" w:cs="宋体"/>
          <w:bCs/>
          <w:position w:val="-68"/>
          <w:sz w:val="24"/>
        </w:rPr>
        <w:object>
          <v:shape id="_x0000_i1026" o:spt="75" type="#_x0000_t75" style="height:58.5pt;width:89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  <w:rPr>
          <w:rFonts w:ascii="Calibri" w:hAnsi="Calibri" w:eastAsia="宋体" w:cs="Times New Roman"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如果正向化之后的矩阵存在负数，我们可以使用下式进行标准化，需保证标准化后的数据皆为正数。</w:t>
      </w:r>
    </w:p>
    <w:p>
      <w:pPr>
        <w:spacing w:line="360" w:lineRule="auto"/>
        <w:ind w:firstLine="480" w:firstLineChars="200"/>
        <w:jc w:val="center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object>
          <v:shape id="_x0000_i1027" o:spt="75" type="#_x0000_t75" style="height:37.15pt;width:188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ind w:firstLine="420" w:firstLineChars="0"/>
        <w:outlineLvl w:val="3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sz w:val="24"/>
        </w:rPr>
        <w:t>计算概率</w:t>
      </w:r>
    </w:p>
    <w:p>
      <w:pPr>
        <w:spacing w:line="360" w:lineRule="auto"/>
        <w:ind w:firstLine="420" w:firstLineChars="0"/>
        <w:outlineLvl w:val="3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计算第j项指标下第i个样本所占的比重，并将其看作信息熵计算中用到的概率，其实也就是为了计算该指标的变异大小。</w:t>
      </w:r>
    </w:p>
    <w:p>
      <w:pPr>
        <w:spacing w:line="360" w:lineRule="auto"/>
        <w:ind w:firstLine="480" w:firstLineChars="200"/>
        <w:jc w:val="center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object>
          <v:shape id="_x0000_i1028" o:spt="75" type="#_x0000_t75" style="height:51.95pt;width:74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ind w:firstLine="420" w:firstLineChars="0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sz w:val="24"/>
        </w:rPr>
        <w:t>计算每个指标的熵值</w:t>
      </w:r>
    </w:p>
    <w:p>
      <w:pPr>
        <w:spacing w:line="360" w:lineRule="auto"/>
        <w:ind w:firstLine="420" w:firstLineChars="0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对于第j项指标而言，其信息熵计算公式为：</w:t>
      </w:r>
    </w:p>
    <w:p>
      <w:pPr>
        <w:spacing w:line="360" w:lineRule="auto"/>
        <w:jc w:val="center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object>
          <v:shape id="_x0000_i1029" o:spt="75" type="#_x0000_t75" style="height:33.85pt;width:195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计算出来的信息熵越大，已有的信息量就越小。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如果ej=1，信息熵达到最大，此时p1j,p2j,…,pnj必须全部相同，z1j,z2j,…,znj也就是全部相同，如果某个指标对于所有的方案都具有相同的值，那这个指标在评价时几乎不起作用，权重也为0。</w:t>
      </w:r>
    </w:p>
    <w:p>
      <w:pPr>
        <w:spacing w:line="360" w:lineRule="auto"/>
        <w:ind w:firstLine="420" w:firstLineChars="0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sz w:val="24"/>
        </w:rPr>
        <w:t>计算信息效用值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定义信息效用值dj：</w:t>
      </w:r>
    </w:p>
    <w:p>
      <w:pPr>
        <w:spacing w:line="360" w:lineRule="auto"/>
        <w:ind w:firstLine="480" w:firstLineChars="200"/>
        <w:jc w:val="center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object>
          <v:shape id="_x0000_i1030" o:spt="75" type="#_x0000_t75" style="height:19.05pt;width:49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一个指标的信息效用值代表了该指标的隐含信息量，能够直接影响权重的大小，因为信息效用值越大，已有信息量越多，对评价的重要性就越大，权重也就越大。</w:t>
      </w:r>
    </w:p>
    <w:p>
      <w:pPr>
        <w:spacing w:line="360" w:lineRule="auto"/>
        <w:ind w:firstLine="420" w:firstLineChars="0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sz w:val="24"/>
        </w:rPr>
        <w:t>计算每个指标的熵权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将信息效用值进行归一化处理，就可以得到每个指标的熵权，给包含现有信息量更多的指标以更高的权重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spacing w:line="360" w:lineRule="auto"/>
        <w:ind w:firstLine="480" w:firstLineChars="200"/>
        <w:jc w:val="center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object>
          <v:shape id="_x0000_i1031" o:spt="75" type="#_x0000_t75" style="height:51.95pt;width:152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ind w:firstLine="420" w:firstLineChars="0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sz w:val="24"/>
        </w:rPr>
        <w:t>计算各样本的综合得分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t>在计算出每个指标的熵权之后，就可以得到每个样本的综合得分，从而进行排序。</w:t>
      </w:r>
    </w:p>
    <w:p>
      <w:pPr>
        <w:spacing w:line="360" w:lineRule="auto"/>
        <w:ind w:firstLine="480" w:firstLineChars="200"/>
        <w:jc w:val="center"/>
        <w:rPr>
          <w:rFonts w:ascii="宋体" w:hAnsi="宋体" w:eastAsia="宋体" w:cs="宋体"/>
          <w:bCs/>
          <w:sz w:val="24"/>
        </w:rPr>
      </w:pPr>
      <w:r>
        <w:rPr>
          <w:rFonts w:ascii="宋体" w:hAnsi="宋体" w:eastAsia="宋体" w:cs="宋体"/>
          <w:bCs/>
          <w:sz w:val="24"/>
        </w:rPr>
        <w:object>
          <v:shape id="_x0000_i1032" o:spt="75" type="#_x0000_t75" style="height:34.85pt;width:121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outlineLvl w:val="3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熵权法的评价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</w:rPr>
      </w:pPr>
      <w:r>
        <w:rPr>
          <w:rFonts w:ascii="宋体" w:hAnsi="宋体" w:eastAsia="宋体" w:cs="宋体"/>
          <w:bCs/>
          <w:sz w:val="24"/>
        </w:rPr>
        <w:t>熵</w:t>
      </w:r>
      <w:r>
        <w:rPr>
          <w:rFonts w:hint="eastAsia" w:ascii="宋体" w:hAnsi="宋体" w:eastAsia="宋体" w:cs="宋体"/>
          <w:bCs/>
          <w:sz w:val="24"/>
        </w:rPr>
        <w:t>权</w:t>
      </w:r>
      <w:r>
        <w:rPr>
          <w:rFonts w:ascii="宋体" w:hAnsi="宋体" w:eastAsia="宋体" w:cs="宋体"/>
          <w:bCs/>
          <w:sz w:val="24"/>
        </w:rPr>
        <w:t>法是根据各项</w:t>
      </w:r>
      <w:r>
        <w:rPr>
          <w:rFonts w:hint="eastAsia" w:ascii="宋体" w:hAnsi="宋体" w:eastAsia="宋体" w:cs="宋体"/>
          <w:bCs/>
          <w:sz w:val="24"/>
        </w:rPr>
        <w:t>指标值</w:t>
      </w:r>
      <w:r>
        <w:rPr>
          <w:rFonts w:ascii="宋体" w:hAnsi="宋体" w:eastAsia="宋体" w:cs="宋体"/>
          <w:bCs/>
          <w:sz w:val="24"/>
        </w:rPr>
        <w:t>的变异程度来确定指标权数的，这是一种客观赋权法，避免了人为因素带来的偏差。所以相对那些主观赋值法，精度较高客观性更强，</w:t>
      </w:r>
      <w:r>
        <w:rPr>
          <w:rFonts w:hint="eastAsia" w:ascii="宋体" w:hAnsi="宋体" w:eastAsia="宋体" w:cs="宋体"/>
          <w:bCs/>
          <w:sz w:val="24"/>
        </w:rPr>
        <w:t>能够更好地</w:t>
      </w:r>
      <w:r>
        <w:rPr>
          <w:rFonts w:ascii="宋体" w:hAnsi="宋体" w:eastAsia="宋体" w:cs="宋体"/>
          <w:bCs/>
          <w:sz w:val="24"/>
        </w:rPr>
        <w:t>解释所得到的结果。熵权法符合数学规律具有严格的数学意义，但往往会忽视决策者主观的意图。也就是说，熵权法赋权的依据是数据的波动程度，或者说是方差大小，只要方差大，就认为权重大，而不考虑问题的实际背景和实际意义，这是熵权法的局限性所在</w:t>
      </w:r>
      <w:r>
        <w:rPr>
          <w:rFonts w:hint="eastAsia" w:ascii="宋体" w:hAnsi="宋体" w:eastAsia="宋体" w:cs="宋体"/>
          <w:bCs/>
          <w:sz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iMmYyMmY0ZjgzNTEwMWUzZmQ1OTdkODMwZjI3YmMifQ=="/>
  </w:docVars>
  <w:rsids>
    <w:rsidRoot w:val="07841B29"/>
    <w:rsid w:val="078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2023-07-20T02:54:00Z</dcterms:created>
  <dc:creator>詹春</dc:creator>
  <cp:lastModifiedBy>詹春</cp:lastModifiedBy>
  <dcterms:modified xsi:type="dcterms:W3CDTF">2023-07-20T02:55:05Z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6239A7F6B88E46FBB7390C3EECA67EE8_11</vt:lpwstr>
  </property>
</Properties>
</file>