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11A1C9">
      <w:pPr>
        <w:keepNext w:val="0"/>
        <w:keepLines w:val="0"/>
        <w:widowControl/>
        <w:suppressLineNumbers w:val="0"/>
      </w:pPr>
      <w:bookmarkStart w:id="0" w:name="_GoBack"/>
      <w:bookmarkEnd w:id="0"/>
      <w:r>
        <w:pict>
          <v:rect id="_x0000_i1025" o:spt="1" style="height:1.5pt;width:432pt;" fillcolor="#A0A0A0" filled="t" stroked="f" coordsize="21600,21600" o:hr="t" o:hrstd="t" o:hralign="center">
            <v:path/>
            <v:fill on="t" focussize="0,0"/>
            <v:stroke on="f"/>
            <v:imagedata o:title=""/>
            <o:lock v:ext="edit"/>
            <w10:wrap type="none"/>
            <w10:anchorlock/>
          </v:rect>
        </w:pict>
      </w:r>
    </w:p>
    <w:p w14:paraId="46FB5BD9">
      <w:pPr>
        <w:pStyle w:val="5"/>
        <w:keepNext w:val="0"/>
        <w:keepLines w:val="0"/>
        <w:widowControl/>
        <w:suppressLineNumbers w:val="0"/>
      </w:pPr>
      <w:r>
        <w:rPr>
          <w:rStyle w:val="6"/>
        </w:rPr>
        <w:t>皮馬印第安人糖尿病分類案例研究報告</w:t>
      </w:r>
    </w:p>
    <w:p w14:paraId="6204D18D">
      <w:pPr>
        <w:pStyle w:val="5"/>
        <w:keepNext w:val="0"/>
        <w:keepLines w:val="0"/>
        <w:widowControl/>
        <w:suppressLineNumbers w:val="0"/>
      </w:pPr>
      <w:r>
        <w:rPr>
          <w:rStyle w:val="6"/>
        </w:rPr>
        <w:t>1. 案例背景與研究目的</w:t>
      </w:r>
    </w:p>
    <w:p w14:paraId="6ED671B7">
      <w:pPr>
        <w:pStyle w:val="5"/>
        <w:keepNext w:val="0"/>
        <w:keepLines w:val="0"/>
        <w:widowControl/>
        <w:suppressLineNumbers w:val="0"/>
      </w:pPr>
      <w:r>
        <w:t>本研究基於皮馬印第安人（也被稱為河流民族）的糖尿病案例數據集。皮馬印第安人是一個原本以農業為基礎、飲食富含纖維和維生素的社群。然而，由於美國政府建造的灌溉系統改變了他們的環境，導致了長達 40 年的饑荒，嚴重影響了他們的傳統飲食和運動習慣。糖尿病的發生與飲食、運動和基因有著密切關係。這個資料集提供了一個機會，讓我們能夠研究歷史上的因果關係，並以數值數據來佐證皮馬印第安女性受到糖尿病影響的情況。</w:t>
      </w:r>
    </w:p>
    <w:p w14:paraId="3C9CD057">
      <w:pPr>
        <w:pStyle w:val="5"/>
        <w:keepNext w:val="0"/>
        <w:keepLines w:val="0"/>
        <w:widowControl/>
        <w:suppressLineNumbers w:val="0"/>
      </w:pPr>
      <w:r>
        <w:t>本研究的</w:t>
      </w:r>
      <w:r>
        <w:rPr>
          <w:rStyle w:val="6"/>
        </w:rPr>
        <w:t>主要目的</w:t>
      </w:r>
      <w:r>
        <w:t>是</w:t>
      </w:r>
      <w:r>
        <w:rPr>
          <w:rStyle w:val="6"/>
        </w:rPr>
        <w:t>分類或預測患者是否容易患有糖尿病</w:t>
      </w:r>
      <w:r>
        <w:t>，基於多個特徵。這是一個</w:t>
      </w:r>
      <w:r>
        <w:rPr>
          <w:rStyle w:val="6"/>
        </w:rPr>
        <w:t>二元分類</w:t>
      </w:r>
      <w:r>
        <w:t>問題，資料集包含了多個數值型特徵。</w:t>
      </w:r>
    </w:p>
    <w:p w14:paraId="2532EC93">
      <w:pPr>
        <w:pStyle w:val="5"/>
        <w:keepNext w:val="0"/>
        <w:keepLines w:val="0"/>
        <w:widowControl/>
        <w:suppressLineNumbers w:val="0"/>
      </w:pPr>
      <w:r>
        <w:rPr>
          <w:rStyle w:val="6"/>
        </w:rPr>
        <w:t>2. 資料集描述</w:t>
      </w:r>
    </w:p>
    <w:p w14:paraId="756838D3">
      <w:pPr>
        <w:pStyle w:val="5"/>
        <w:keepNext w:val="0"/>
        <w:keepLines w:val="0"/>
        <w:widowControl/>
        <w:suppressLineNumbers w:val="0"/>
      </w:pPr>
      <w:r>
        <w:t>資料集包含 768 個案例和 9 個欄位（特徵）。這些特徵包括：</w:t>
      </w:r>
    </w:p>
    <w:p w14:paraId="7EA225E3">
      <w:pPr>
        <w:keepNext w:val="0"/>
        <w:keepLines w:val="0"/>
        <w:widowControl/>
        <w:numPr>
          <w:ilvl w:val="0"/>
          <w:numId w:val="1"/>
        </w:numPr>
        <w:suppressLineNumbers w:val="0"/>
        <w:spacing w:before="0" w:beforeAutospacing="1" w:after="0" w:afterAutospacing="1"/>
        <w:ind w:left="720" w:hanging="360"/>
      </w:pPr>
      <w:r>
        <w:t>Pregnancies (懷孕次數)</w:t>
      </w:r>
    </w:p>
    <w:p w14:paraId="3BBF03A7">
      <w:pPr>
        <w:keepNext w:val="0"/>
        <w:keepLines w:val="0"/>
        <w:widowControl/>
        <w:numPr>
          <w:ilvl w:val="0"/>
          <w:numId w:val="1"/>
        </w:numPr>
        <w:suppressLineNumbers w:val="0"/>
        <w:spacing w:before="0" w:beforeAutospacing="1" w:after="0" w:afterAutospacing="1"/>
        <w:ind w:left="720" w:hanging="360"/>
      </w:pPr>
      <w:r>
        <w:t>Glucose (口服葡萄糖耐受測試中 2 小時後的血漿葡萄糖濃度)</w:t>
      </w:r>
    </w:p>
    <w:p w14:paraId="7D08EB04">
      <w:pPr>
        <w:keepNext w:val="0"/>
        <w:keepLines w:val="0"/>
        <w:widowControl/>
        <w:numPr>
          <w:ilvl w:val="0"/>
          <w:numId w:val="1"/>
        </w:numPr>
        <w:suppressLineNumbers w:val="0"/>
        <w:spacing w:before="0" w:beforeAutospacing="1" w:after="0" w:afterAutospacing="1"/>
        <w:ind w:left="720" w:hanging="360"/>
      </w:pPr>
      <w:r>
        <w:t>BloodPressure (舒張壓，毫米汞柱)</w:t>
      </w:r>
    </w:p>
    <w:p w14:paraId="45941DA9">
      <w:pPr>
        <w:keepNext w:val="0"/>
        <w:keepLines w:val="0"/>
        <w:widowControl/>
        <w:numPr>
          <w:ilvl w:val="0"/>
          <w:numId w:val="1"/>
        </w:numPr>
        <w:suppressLineNumbers w:val="0"/>
        <w:spacing w:before="0" w:beforeAutospacing="1" w:after="0" w:afterAutospacing="1"/>
        <w:ind w:left="720" w:hanging="360"/>
      </w:pPr>
      <w:r>
        <w:t>SkinThickness (三頭肌皮膚褶層厚度，毫米)</w:t>
      </w:r>
    </w:p>
    <w:p w14:paraId="52CE4785">
      <w:pPr>
        <w:keepNext w:val="0"/>
        <w:keepLines w:val="0"/>
        <w:widowControl/>
        <w:numPr>
          <w:ilvl w:val="0"/>
          <w:numId w:val="1"/>
        </w:numPr>
        <w:suppressLineNumbers w:val="0"/>
        <w:spacing w:before="0" w:beforeAutospacing="1" w:after="0" w:afterAutospacing="1"/>
        <w:ind w:left="720" w:hanging="360"/>
      </w:pPr>
      <w:r>
        <w:t>Insulin (2 小時血清胰島素，mu U/ml)</w:t>
      </w:r>
    </w:p>
    <w:p w14:paraId="7C9E26B0">
      <w:pPr>
        <w:keepNext w:val="0"/>
        <w:keepLines w:val="0"/>
        <w:widowControl/>
        <w:numPr>
          <w:ilvl w:val="0"/>
          <w:numId w:val="1"/>
        </w:numPr>
        <w:suppressLineNumbers w:val="0"/>
        <w:spacing w:before="0" w:beforeAutospacing="1" w:after="0" w:afterAutospacing="1"/>
        <w:ind w:left="720" w:hanging="360"/>
      </w:pPr>
      <w:r>
        <w:t>BMI (身體質量指數，體重 kg / (身高 m)^2)</w:t>
      </w:r>
    </w:p>
    <w:p w14:paraId="7F91C590">
      <w:pPr>
        <w:keepNext w:val="0"/>
        <w:keepLines w:val="0"/>
        <w:widowControl/>
        <w:numPr>
          <w:ilvl w:val="0"/>
          <w:numId w:val="1"/>
        </w:numPr>
        <w:suppressLineNumbers w:val="0"/>
        <w:spacing w:before="0" w:beforeAutospacing="1" w:after="0" w:afterAutospacing="1"/>
        <w:ind w:left="720" w:hanging="360"/>
      </w:pPr>
      <w:r>
        <w:t>DiabetesPedigreeFunction (糖尿病譜系函數)</w:t>
      </w:r>
    </w:p>
    <w:p w14:paraId="6C79CDB3">
      <w:pPr>
        <w:keepNext w:val="0"/>
        <w:keepLines w:val="0"/>
        <w:widowControl/>
        <w:numPr>
          <w:ilvl w:val="0"/>
          <w:numId w:val="1"/>
        </w:numPr>
        <w:suppressLineNumbers w:val="0"/>
        <w:spacing w:before="0" w:beforeAutospacing="1" w:after="0" w:afterAutospacing="1"/>
        <w:ind w:left="720" w:hanging="360"/>
      </w:pPr>
      <w:r>
        <w:t>Age (年齡，歲)</w:t>
      </w:r>
    </w:p>
    <w:p w14:paraId="4B1C0198">
      <w:pPr>
        <w:keepNext w:val="0"/>
        <w:keepLines w:val="0"/>
        <w:widowControl/>
        <w:numPr>
          <w:ilvl w:val="0"/>
          <w:numId w:val="1"/>
        </w:numPr>
        <w:suppressLineNumbers w:val="0"/>
        <w:spacing w:before="0" w:beforeAutospacing="1" w:after="0" w:afterAutospacing="1"/>
        <w:ind w:left="720" w:hanging="360"/>
      </w:pPr>
      <w:r>
        <w:t>Outcome (類別變數，0 或 1)</w:t>
      </w:r>
    </w:p>
    <w:p w14:paraId="1ABBA664">
      <w:pPr>
        <w:pStyle w:val="5"/>
        <w:keepNext w:val="0"/>
        <w:keepLines w:val="0"/>
        <w:widowControl/>
        <w:suppressLineNumbers w:val="0"/>
      </w:pPr>
      <w:r>
        <w:t>資料集中共有 768 筆記錄，所有欄位都沒有缺失值。Outcome 欄位顯示，有 268 個案例 Outcome 為 1（糖尿病），其餘為 0（非糖尿病）。這意味著資料集是</w:t>
      </w:r>
      <w:r>
        <w:rPr>
          <w:rStyle w:val="6"/>
        </w:rPr>
        <w:t>非平衡的</w:t>
      </w:r>
      <w:r>
        <w:t>，非糖尿病案例與糖尿病案例的比例約為 2:1。</w:t>
      </w:r>
    </w:p>
    <w:p w14:paraId="2DC2CEF4">
      <w:pPr>
        <w:pStyle w:val="5"/>
        <w:keepNext w:val="0"/>
        <w:keepLines w:val="0"/>
        <w:widowControl/>
        <w:suppressLineNumbers w:val="0"/>
      </w:pPr>
      <w:r>
        <w:t>透過研究這個資料集和相關筆記本，您將能夠學習到：</w:t>
      </w:r>
    </w:p>
    <w:p w14:paraId="2AE74F4B">
      <w:pPr>
        <w:keepNext w:val="0"/>
        <w:keepLines w:val="0"/>
        <w:widowControl/>
        <w:numPr>
          <w:ilvl w:val="0"/>
          <w:numId w:val="2"/>
        </w:numPr>
        <w:suppressLineNumbers w:val="0"/>
        <w:spacing w:before="0" w:beforeAutospacing="1" w:after="0" w:afterAutospacing="1"/>
        <w:ind w:left="720" w:hanging="360"/>
      </w:pPr>
      <w:r>
        <w:t>資料視覺化</w:t>
      </w:r>
    </w:p>
    <w:p w14:paraId="58A94A62">
      <w:pPr>
        <w:keepNext w:val="0"/>
        <w:keepLines w:val="0"/>
        <w:widowControl/>
        <w:numPr>
          <w:ilvl w:val="0"/>
          <w:numId w:val="2"/>
        </w:numPr>
        <w:suppressLineNumbers w:val="0"/>
        <w:spacing w:before="0" w:beforeAutospacing="1" w:after="0" w:afterAutospacing="1"/>
        <w:ind w:left="720" w:hanging="360"/>
      </w:pPr>
      <w:r>
        <w:t>資料縮放</w:t>
      </w:r>
    </w:p>
    <w:p w14:paraId="7E72B84F">
      <w:pPr>
        <w:keepNext w:val="0"/>
        <w:keepLines w:val="0"/>
        <w:widowControl/>
        <w:numPr>
          <w:ilvl w:val="0"/>
          <w:numId w:val="2"/>
        </w:numPr>
        <w:suppressLineNumbers w:val="0"/>
        <w:spacing w:before="0" w:beforeAutospacing="1" w:after="0" w:afterAutospacing="1"/>
        <w:ind w:left="720" w:hanging="360"/>
      </w:pPr>
      <w:r>
        <w:t>用於特徵選擇的統計測試</w:t>
      </w:r>
    </w:p>
    <w:p w14:paraId="39E2EE2A">
      <w:pPr>
        <w:keepNext w:val="0"/>
        <w:keepLines w:val="0"/>
        <w:widowControl/>
        <w:numPr>
          <w:ilvl w:val="0"/>
          <w:numId w:val="2"/>
        </w:numPr>
        <w:suppressLineNumbers w:val="0"/>
        <w:spacing w:before="0" w:beforeAutospacing="1" w:after="0" w:afterAutospacing="1"/>
        <w:ind w:left="720" w:hanging="360"/>
      </w:pPr>
      <w:r>
        <w:t>演算法的建模與結果視覺化</w:t>
      </w:r>
    </w:p>
    <w:p w14:paraId="6CCE4B40">
      <w:pPr>
        <w:keepNext w:val="0"/>
        <w:keepLines w:val="0"/>
        <w:widowControl/>
        <w:numPr>
          <w:ilvl w:val="0"/>
          <w:numId w:val="2"/>
        </w:numPr>
        <w:suppressLineNumbers w:val="0"/>
        <w:spacing w:before="0" w:beforeAutospacing="1" w:after="0" w:afterAutospacing="1"/>
        <w:ind w:left="720" w:hanging="360"/>
      </w:pPr>
      <w:r>
        <w:t>模型在平衡和不平衡資料集上訓練時性能的差異</w:t>
      </w:r>
    </w:p>
    <w:p w14:paraId="511E2F7F">
      <w:pPr>
        <w:keepNext w:val="0"/>
        <w:keepLines w:val="0"/>
        <w:widowControl/>
        <w:numPr>
          <w:ilvl w:val="0"/>
          <w:numId w:val="2"/>
        </w:numPr>
        <w:suppressLineNumbers w:val="0"/>
        <w:spacing w:before="0" w:beforeAutospacing="1" w:after="0" w:afterAutospacing="1"/>
        <w:ind w:left="720" w:hanging="360"/>
      </w:pPr>
      <w:r>
        <w:t>分類器的堆疊 (Stacking)</w:t>
      </w:r>
    </w:p>
    <w:p w14:paraId="70677ED8">
      <w:pPr>
        <w:pStyle w:val="5"/>
        <w:keepNext w:val="0"/>
        <w:keepLines w:val="0"/>
        <w:widowControl/>
        <w:suppressLineNumbers w:val="0"/>
      </w:pPr>
      <w:r>
        <w:rPr>
          <w:rStyle w:val="6"/>
        </w:rPr>
        <w:t>3. 探索性資料分析 (EDA)</w:t>
      </w:r>
    </w:p>
    <w:p w14:paraId="14E36043">
      <w:pPr>
        <w:pStyle w:val="5"/>
        <w:keepNext w:val="0"/>
        <w:keepLines w:val="0"/>
        <w:widowControl/>
        <w:suppressLineNumbers w:val="0"/>
      </w:pPr>
      <w:r>
        <w:t>EDA 部分旨在理解資料的特性和分佈。</w:t>
      </w:r>
    </w:p>
    <w:p w14:paraId="0395F8A0">
      <w:pPr>
        <w:keepNext w:val="0"/>
        <w:keepLines w:val="0"/>
        <w:widowControl/>
        <w:numPr>
          <w:ilvl w:val="0"/>
          <w:numId w:val="3"/>
        </w:numPr>
        <w:suppressLineNumbers w:val="0"/>
        <w:spacing w:before="0" w:beforeAutospacing="1" w:after="0" w:afterAutospacing="1"/>
        <w:ind w:left="720" w:hanging="360"/>
      </w:pPr>
      <w:r>
        <w:rPr>
          <w:rStyle w:val="6"/>
        </w:rPr>
        <w:t>特徵分佈：</w:t>
      </w:r>
      <w:r>
        <w:t xml:space="preserve"> Pregnancies、Insulin、DiabetesPedigreeFunction 和 Age 特徵顯示出</w:t>
      </w:r>
      <w:r>
        <w:rPr>
          <w:rStyle w:val="6"/>
        </w:rPr>
        <w:t>右偏分佈</w:t>
      </w:r>
      <w:r>
        <w:t>。BloodPressure 和 Skin Thickness 顯示出</w:t>
      </w:r>
      <w:r>
        <w:rPr>
          <w:rStyle w:val="6"/>
        </w:rPr>
        <w:t>雙峰分佈</w:t>
      </w:r>
      <w:r>
        <w:t>。Glucose 和 BMI 的分佈接近常態或雙峰分佈，這可能是由於存在數值為 0 的情況。Outcome 特徵顯示了非平衡的 2:1 比例，這種不平衡會導致預測</w:t>
      </w:r>
      <w:r>
        <w:rPr>
          <w:rStyle w:val="6"/>
        </w:rPr>
        <w:t>偏向非糖尿病案例</w:t>
      </w:r>
      <w:r>
        <w:t>，並使得視覺化難以獲得準確的洞察。</w:t>
      </w:r>
    </w:p>
    <w:p w14:paraId="2CEC42B6">
      <w:pPr>
        <w:keepNext w:val="0"/>
        <w:keepLines w:val="0"/>
        <w:widowControl/>
        <w:numPr>
          <w:ilvl w:val="0"/>
          <w:numId w:val="3"/>
        </w:numPr>
        <w:suppressLineNumbers w:val="0"/>
        <w:spacing w:before="0" w:beforeAutospacing="1" w:after="0" w:afterAutospacing="1"/>
        <w:ind w:left="720" w:hanging="360"/>
      </w:pPr>
      <w:r>
        <w:rPr>
          <w:rStyle w:val="6"/>
        </w:rPr>
        <w:t>平均值比較：</w:t>
      </w:r>
      <w:r>
        <w:t xml:space="preserve"> 比較糖尿病組和非糖尿病組特徵的平均值顯示： </w:t>
      </w:r>
    </w:p>
    <w:p w14:paraId="3B45EBF3">
      <w:pPr>
        <w:keepNext w:val="0"/>
        <w:keepLines w:val="0"/>
        <w:widowControl/>
        <w:numPr>
          <w:ilvl w:val="1"/>
          <w:numId w:val="4"/>
        </w:numPr>
        <w:suppressLineNumbers w:val="0"/>
        <w:tabs>
          <w:tab w:val="left" w:pos="1440"/>
        </w:tabs>
        <w:spacing w:before="0" w:beforeAutospacing="1" w:after="0" w:afterAutospacing="1"/>
        <w:ind w:left="1440" w:hanging="360"/>
      </w:pPr>
      <w:r>
        <w:t>懷孕平均次數 (Pregnancies)：糖尿病組 (4.87) 高於非糖尿病組 (3.30)。</w:t>
      </w:r>
    </w:p>
    <w:p w14:paraId="47E50486">
      <w:pPr>
        <w:keepNext w:val="0"/>
        <w:keepLines w:val="0"/>
        <w:widowControl/>
        <w:numPr>
          <w:ilvl w:val="1"/>
          <w:numId w:val="4"/>
        </w:numPr>
        <w:suppressLineNumbers w:val="0"/>
        <w:tabs>
          <w:tab w:val="left" w:pos="1440"/>
        </w:tabs>
        <w:spacing w:before="0" w:beforeAutospacing="1" w:after="0" w:afterAutospacing="1"/>
        <w:ind w:left="1440" w:hanging="360"/>
      </w:pPr>
      <w:r>
        <w:t>葡萄糖平均值 (Glucose)：糖尿病組 (141.26) 顯著高於非糖尿病組 (109.98)，是預測糖尿病的良好指標。</w:t>
      </w:r>
    </w:p>
    <w:p w14:paraId="62EB4040">
      <w:pPr>
        <w:keepNext w:val="0"/>
        <w:keepLines w:val="0"/>
        <w:widowControl/>
        <w:numPr>
          <w:ilvl w:val="1"/>
          <w:numId w:val="4"/>
        </w:numPr>
        <w:suppressLineNumbers w:val="0"/>
        <w:tabs>
          <w:tab w:val="left" w:pos="1440"/>
        </w:tabs>
        <w:spacing w:before="0" w:beforeAutospacing="1" w:after="0" w:afterAutospacing="1"/>
        <w:ind w:left="1440" w:hanging="360"/>
      </w:pPr>
      <w:r>
        <w:t>血壓平均值 (BloodPressure) 和皮膚厚度平均值 (SkinThickness)：兩組之間沒有顯著差異。</w:t>
      </w:r>
    </w:p>
    <w:p w14:paraId="64DC4FD6">
      <w:pPr>
        <w:keepNext w:val="0"/>
        <w:keepLines w:val="0"/>
        <w:widowControl/>
        <w:numPr>
          <w:ilvl w:val="1"/>
          <w:numId w:val="4"/>
        </w:numPr>
        <w:suppressLineNumbers w:val="0"/>
        <w:tabs>
          <w:tab w:val="left" w:pos="1440"/>
        </w:tabs>
        <w:spacing w:before="0" w:beforeAutospacing="1" w:after="0" w:afterAutospacing="1"/>
        <w:ind w:left="1440" w:hanging="360"/>
      </w:pPr>
      <w:r>
        <w:t>胰島素平均值 (Insulin)：糖尿病組 (100.34) 高於非糖尿病組 (68.79)。</w:t>
      </w:r>
    </w:p>
    <w:p w14:paraId="5C733725">
      <w:pPr>
        <w:keepNext w:val="0"/>
        <w:keepLines w:val="0"/>
        <w:widowControl/>
        <w:numPr>
          <w:ilvl w:val="1"/>
          <w:numId w:val="4"/>
        </w:numPr>
        <w:suppressLineNumbers w:val="0"/>
        <w:tabs>
          <w:tab w:val="left" w:pos="1440"/>
        </w:tabs>
        <w:spacing w:before="0" w:beforeAutospacing="1" w:after="0" w:afterAutospacing="1"/>
        <w:ind w:left="1440" w:hanging="360"/>
      </w:pPr>
      <w:r>
        <w:t>BMI 平均值：糖尿病組 (35.14) 高於非糖尿病組 (30.30)。</w:t>
      </w:r>
    </w:p>
    <w:p w14:paraId="1E4E37AA">
      <w:pPr>
        <w:keepNext w:val="0"/>
        <w:keepLines w:val="0"/>
        <w:widowControl/>
        <w:numPr>
          <w:ilvl w:val="1"/>
          <w:numId w:val="4"/>
        </w:numPr>
        <w:suppressLineNumbers w:val="0"/>
        <w:tabs>
          <w:tab w:val="left" w:pos="1440"/>
        </w:tabs>
        <w:spacing w:before="0" w:beforeAutospacing="1" w:after="0" w:afterAutospacing="1"/>
        <w:ind w:left="1440" w:hanging="360"/>
      </w:pPr>
      <w:r>
        <w:t>糖尿病譜系函數平均值 (DiabetesPedigreeFunction)：糖尿病組 (0.55) 略高於非糖尿病組 (0.43)。</w:t>
      </w:r>
    </w:p>
    <w:p w14:paraId="428E6DCB">
      <w:pPr>
        <w:keepNext w:val="0"/>
        <w:keepLines w:val="0"/>
        <w:widowControl/>
        <w:numPr>
          <w:ilvl w:val="1"/>
          <w:numId w:val="4"/>
        </w:numPr>
        <w:suppressLineNumbers w:val="0"/>
        <w:tabs>
          <w:tab w:val="left" w:pos="1440"/>
        </w:tabs>
        <w:spacing w:before="0" w:beforeAutospacing="1" w:after="0" w:afterAutospacing="1"/>
        <w:ind w:left="1440" w:hanging="360"/>
      </w:pPr>
      <w:r>
        <w:t>年齡平均值 (Age)：糖尿病組 (37.07) 高於非糖尿病組 (31.19)。</w:t>
      </w:r>
    </w:p>
    <w:p w14:paraId="047A9005">
      <w:pPr>
        <w:keepNext w:val="0"/>
        <w:keepLines w:val="0"/>
        <w:widowControl/>
        <w:numPr>
          <w:ilvl w:val="0"/>
          <w:numId w:val="3"/>
        </w:numPr>
        <w:suppressLineNumbers w:val="0"/>
        <w:spacing w:before="0" w:beforeAutospacing="1" w:after="0" w:afterAutospacing="1"/>
        <w:ind w:left="720" w:hanging="360"/>
      </w:pPr>
      <w:r>
        <w:rPr>
          <w:rStyle w:val="6"/>
        </w:rPr>
        <w:t>特徵與結果的關係視覺化：</w:t>
      </w:r>
      <w:r>
        <w:t xml:space="preserve"> 為了更好地視覺化具有大量獨特數值的特徵與結果的關係，部分特徵（Glucose, Insulin, BMI, DiabetesPedigreeFunction）被轉換為分組（例如，將數值除以一個常數）進行視覺化。視覺化結果顯示了一些潛在的趨勢，例如血糖值高於 125 與糖尿病的可能性非常高相關。</w:t>
      </w:r>
    </w:p>
    <w:p w14:paraId="64827966">
      <w:pPr>
        <w:pStyle w:val="5"/>
        <w:keepNext w:val="0"/>
        <w:keepLines w:val="0"/>
        <w:widowControl/>
        <w:suppressLineNumbers w:val="0"/>
      </w:pPr>
      <w:r>
        <w:rPr>
          <w:rStyle w:val="6"/>
        </w:rPr>
        <w:t>4. 領域知識 (Domain Information)</w:t>
      </w:r>
    </w:p>
    <w:p w14:paraId="32B53F16">
      <w:pPr>
        <w:pStyle w:val="5"/>
        <w:keepNext w:val="0"/>
        <w:keepLines w:val="0"/>
        <w:widowControl/>
        <w:suppressLineNumbers w:val="0"/>
      </w:pPr>
      <w:r>
        <w:t>來源提供了一些關於各特徵與糖尿病之間關係的領域知識，這些知識來自網站和研究論文。例如，妊娠糖尿病、高血糖與糖尿病的關係、高血壓可能導致第二型糖尿病、BMI 與肥胖導致第二型糖尿病的關係、糖尿病譜系函數反映家族史的影響 等。來源提到，從 EDA 獲得的數值範圍與領域知識存在一些不匹配。這強調了需要進行進一步的特徵工程和分析。</w:t>
      </w:r>
    </w:p>
    <w:p w14:paraId="054BAC09">
      <w:pPr>
        <w:pStyle w:val="5"/>
        <w:keepNext w:val="0"/>
        <w:keepLines w:val="0"/>
        <w:widowControl/>
        <w:suppressLineNumbers w:val="0"/>
      </w:pPr>
      <w:r>
        <w:rPr>
          <w:rStyle w:val="6"/>
        </w:rPr>
        <w:t>5. 特徵工程 (Feature Engineering)</w:t>
      </w:r>
    </w:p>
    <w:p w14:paraId="13C7DDBF">
      <w:pPr>
        <w:pStyle w:val="5"/>
        <w:keepNext w:val="0"/>
        <w:keepLines w:val="0"/>
        <w:widowControl/>
        <w:suppressLineNumbers w:val="0"/>
      </w:pPr>
      <w:r>
        <w:t>特徵工程是為了改善資料質量並使其更適合機器學習模型的重要步驟。</w:t>
      </w:r>
    </w:p>
    <w:p w14:paraId="0B2CEE86">
      <w:pPr>
        <w:keepNext w:val="0"/>
        <w:keepLines w:val="0"/>
        <w:widowControl/>
        <w:numPr>
          <w:ilvl w:val="0"/>
          <w:numId w:val="5"/>
        </w:numPr>
        <w:suppressLineNumbers w:val="0"/>
        <w:spacing w:before="0" w:beforeAutospacing="1" w:after="0" w:afterAutospacing="1"/>
        <w:ind w:left="720" w:hanging="360"/>
      </w:pPr>
      <w:r>
        <w:rPr>
          <w:rStyle w:val="6"/>
        </w:rPr>
        <w:t>資料縮放 (Data Scaling)：</w:t>
      </w:r>
      <w:r>
        <w:t xml:space="preserve"> 機器學習模型無法理解特徵值的單位，因此需要縮放數據。來源提到了兩種縮放選項：</w:t>
      </w:r>
      <w:r>
        <w:rPr>
          <w:rStyle w:val="6"/>
        </w:rPr>
        <w:t>正規化 (Normalization)</w:t>
      </w:r>
      <w:r>
        <w:t xml:space="preserve"> 和</w:t>
      </w:r>
      <w:r>
        <w:rPr>
          <w:rStyle w:val="6"/>
        </w:rPr>
        <w:t>標準化 (Standardization)</w:t>
      </w:r>
      <w:r>
        <w:t xml:space="preserve">。根據來源的解釋，對於非常態分佈的特徵（如右偏），應進行正規化；對於數值很大或很小但呈常態分佈的特徵，應進行標準化。來源提到 Pregnancies, Insulin, DiabetesPedigreeFunction 和 Age 由於顯示右偏分佈而被正規化。然而，提供的程式碼顯示 Pregnancies 使用了 </w:t>
      </w:r>
      <w:r>
        <w:rPr>
          <w:rStyle w:val="4"/>
        </w:rPr>
        <w:t>MinMaxScaler</w:t>
      </w:r>
      <w:r>
        <w:t xml:space="preserve"> (Normalization)，而 Glucose, BloodPressure, SkinThickness, Insulin, BMI, DiabetesPedigreeFunction, Age 都使用了 </w:t>
      </w:r>
      <w:r>
        <w:rPr>
          <w:rStyle w:val="4"/>
        </w:rPr>
        <w:t>StandardScaler</w:t>
      </w:r>
      <w:r>
        <w:t xml:space="preserve"> (Standardization)。這一步的目的是確保模型不受特徵幅度差異的影響。</w:t>
      </w:r>
    </w:p>
    <w:p w14:paraId="731FB437">
      <w:pPr>
        <w:keepNext w:val="0"/>
        <w:keepLines w:val="0"/>
        <w:widowControl/>
        <w:numPr>
          <w:ilvl w:val="0"/>
          <w:numId w:val="5"/>
        </w:numPr>
        <w:suppressLineNumbers w:val="0"/>
        <w:spacing w:before="0" w:beforeAutospacing="1" w:after="0" w:afterAutospacing="1"/>
        <w:ind w:left="720" w:hanging="360"/>
      </w:pPr>
      <w:r>
        <w:rPr>
          <w:rStyle w:val="6"/>
        </w:rPr>
        <w:t>相關性分析 (Correlation Analysis)：</w:t>
      </w:r>
      <w:r>
        <w:t xml:space="preserve"> 相關性分析顯示 SkinThickness 和 BloodPressure 與 Outcome 沒有顯著相關性。Glucose 顯示出最高的正相關性，其次是 BMI, Age, Pregnancies, DiabetesPedigreeFunction 和 Insulin。</w:t>
      </w:r>
    </w:p>
    <w:p w14:paraId="7ED53958">
      <w:pPr>
        <w:keepNext w:val="0"/>
        <w:keepLines w:val="0"/>
        <w:widowControl/>
        <w:numPr>
          <w:ilvl w:val="0"/>
          <w:numId w:val="5"/>
        </w:numPr>
        <w:suppressLineNumbers w:val="0"/>
        <w:spacing w:before="0" w:beforeAutospacing="1" w:after="0" w:afterAutospacing="1"/>
        <w:ind w:left="720" w:hanging="360"/>
      </w:pPr>
      <w:r>
        <w:rPr>
          <w:rStyle w:val="6"/>
        </w:rPr>
        <w:t>特徵選擇 (Feature Selection)：</w:t>
      </w:r>
      <w:r>
        <w:t xml:space="preserve"> 使用 </w:t>
      </w:r>
      <w:r>
        <w:rPr>
          <w:rStyle w:val="6"/>
        </w:rPr>
        <w:t>ANOVA 測試 (</w:t>
      </w:r>
      <w:r>
        <w:rPr>
          <w:rStyle w:val="4"/>
        </w:rPr>
        <w:t>f_classif</w:t>
      </w:r>
      <w:r>
        <w:rPr>
          <w:rStyle w:val="6"/>
        </w:rPr>
        <w:t>)</w:t>
      </w:r>
      <w:r>
        <w:t xml:space="preserve"> 這種統計方法來評估數值型特徵的重要性。ANOVA 分數越高，特徵越重要。根據 ANOVA 測試結果，需要</w:t>
      </w:r>
      <w:r>
        <w:rPr>
          <w:rStyle w:val="6"/>
        </w:rPr>
        <w:t>捨棄 (drop)</w:t>
      </w:r>
      <w:r>
        <w:t xml:space="preserve"> SkinThickness 和 BloodPressure 這兩個特徵，剩餘的特徵被用於建模。</w:t>
      </w:r>
    </w:p>
    <w:p w14:paraId="7FA71AFA">
      <w:pPr>
        <w:pStyle w:val="5"/>
        <w:keepNext w:val="0"/>
        <w:keepLines w:val="0"/>
        <w:widowControl/>
        <w:suppressLineNumbers w:val="0"/>
      </w:pPr>
      <w:r>
        <w:rPr>
          <w:rStyle w:val="6"/>
        </w:rPr>
        <w:t>6. 資料平衡 (Data Balancing)</w:t>
      </w:r>
    </w:p>
    <w:p w14:paraId="0E506CD6">
      <w:pPr>
        <w:pStyle w:val="5"/>
        <w:keepNext w:val="0"/>
        <w:keepLines w:val="0"/>
        <w:widowControl/>
        <w:suppressLineNumbers w:val="0"/>
      </w:pPr>
      <w:r>
        <w:t>如前所述，資料集存在</w:t>
      </w:r>
      <w:r>
        <w:rPr>
          <w:rStyle w:val="6"/>
        </w:rPr>
        <w:t>類別不平衡</w:t>
      </w:r>
      <w:r>
        <w:t>的問題。為了解決這個問題，來源採用了資料平衡技術。</w:t>
      </w:r>
    </w:p>
    <w:p w14:paraId="53ED4917">
      <w:pPr>
        <w:keepNext w:val="0"/>
        <w:keepLines w:val="0"/>
        <w:widowControl/>
        <w:numPr>
          <w:ilvl w:val="0"/>
          <w:numId w:val="6"/>
        </w:numPr>
        <w:suppressLineNumbers w:val="0"/>
        <w:spacing w:before="0" w:beforeAutospacing="1" w:after="0" w:afterAutospacing="1"/>
        <w:ind w:left="720" w:hanging="360"/>
      </w:pPr>
      <w:r>
        <w:t>來源提到了處理不平衡資料的兩種選項：欠取樣 (Undersampling) 和過取樣 (Oversampling)。</w:t>
      </w:r>
    </w:p>
    <w:p w14:paraId="2726EF37">
      <w:pPr>
        <w:keepNext w:val="0"/>
        <w:keepLines w:val="0"/>
        <w:widowControl/>
        <w:numPr>
          <w:ilvl w:val="0"/>
          <w:numId w:val="6"/>
        </w:numPr>
        <w:suppressLineNumbers w:val="0"/>
        <w:spacing w:before="0" w:beforeAutospacing="1" w:after="0" w:afterAutospacing="1"/>
        <w:ind w:left="720" w:hanging="360"/>
      </w:pPr>
      <w:r>
        <w:t>在這個案例中，選擇了</w:t>
      </w:r>
      <w:r>
        <w:rPr>
          <w:rStyle w:val="6"/>
        </w:rPr>
        <w:t>過取樣少數類別</w:t>
      </w:r>
      <w:r>
        <w:t xml:space="preserve">的方法，具體使用了 </w:t>
      </w:r>
      <w:r>
        <w:rPr>
          <w:rStyle w:val="6"/>
        </w:rPr>
        <w:t>SMOTE (Synthetic Minority Over-sampling Technique)</w:t>
      </w:r>
      <w:r>
        <w:t xml:space="preserve"> 技術。SMOTE 通過合成新的少數類別樣本來增加其數量，使其與多數類別數量相同。經過 SMOTE 處理後，糖尿病和非糖尿病案例的數量都變成了 500 個。</w:t>
      </w:r>
    </w:p>
    <w:p w14:paraId="43A76361">
      <w:pPr>
        <w:keepNext w:val="0"/>
        <w:keepLines w:val="0"/>
        <w:widowControl/>
        <w:numPr>
          <w:ilvl w:val="0"/>
          <w:numId w:val="6"/>
        </w:numPr>
        <w:suppressLineNumbers w:val="0"/>
        <w:spacing w:before="0" w:beforeAutospacing="1" w:after="0" w:afterAutospacing="1"/>
        <w:ind w:left="720" w:hanging="360"/>
      </w:pPr>
      <w:r>
        <w:t>來源</w:t>
      </w:r>
      <w:r>
        <w:rPr>
          <w:rStyle w:val="6"/>
        </w:rPr>
        <w:t>強烈建議</w:t>
      </w:r>
      <w:r>
        <w:t>，由於 SMOTE 生成了合成數據，在評估模型時</w:t>
      </w:r>
      <w:r>
        <w:rPr>
          <w:rStyle w:val="6"/>
        </w:rPr>
        <w:t>不要使用準確度 (accuracy)</w:t>
      </w:r>
      <w:r>
        <w:t>，因為這會產生誤導。應使用</w:t>
      </w:r>
      <w:r>
        <w:rPr>
          <w:rStyle w:val="6"/>
        </w:rPr>
        <w:t>混淆矩陣 (confusion matrix)</w:t>
      </w:r>
      <w:r>
        <w:t xml:space="preserve"> 和 </w:t>
      </w:r>
      <w:r>
        <w:rPr>
          <w:rStyle w:val="6"/>
        </w:rPr>
        <w:t>ROC-AUC 圖表/分數</w:t>
      </w:r>
      <w:r>
        <w:t>來進行模型評估。</w:t>
      </w:r>
    </w:p>
    <w:p w14:paraId="3C596B0C">
      <w:pPr>
        <w:pStyle w:val="5"/>
        <w:keepNext w:val="0"/>
        <w:keepLines w:val="0"/>
        <w:widowControl/>
        <w:suppressLineNumbers w:val="0"/>
      </w:pPr>
      <w:r>
        <w:rPr>
          <w:rStyle w:val="6"/>
        </w:rPr>
        <w:t>7. 建模與結果比較</w:t>
      </w:r>
    </w:p>
    <w:p w14:paraId="3FB69F7C">
      <w:pPr>
        <w:pStyle w:val="5"/>
        <w:keepNext w:val="0"/>
        <w:keepLines w:val="0"/>
        <w:widowControl/>
        <w:suppressLineNumbers w:val="0"/>
      </w:pPr>
      <w:r>
        <w:t>將經過特徵選擇後的數據（包括非平衡和經 SMOTE 平衡的數據）分割成 75% 的訓練集和 25% 的測試集。然後使用幾種分類器進行建模：</w:t>
      </w:r>
    </w:p>
    <w:p w14:paraId="73667E28">
      <w:pPr>
        <w:keepNext w:val="0"/>
        <w:keepLines w:val="0"/>
        <w:widowControl/>
        <w:numPr>
          <w:ilvl w:val="0"/>
          <w:numId w:val="7"/>
        </w:numPr>
        <w:suppressLineNumbers w:val="0"/>
        <w:spacing w:before="0" w:beforeAutospacing="1" w:after="0" w:afterAutospacing="1"/>
        <w:ind w:left="720" w:hanging="360"/>
      </w:pPr>
      <w:r>
        <w:t>XGBoost 分類器 (XGBClassifier)</w:t>
      </w:r>
    </w:p>
    <w:p w14:paraId="4C348E97">
      <w:pPr>
        <w:keepNext w:val="0"/>
        <w:keepLines w:val="0"/>
        <w:widowControl/>
        <w:numPr>
          <w:ilvl w:val="0"/>
          <w:numId w:val="7"/>
        </w:numPr>
        <w:suppressLineNumbers w:val="0"/>
        <w:spacing w:before="0" w:beforeAutospacing="1" w:after="0" w:afterAutospacing="1"/>
        <w:ind w:left="720" w:hanging="360"/>
      </w:pPr>
      <w:r>
        <w:t>LightGBM 分類器 (LGBMClassifier)</w:t>
      </w:r>
    </w:p>
    <w:p w14:paraId="72894AA3">
      <w:pPr>
        <w:keepNext w:val="0"/>
        <w:keepLines w:val="0"/>
        <w:widowControl/>
        <w:numPr>
          <w:ilvl w:val="0"/>
          <w:numId w:val="7"/>
        </w:numPr>
        <w:suppressLineNumbers w:val="0"/>
        <w:spacing w:before="0" w:beforeAutospacing="1" w:after="0" w:afterAutospacing="1"/>
        <w:ind w:left="720" w:hanging="360"/>
      </w:pPr>
      <w:r>
        <w:t>XGBoost 和 LightGBM 的堆疊分類器 (StackingClassifier)</w:t>
      </w:r>
    </w:p>
    <w:p w14:paraId="40E107F4">
      <w:pPr>
        <w:pStyle w:val="5"/>
        <w:keepNext w:val="0"/>
        <w:keepLines w:val="0"/>
        <w:widowControl/>
        <w:suppressLineNumbers w:val="0"/>
      </w:pPr>
      <w:r>
        <w:t>模型性能使用交叉驗證分數 (Cross Validation Score) 和 ROC-AUC 分數進行評估。同時使用混淆矩陣和分類報告進行詳細評估。</w:t>
      </w:r>
    </w:p>
    <w:p w14:paraId="71C4B5B5">
      <w:pPr>
        <w:pStyle w:val="5"/>
        <w:keepNext w:val="0"/>
        <w:keepLines w:val="0"/>
        <w:widowControl/>
        <w:suppressLineNumbers w:val="0"/>
      </w:pPr>
      <w:r>
        <w:t>以下是模型在非平衡和平衡資料集上的性能比較：</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84"/>
        <w:gridCol w:w="612"/>
        <w:gridCol w:w="2031"/>
        <w:gridCol w:w="1969"/>
      </w:tblGrid>
      <w:tr w14:paraId="1B8BC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CC23ED">
            <w:pPr>
              <w:keepNext w:val="0"/>
              <w:keepLines w:val="0"/>
              <w:widowControl/>
              <w:suppressLineNumbers w:val="0"/>
              <w:jc w:val="center"/>
              <w:rPr>
                <w:b/>
                <w:bCs/>
              </w:rPr>
            </w:pPr>
            <w:r>
              <w:rPr>
                <w:rFonts w:ascii="宋体" w:hAnsi="宋体" w:eastAsia="宋体" w:cs="宋体"/>
                <w:b/>
                <w:bCs/>
                <w:kern w:val="0"/>
                <w:sz w:val="24"/>
                <w:szCs w:val="24"/>
                <w:lang w:val="en-US" w:eastAsia="zh-CN" w:bidi="ar"/>
              </w:rPr>
              <w:t>模型</w:t>
            </w:r>
          </w:p>
        </w:tc>
        <w:tc>
          <w:tcPr>
            <w:tcW w:w="0" w:type="auto"/>
            <w:shd w:val="clear"/>
            <w:vAlign w:val="center"/>
          </w:tcPr>
          <w:p w14:paraId="2065DFC7">
            <w:pPr>
              <w:keepNext w:val="0"/>
              <w:keepLines w:val="0"/>
              <w:widowControl/>
              <w:suppressLineNumbers w:val="0"/>
              <w:jc w:val="center"/>
              <w:rPr>
                <w:b/>
                <w:bCs/>
              </w:rPr>
            </w:pPr>
            <w:r>
              <w:rPr>
                <w:rFonts w:ascii="宋体" w:hAnsi="宋体" w:eastAsia="宋体" w:cs="宋体"/>
                <w:b/>
                <w:bCs/>
                <w:kern w:val="0"/>
                <w:sz w:val="24"/>
                <w:szCs w:val="24"/>
                <w:lang w:val="en-US" w:eastAsia="zh-CN" w:bidi="ar"/>
              </w:rPr>
              <w:t>資料集</w:t>
            </w:r>
          </w:p>
        </w:tc>
        <w:tc>
          <w:tcPr>
            <w:tcW w:w="0" w:type="auto"/>
            <w:shd w:val="clear"/>
            <w:vAlign w:val="center"/>
          </w:tcPr>
          <w:p w14:paraId="01FED461">
            <w:pPr>
              <w:keepNext w:val="0"/>
              <w:keepLines w:val="0"/>
              <w:widowControl/>
              <w:suppressLineNumbers w:val="0"/>
              <w:jc w:val="center"/>
              <w:rPr>
                <w:b/>
                <w:bCs/>
              </w:rPr>
            </w:pPr>
            <w:r>
              <w:rPr>
                <w:rFonts w:ascii="宋体" w:hAnsi="宋体" w:eastAsia="宋体" w:cs="宋体"/>
                <w:b/>
                <w:bCs/>
                <w:kern w:val="0"/>
                <w:sz w:val="24"/>
                <w:szCs w:val="24"/>
                <w:lang w:val="en-US" w:eastAsia="zh-CN" w:bidi="ar"/>
              </w:rPr>
              <w:t>交叉驗證分數 (ROC AUC)</w:t>
            </w:r>
          </w:p>
        </w:tc>
        <w:tc>
          <w:tcPr>
            <w:tcW w:w="0" w:type="auto"/>
            <w:shd w:val="clear"/>
            <w:vAlign w:val="center"/>
          </w:tcPr>
          <w:p w14:paraId="0C5911FD">
            <w:pPr>
              <w:keepNext w:val="0"/>
              <w:keepLines w:val="0"/>
              <w:widowControl/>
              <w:suppressLineNumbers w:val="0"/>
              <w:jc w:val="center"/>
              <w:rPr>
                <w:b/>
                <w:bCs/>
              </w:rPr>
            </w:pPr>
            <w:r>
              <w:rPr>
                <w:rFonts w:ascii="宋体" w:hAnsi="宋体" w:eastAsia="宋体" w:cs="宋体"/>
                <w:b/>
                <w:bCs/>
                <w:kern w:val="0"/>
                <w:sz w:val="24"/>
                <w:szCs w:val="24"/>
                <w:lang w:val="en-US" w:eastAsia="zh-CN" w:bidi="ar"/>
              </w:rPr>
              <w:t>ROC AUC 分數 (測試集)</w:t>
            </w:r>
          </w:p>
        </w:tc>
      </w:tr>
      <w:tr w14:paraId="38EC6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EB92E0">
            <w:pPr>
              <w:keepNext w:val="0"/>
              <w:keepLines w:val="0"/>
              <w:widowControl/>
              <w:suppressLineNumbers w:val="0"/>
              <w:jc w:val="left"/>
            </w:pPr>
            <w:r>
              <w:rPr>
                <w:rFonts w:ascii="宋体" w:hAnsi="宋体" w:eastAsia="宋体" w:cs="宋体"/>
                <w:kern w:val="0"/>
                <w:sz w:val="24"/>
                <w:szCs w:val="24"/>
                <w:lang w:val="en-US" w:eastAsia="zh-CN" w:bidi="ar"/>
              </w:rPr>
              <w:t>XGBClassifier</w:t>
            </w:r>
          </w:p>
        </w:tc>
        <w:tc>
          <w:tcPr>
            <w:tcW w:w="0" w:type="auto"/>
            <w:shd w:val="clear"/>
            <w:vAlign w:val="center"/>
          </w:tcPr>
          <w:p w14:paraId="40BBDEF4">
            <w:pPr>
              <w:keepNext w:val="0"/>
              <w:keepLines w:val="0"/>
              <w:widowControl/>
              <w:suppressLineNumbers w:val="0"/>
              <w:jc w:val="left"/>
            </w:pPr>
            <w:r>
              <w:rPr>
                <w:rFonts w:ascii="宋体" w:hAnsi="宋体" w:eastAsia="宋体" w:cs="宋体"/>
                <w:kern w:val="0"/>
                <w:sz w:val="24"/>
                <w:szCs w:val="24"/>
                <w:lang w:val="en-US" w:eastAsia="zh-CN" w:bidi="ar"/>
              </w:rPr>
              <w:t>非平衡</w:t>
            </w:r>
          </w:p>
        </w:tc>
        <w:tc>
          <w:tcPr>
            <w:tcW w:w="0" w:type="auto"/>
            <w:shd w:val="clear"/>
            <w:vAlign w:val="center"/>
          </w:tcPr>
          <w:p w14:paraId="3B6218AD">
            <w:pPr>
              <w:keepNext w:val="0"/>
              <w:keepLines w:val="0"/>
              <w:widowControl/>
              <w:suppressLineNumbers w:val="0"/>
              <w:jc w:val="left"/>
            </w:pPr>
            <w:r>
              <w:rPr>
                <w:rFonts w:ascii="宋体" w:hAnsi="宋体" w:eastAsia="宋体" w:cs="宋体"/>
                <w:kern w:val="0"/>
                <w:sz w:val="24"/>
                <w:szCs w:val="24"/>
                <w:lang w:val="en-US" w:eastAsia="zh-CN" w:bidi="ar"/>
              </w:rPr>
              <w:t>83.60%</w:t>
            </w:r>
          </w:p>
        </w:tc>
        <w:tc>
          <w:tcPr>
            <w:tcW w:w="0" w:type="auto"/>
            <w:shd w:val="clear"/>
            <w:vAlign w:val="center"/>
          </w:tcPr>
          <w:p w14:paraId="55FABA28">
            <w:pPr>
              <w:keepNext w:val="0"/>
              <w:keepLines w:val="0"/>
              <w:widowControl/>
              <w:suppressLineNumbers w:val="0"/>
              <w:jc w:val="left"/>
            </w:pPr>
            <w:r>
              <w:rPr>
                <w:rFonts w:ascii="宋体" w:hAnsi="宋体" w:eastAsia="宋体" w:cs="宋体"/>
                <w:kern w:val="0"/>
                <w:sz w:val="24"/>
                <w:szCs w:val="24"/>
                <w:lang w:val="en-US" w:eastAsia="zh-CN" w:bidi="ar"/>
              </w:rPr>
              <w:t>67.16%</w:t>
            </w:r>
          </w:p>
        </w:tc>
      </w:tr>
      <w:tr w14:paraId="52B07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5F52CD">
            <w:pPr>
              <w:keepNext w:val="0"/>
              <w:keepLines w:val="0"/>
              <w:widowControl/>
              <w:suppressLineNumbers w:val="0"/>
              <w:jc w:val="left"/>
            </w:pPr>
            <w:r>
              <w:rPr>
                <w:rFonts w:ascii="宋体" w:hAnsi="宋体" w:eastAsia="宋体" w:cs="宋体"/>
                <w:kern w:val="0"/>
                <w:sz w:val="24"/>
                <w:szCs w:val="24"/>
                <w:lang w:val="en-US" w:eastAsia="zh-CN" w:bidi="ar"/>
              </w:rPr>
              <w:t>XGBClassifier</w:t>
            </w:r>
          </w:p>
        </w:tc>
        <w:tc>
          <w:tcPr>
            <w:tcW w:w="0" w:type="auto"/>
            <w:shd w:val="clear"/>
            <w:vAlign w:val="center"/>
          </w:tcPr>
          <w:p w14:paraId="35CCBF05">
            <w:pPr>
              <w:keepNext w:val="0"/>
              <w:keepLines w:val="0"/>
              <w:widowControl/>
              <w:suppressLineNumbers w:val="0"/>
              <w:jc w:val="left"/>
            </w:pPr>
            <w:r>
              <w:rPr>
                <w:rStyle w:val="6"/>
                <w:rFonts w:ascii="宋体" w:hAnsi="宋体" w:eastAsia="宋体" w:cs="宋体"/>
                <w:kern w:val="0"/>
                <w:sz w:val="24"/>
                <w:szCs w:val="24"/>
                <w:lang w:val="en-US" w:eastAsia="zh-CN" w:bidi="ar"/>
              </w:rPr>
              <w:t>平衡</w:t>
            </w:r>
          </w:p>
        </w:tc>
        <w:tc>
          <w:tcPr>
            <w:tcW w:w="0" w:type="auto"/>
            <w:shd w:val="clear"/>
            <w:vAlign w:val="center"/>
          </w:tcPr>
          <w:p w14:paraId="1B50AE1D">
            <w:pPr>
              <w:keepNext w:val="0"/>
              <w:keepLines w:val="0"/>
              <w:widowControl/>
              <w:suppressLineNumbers w:val="0"/>
              <w:jc w:val="left"/>
            </w:pPr>
            <w:r>
              <w:rPr>
                <w:rStyle w:val="6"/>
                <w:rFonts w:ascii="宋体" w:hAnsi="宋体" w:eastAsia="宋体" w:cs="宋体"/>
                <w:kern w:val="0"/>
                <w:sz w:val="24"/>
                <w:szCs w:val="24"/>
                <w:lang w:val="en-US" w:eastAsia="zh-CN" w:bidi="ar"/>
              </w:rPr>
              <w:t>86.71%</w:t>
            </w:r>
          </w:p>
        </w:tc>
        <w:tc>
          <w:tcPr>
            <w:tcW w:w="0" w:type="auto"/>
            <w:shd w:val="clear"/>
            <w:vAlign w:val="center"/>
          </w:tcPr>
          <w:p w14:paraId="3156A04C">
            <w:pPr>
              <w:keepNext w:val="0"/>
              <w:keepLines w:val="0"/>
              <w:widowControl/>
              <w:suppressLineNumbers w:val="0"/>
              <w:jc w:val="left"/>
            </w:pPr>
            <w:r>
              <w:rPr>
                <w:rStyle w:val="6"/>
                <w:rFonts w:ascii="宋体" w:hAnsi="宋体" w:eastAsia="宋体" w:cs="宋体"/>
                <w:kern w:val="0"/>
                <w:sz w:val="24"/>
                <w:szCs w:val="24"/>
                <w:lang w:val="en-US" w:eastAsia="zh-CN" w:bidi="ar"/>
              </w:rPr>
              <w:t>78.60%</w:t>
            </w:r>
          </w:p>
        </w:tc>
      </w:tr>
      <w:tr w14:paraId="4A974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C211CF1">
            <w:pPr>
              <w:keepNext w:val="0"/>
              <w:keepLines w:val="0"/>
              <w:widowControl/>
              <w:suppressLineNumbers w:val="0"/>
              <w:jc w:val="left"/>
            </w:pPr>
            <w:r>
              <w:rPr>
                <w:rFonts w:ascii="宋体" w:hAnsi="宋体" w:eastAsia="宋体" w:cs="宋体"/>
                <w:kern w:val="0"/>
                <w:sz w:val="24"/>
                <w:szCs w:val="24"/>
                <w:lang w:val="en-US" w:eastAsia="zh-CN" w:bidi="ar"/>
              </w:rPr>
              <w:t>LightGBMClassifier</w:t>
            </w:r>
          </w:p>
        </w:tc>
        <w:tc>
          <w:tcPr>
            <w:tcW w:w="0" w:type="auto"/>
            <w:shd w:val="clear"/>
            <w:vAlign w:val="center"/>
          </w:tcPr>
          <w:p w14:paraId="5DCC04D4">
            <w:pPr>
              <w:keepNext w:val="0"/>
              <w:keepLines w:val="0"/>
              <w:widowControl/>
              <w:suppressLineNumbers w:val="0"/>
              <w:jc w:val="left"/>
            </w:pPr>
            <w:r>
              <w:rPr>
                <w:rFonts w:ascii="宋体" w:hAnsi="宋体" w:eastAsia="宋体" w:cs="宋体"/>
                <w:kern w:val="0"/>
                <w:sz w:val="24"/>
                <w:szCs w:val="24"/>
                <w:lang w:val="en-US" w:eastAsia="zh-CN" w:bidi="ar"/>
              </w:rPr>
              <w:t>非平衡</w:t>
            </w:r>
          </w:p>
        </w:tc>
        <w:tc>
          <w:tcPr>
            <w:tcW w:w="0" w:type="auto"/>
            <w:shd w:val="clear"/>
            <w:vAlign w:val="center"/>
          </w:tcPr>
          <w:p w14:paraId="4053883B">
            <w:pPr>
              <w:keepNext w:val="0"/>
              <w:keepLines w:val="0"/>
              <w:widowControl/>
              <w:suppressLineNumbers w:val="0"/>
              <w:jc w:val="left"/>
            </w:pPr>
            <w:r>
              <w:rPr>
                <w:rFonts w:ascii="宋体" w:hAnsi="宋体" w:eastAsia="宋体" w:cs="宋体"/>
                <w:kern w:val="0"/>
                <w:sz w:val="24"/>
                <w:szCs w:val="24"/>
                <w:lang w:val="en-US" w:eastAsia="zh-CN" w:bidi="ar"/>
              </w:rPr>
              <w:t>82.36%</w:t>
            </w:r>
          </w:p>
        </w:tc>
        <w:tc>
          <w:tcPr>
            <w:tcW w:w="0" w:type="auto"/>
            <w:shd w:val="clear"/>
            <w:vAlign w:val="center"/>
          </w:tcPr>
          <w:p w14:paraId="3445138E">
            <w:pPr>
              <w:keepNext w:val="0"/>
              <w:keepLines w:val="0"/>
              <w:widowControl/>
              <w:suppressLineNumbers w:val="0"/>
              <w:jc w:val="left"/>
            </w:pPr>
            <w:r>
              <w:rPr>
                <w:rFonts w:ascii="宋体" w:hAnsi="宋体" w:eastAsia="宋体" w:cs="宋体"/>
                <w:kern w:val="0"/>
                <w:sz w:val="24"/>
                <w:szCs w:val="24"/>
                <w:lang w:val="en-US" w:eastAsia="zh-CN" w:bidi="ar"/>
              </w:rPr>
              <w:t>64.20%</w:t>
            </w:r>
          </w:p>
        </w:tc>
      </w:tr>
      <w:tr w14:paraId="5C4EB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A147EA7">
            <w:pPr>
              <w:keepNext w:val="0"/>
              <w:keepLines w:val="0"/>
              <w:widowControl/>
              <w:suppressLineNumbers w:val="0"/>
              <w:jc w:val="left"/>
            </w:pPr>
            <w:r>
              <w:rPr>
                <w:rFonts w:ascii="宋体" w:hAnsi="宋体" w:eastAsia="宋体" w:cs="宋体"/>
                <w:kern w:val="0"/>
                <w:sz w:val="24"/>
                <w:szCs w:val="24"/>
                <w:lang w:val="en-US" w:eastAsia="zh-CN" w:bidi="ar"/>
              </w:rPr>
              <w:t>LightGBMClassifier</w:t>
            </w:r>
          </w:p>
        </w:tc>
        <w:tc>
          <w:tcPr>
            <w:tcW w:w="0" w:type="auto"/>
            <w:shd w:val="clear"/>
            <w:vAlign w:val="center"/>
          </w:tcPr>
          <w:p w14:paraId="691B4F6D">
            <w:pPr>
              <w:keepNext w:val="0"/>
              <w:keepLines w:val="0"/>
              <w:widowControl/>
              <w:suppressLineNumbers w:val="0"/>
              <w:jc w:val="left"/>
            </w:pPr>
            <w:r>
              <w:rPr>
                <w:rStyle w:val="6"/>
                <w:rFonts w:ascii="宋体" w:hAnsi="宋体" w:eastAsia="宋体" w:cs="宋体"/>
                <w:kern w:val="0"/>
                <w:sz w:val="24"/>
                <w:szCs w:val="24"/>
                <w:lang w:val="en-US" w:eastAsia="zh-CN" w:bidi="ar"/>
              </w:rPr>
              <w:t>平衡</w:t>
            </w:r>
          </w:p>
        </w:tc>
        <w:tc>
          <w:tcPr>
            <w:tcW w:w="0" w:type="auto"/>
            <w:shd w:val="clear"/>
            <w:vAlign w:val="center"/>
          </w:tcPr>
          <w:p w14:paraId="3AF276BE">
            <w:pPr>
              <w:keepNext w:val="0"/>
              <w:keepLines w:val="0"/>
              <w:widowControl/>
              <w:suppressLineNumbers w:val="0"/>
              <w:jc w:val="left"/>
            </w:pPr>
            <w:r>
              <w:rPr>
                <w:rStyle w:val="6"/>
                <w:rFonts w:ascii="宋体" w:hAnsi="宋体" w:eastAsia="宋体" w:cs="宋体"/>
                <w:kern w:val="0"/>
                <w:sz w:val="24"/>
                <w:szCs w:val="24"/>
                <w:lang w:val="en-US" w:eastAsia="zh-CN" w:bidi="ar"/>
              </w:rPr>
              <w:t>86.21%</w:t>
            </w:r>
          </w:p>
        </w:tc>
        <w:tc>
          <w:tcPr>
            <w:tcW w:w="0" w:type="auto"/>
            <w:shd w:val="clear"/>
            <w:vAlign w:val="center"/>
          </w:tcPr>
          <w:p w14:paraId="04EE2A87">
            <w:pPr>
              <w:keepNext w:val="0"/>
              <w:keepLines w:val="0"/>
              <w:widowControl/>
              <w:suppressLineNumbers w:val="0"/>
              <w:jc w:val="left"/>
            </w:pPr>
            <w:r>
              <w:rPr>
                <w:rStyle w:val="6"/>
                <w:rFonts w:ascii="宋体" w:hAnsi="宋体" w:eastAsia="宋体" w:cs="宋体"/>
                <w:kern w:val="0"/>
                <w:sz w:val="24"/>
                <w:szCs w:val="24"/>
                <w:lang w:val="en-US" w:eastAsia="zh-CN" w:bidi="ar"/>
              </w:rPr>
              <w:t>77.43%</w:t>
            </w:r>
          </w:p>
        </w:tc>
      </w:tr>
      <w:tr w14:paraId="7B2CF1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704D779">
            <w:pPr>
              <w:keepNext w:val="0"/>
              <w:keepLines w:val="0"/>
              <w:widowControl/>
              <w:suppressLineNumbers w:val="0"/>
              <w:jc w:val="left"/>
            </w:pPr>
            <w:r>
              <w:rPr>
                <w:rFonts w:ascii="宋体" w:hAnsi="宋体" w:eastAsia="宋体" w:cs="宋体"/>
                <w:kern w:val="0"/>
                <w:sz w:val="24"/>
                <w:szCs w:val="24"/>
                <w:lang w:val="en-US" w:eastAsia="zh-CN" w:bidi="ar"/>
              </w:rPr>
              <w:t>Stack (XGBClassifier + LGBMClassifier)</w:t>
            </w:r>
          </w:p>
        </w:tc>
        <w:tc>
          <w:tcPr>
            <w:tcW w:w="0" w:type="auto"/>
            <w:shd w:val="clear"/>
            <w:vAlign w:val="center"/>
          </w:tcPr>
          <w:p w14:paraId="53CA91A2">
            <w:pPr>
              <w:keepNext w:val="0"/>
              <w:keepLines w:val="0"/>
              <w:widowControl/>
              <w:suppressLineNumbers w:val="0"/>
              <w:jc w:val="left"/>
            </w:pPr>
            <w:r>
              <w:rPr>
                <w:rFonts w:ascii="宋体" w:hAnsi="宋体" w:eastAsia="宋体" w:cs="宋体"/>
                <w:kern w:val="0"/>
                <w:sz w:val="24"/>
                <w:szCs w:val="24"/>
                <w:lang w:val="en-US" w:eastAsia="zh-CN" w:bidi="ar"/>
              </w:rPr>
              <w:t>非平衡</w:t>
            </w:r>
          </w:p>
        </w:tc>
        <w:tc>
          <w:tcPr>
            <w:tcW w:w="0" w:type="auto"/>
            <w:shd w:val="clear"/>
            <w:vAlign w:val="center"/>
          </w:tcPr>
          <w:p w14:paraId="7B7F3BAA">
            <w:pPr>
              <w:keepNext w:val="0"/>
              <w:keepLines w:val="0"/>
              <w:widowControl/>
              <w:suppressLineNumbers w:val="0"/>
              <w:jc w:val="left"/>
            </w:pPr>
            <w:r>
              <w:rPr>
                <w:rFonts w:ascii="宋体" w:hAnsi="宋体" w:eastAsia="宋体" w:cs="宋体"/>
                <w:kern w:val="0"/>
                <w:sz w:val="24"/>
                <w:szCs w:val="24"/>
                <w:lang w:val="en-US" w:eastAsia="zh-CN" w:bidi="ar"/>
              </w:rPr>
              <w:t>80.15%</w:t>
            </w:r>
          </w:p>
        </w:tc>
        <w:tc>
          <w:tcPr>
            <w:tcW w:w="0" w:type="auto"/>
            <w:shd w:val="clear"/>
            <w:vAlign w:val="center"/>
          </w:tcPr>
          <w:p w14:paraId="4DDA405B">
            <w:pPr>
              <w:keepNext w:val="0"/>
              <w:keepLines w:val="0"/>
              <w:widowControl/>
              <w:suppressLineNumbers w:val="0"/>
              <w:jc w:val="left"/>
            </w:pPr>
            <w:r>
              <w:rPr>
                <w:rFonts w:ascii="宋体" w:hAnsi="宋体" w:eastAsia="宋体" w:cs="宋体"/>
                <w:kern w:val="0"/>
                <w:sz w:val="24"/>
                <w:szCs w:val="24"/>
                <w:lang w:val="en-US" w:eastAsia="zh-CN" w:bidi="ar"/>
              </w:rPr>
              <w:t>65.70%</w:t>
            </w:r>
          </w:p>
        </w:tc>
      </w:tr>
      <w:tr w14:paraId="5D6B9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AF15655">
            <w:pPr>
              <w:keepNext w:val="0"/>
              <w:keepLines w:val="0"/>
              <w:widowControl/>
              <w:suppressLineNumbers w:val="0"/>
              <w:jc w:val="left"/>
            </w:pPr>
            <w:r>
              <w:rPr>
                <w:rFonts w:ascii="宋体" w:hAnsi="宋体" w:eastAsia="宋体" w:cs="宋体"/>
                <w:kern w:val="0"/>
                <w:sz w:val="24"/>
                <w:szCs w:val="24"/>
                <w:lang w:val="en-US" w:eastAsia="zh-CN" w:bidi="ar"/>
              </w:rPr>
              <w:t>Stack (XGBClassifier + LGBMClassifier)</w:t>
            </w:r>
          </w:p>
        </w:tc>
        <w:tc>
          <w:tcPr>
            <w:tcW w:w="0" w:type="auto"/>
            <w:shd w:val="clear"/>
            <w:vAlign w:val="center"/>
          </w:tcPr>
          <w:p w14:paraId="1B722F5E">
            <w:pPr>
              <w:keepNext w:val="0"/>
              <w:keepLines w:val="0"/>
              <w:widowControl/>
              <w:suppressLineNumbers w:val="0"/>
              <w:jc w:val="left"/>
            </w:pPr>
            <w:r>
              <w:rPr>
                <w:rStyle w:val="6"/>
                <w:rFonts w:ascii="宋体" w:hAnsi="宋体" w:eastAsia="宋体" w:cs="宋体"/>
                <w:kern w:val="0"/>
                <w:sz w:val="24"/>
                <w:szCs w:val="24"/>
                <w:lang w:val="en-US" w:eastAsia="zh-CN" w:bidi="ar"/>
              </w:rPr>
              <w:t>平衡</w:t>
            </w:r>
          </w:p>
        </w:tc>
        <w:tc>
          <w:tcPr>
            <w:tcW w:w="0" w:type="auto"/>
            <w:shd w:val="clear"/>
            <w:vAlign w:val="center"/>
          </w:tcPr>
          <w:p w14:paraId="12EB6D62">
            <w:pPr>
              <w:keepNext w:val="0"/>
              <w:keepLines w:val="0"/>
              <w:widowControl/>
              <w:suppressLineNumbers w:val="0"/>
              <w:jc w:val="left"/>
            </w:pPr>
            <w:r>
              <w:rPr>
                <w:rStyle w:val="6"/>
                <w:rFonts w:ascii="宋体" w:hAnsi="宋体" w:eastAsia="宋体" w:cs="宋体"/>
                <w:kern w:val="0"/>
                <w:sz w:val="24"/>
                <w:szCs w:val="24"/>
                <w:lang w:val="en-US" w:eastAsia="zh-CN" w:bidi="ar"/>
              </w:rPr>
              <w:t>84.35%</w:t>
            </w:r>
          </w:p>
        </w:tc>
        <w:tc>
          <w:tcPr>
            <w:tcW w:w="0" w:type="auto"/>
            <w:shd w:val="clear"/>
            <w:vAlign w:val="center"/>
          </w:tcPr>
          <w:p w14:paraId="76516258">
            <w:pPr>
              <w:keepNext w:val="0"/>
              <w:keepLines w:val="0"/>
              <w:widowControl/>
              <w:suppressLineNumbers w:val="0"/>
              <w:jc w:val="left"/>
            </w:pPr>
            <w:r>
              <w:rPr>
                <w:rStyle w:val="6"/>
                <w:rFonts w:ascii="宋体" w:hAnsi="宋体" w:eastAsia="宋体" w:cs="宋体"/>
                <w:kern w:val="0"/>
                <w:sz w:val="24"/>
                <w:szCs w:val="24"/>
                <w:lang w:val="en-US" w:eastAsia="zh-CN" w:bidi="ar"/>
              </w:rPr>
              <w:t>75.88%</w:t>
            </w:r>
          </w:p>
        </w:tc>
      </w:tr>
    </w:tbl>
    <w:p w14:paraId="08F4263C">
      <w:pPr>
        <w:pStyle w:val="5"/>
        <w:keepNext w:val="0"/>
        <w:keepLines w:val="0"/>
        <w:widowControl/>
        <w:suppressLineNumbers w:val="0"/>
      </w:pPr>
      <w:r>
        <w:rPr>
          <w:rStyle w:val="6"/>
        </w:rPr>
        <w:t>8. 結論</w:t>
      </w:r>
    </w:p>
    <w:p w14:paraId="66CB5C16">
      <w:pPr>
        <w:pStyle w:val="5"/>
        <w:keepNext w:val="0"/>
        <w:keepLines w:val="0"/>
        <w:widowControl/>
        <w:suppressLineNumbers w:val="0"/>
      </w:pPr>
      <w:r>
        <w:t>這是一個能讓我們深入研究皮馬印第安人糖尿病特殊案例的優秀資料集。透過 EDA 和領域知識的結合，我們獲得了一些關於哪些特徵與糖尿病相關的見解。</w:t>
      </w:r>
    </w:p>
    <w:p w14:paraId="468B4250">
      <w:pPr>
        <w:pStyle w:val="5"/>
        <w:keepNext w:val="0"/>
        <w:keepLines w:val="0"/>
        <w:widowControl/>
        <w:suppressLineNumbers w:val="0"/>
      </w:pPr>
      <w:r>
        <w:rPr>
          <w:rStyle w:val="6"/>
        </w:rPr>
        <w:t>SMOTE 分析被用於資料平衡</w:t>
      </w:r>
      <w:r>
        <w:t>。為了凸顯模型在非平衡和平衡資料上訓練時的性能差異，使用了基於樹的模型（XGBoost 和 LightGBM）進行訓練。</w:t>
      </w:r>
    </w:p>
    <w:p w14:paraId="1DE21E7A">
      <w:pPr>
        <w:pStyle w:val="5"/>
        <w:keepNext w:val="0"/>
        <w:keepLines w:val="0"/>
        <w:widowControl/>
        <w:suppressLineNumbers w:val="0"/>
      </w:pPr>
      <w:r>
        <w:t>結果顯示，LightGBM 和 XGBoost 的性能非常接近。儘管嘗試了堆疊這兩種分類器，但堆疊模型並未超越單獨的模型。</w:t>
      </w:r>
      <w:r>
        <w:rPr>
          <w:rStyle w:val="6"/>
        </w:rPr>
        <w:t>總體而言，當模型在平衡資料集上訓練時，觀察到明顯的性能改進</w:t>
      </w:r>
      <w:r>
        <w:t>。這證實了處理資料不平衡對於提高模型性能的重要性。</w:t>
      </w:r>
    </w:p>
    <w:p w14:paraId="6F2E675B">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DEAC12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20A277"/>
    <w:multiLevelType w:val="multilevel"/>
    <w:tmpl w:val="B520A2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981B341"/>
    <w:multiLevelType w:val="multilevel"/>
    <w:tmpl w:val="C981B3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C642337"/>
    <w:multiLevelType w:val="multilevel"/>
    <w:tmpl w:val="DC6423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31E0BE9"/>
    <w:multiLevelType w:val="multilevel"/>
    <w:tmpl w:val="E31E0B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35A8757"/>
    <w:multiLevelType w:val="multilevel"/>
    <w:tmpl w:val="035A87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7E12AF2"/>
    <w:multiLevelType w:val="multilevel"/>
    <w:tmpl w:val="67E12A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4"/>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02"/>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17FED"/>
    <w:rsid w:val="46817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2025-05-12T06:10:00Z</dcterms:created>
  <dc:creator>jumbo</dc:creator>
  <cp:lastModifiedBy>jumbo</cp:lastModifiedBy>
  <dcterms:modified xsi:type="dcterms:W3CDTF">2025-05-12T06:11:54Z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501C714E6E334CB68B52B3CD180ABF22_11</vt:lpwstr>
  </property>
</Properties>
</file>