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NHS RTT Waiting Times Dashboard</w:t>
      </w:r>
    </w:p>
    <w:p>
      <w:pPr>
        <w:jc w:val="center"/>
      </w:pPr>
      <w:r>
        <w:rPr>
          <w:color w:val="505050"/>
          <w:sz w:val="28"/>
        </w:rPr>
        <w:t>Analysis of Referral to Treatment Incomplete Pathways</w:t>
        <w:br/>
        <w:t>at Integrated Care Board Level</w:t>
      </w:r>
    </w:p>
    <w:p/>
    <w:p>
      <w:pPr>
        <w:jc w:val="center"/>
      </w:pPr>
      <w:r>
        <w:rPr>
          <w:sz w:val="24"/>
        </w:rPr>
        <w:t>October 2022 – March 2026 (41 months)</w:t>
      </w:r>
    </w:p>
    <w:p>
      <w:pPr>
        <w:jc w:val="center"/>
      </w:pPr>
      <w:r>
        <w:rPr>
          <w:color w:val="787878"/>
          <w:sz w:val="20"/>
        </w:rPr>
        <w:t>UK Data Dashboard Project</w:t>
        <w:br/>
        <w:t>Data Analytics Programme — Skill Versed</w:t>
      </w:r>
    </w:p>
    <w:p>
      <w:r>
        <w:br w:type="page"/>
      </w:r>
    </w:p>
    <w:p>
      <w:pPr>
        <w:pStyle w:val="Heading1"/>
      </w:pPr>
      <w:r>
        <w:t>Table of Contents</w:t>
      </w:r>
    </w:p>
    <w:p>
      <w:r>
        <w:t>1. Introduction</w:t>
        <w:br/>
        <w:t>2. Dataset Selection</w:t>
        <w:br/>
        <w:t>3. Dataset Evaluation and Documentation</w:t>
        <w:br/>
        <w:t xml:space="preserve">    3.1 Description</w:t>
        <w:br/>
        <w:t xml:space="preserve">    3.2 Reasons for Selection</w:t>
        <w:br/>
        <w:t xml:space="preserve">    3.3 Key Strengths</w:t>
        <w:br/>
        <w:t xml:space="preserve">    3.4 Insights the Dataset Can Provide</w:t>
        <w:br/>
        <w:t>4. End-Consumer Identification</w:t>
        <w:br/>
        <w:t xml:space="preserve">    4.1 Potential End Users</w:t>
        <w:br/>
        <w:t xml:space="preserve">    4.2 Primary Target Audience</w:t>
        <w:br/>
        <w:t xml:space="preserve">    4.3 Justification</w:t>
        <w:br/>
        <w:t>5. Perspective and Analysis Definition</w:t>
        <w:br/>
        <w:t xml:space="preserve">    5.1 Alternative Perspectives</w:t>
        <w:br/>
        <w:t xml:space="preserve">    5.2 Chosen Perspective</w:t>
        <w:br/>
        <w:t xml:space="preserve">    5.3 Rationale</w:t>
        <w:br/>
        <w:t>6. Key Findings</w:t>
        <w:br/>
        <w:t xml:space="preserve">    6.1 National Overview</w:t>
        <w:br/>
        <w:t xml:space="preserve">    6.2 Waiting List Trends</w:t>
        <w:br/>
        <w:t xml:space="preserve">    6.3 Long-Wait Reduction</w:t>
        <w:br/>
        <w:t xml:space="preserve">    6.4 Specialty Analysis</w:t>
        <w:br/>
        <w:t xml:space="preserve">    6.5 ICB-Level Performance</w:t>
        <w:br/>
        <w:t xml:space="preserve">    6.6 Regional Variation and Improvement</w:t>
        <w:br/>
        <w:t>7. Dashboard Design and Development</w:t>
        <w:br/>
        <w:t xml:space="preserve">    7.1 Layout Decisions</w:t>
        <w:br/>
        <w:t xml:space="preserve">    7.2 Visualisation Choices</w:t>
        <w:br/>
        <w:t xml:space="preserve">    7.3 User Experience Considerations</w:t>
        <w:br/>
        <w:t xml:space="preserve">    7.4 Benefits of This Approach</w:t>
        <w:br/>
        <w:t>8. Conclusion</w:t>
        <w:br/>
        <w:t>9. References</w:t>
      </w:r>
    </w:p>
    <w:p>
      <w:r>
        <w:br w:type="page"/>
      </w:r>
    </w:p>
    <w:p>
      <w:pPr>
        <w:pStyle w:val="Heading1"/>
      </w:pPr>
      <w:r>
        <w:t>1. Introduction</w:t>
      </w:r>
    </w:p>
    <w:p>
      <w:r>
        <w:t>Referral to Treatment (RTT) waiting times are one of the most important measures of NHS performance in England. They track how long patients wait from the point of referral by a GP or other healthcare professional to the start of their treatment. The NHS Constitution sets a standard that 92% of patients on incomplete (non-emergency) pathways should be waiting no more than 18 weeks.</w:t>
      </w:r>
    </w:p>
    <w:p>
      <w:r>
        <w:t>This report analyses RTT incomplete pathway data published by NHS England over 41 months from October 2022 to March 2026. It examines trends at national, specialty, and Integrated Care Board (ICB) levels, with a focus on understanding how waiting list volumes and long-wait cohorts have changed over the period.</w:t>
      </w:r>
    </w:p>
    <w:p>
      <w:r>
        <w:t>The report is structured around the five project requirements set out in the assignment brief: dataset selection, dataset evaluation, end-consumer identification, analytical perspective, and dashboard design. Key findings and a conclusion follow.</w:t>
      </w:r>
    </w:p>
    <w:p>
      <w:pPr>
        <w:pStyle w:val="Heading1"/>
      </w:pPr>
      <w:r>
        <w:t>2. Dataset Selection</w:t>
      </w:r>
    </w:p>
    <w:p>
      <w:r>
        <w:t>The dataset selected for this project is the NHS England Referral to Treatment (RTT) Waiting Times statistics, specifically the “Incomplete Pathways – Commissioner” monthly files. These are published by NHS England and are freely available from:</w:t>
      </w:r>
    </w:p>
    <w:p>
      <w:r>
        <w:t>https://www.england.nhs.uk/statistics/statistical-work-areas/rtt-waiting-times/</w:t>
      </w:r>
    </w:p>
    <w:p>
      <w:r>
        <w:t>This dataset falls within the “Public Services (NHS)” and “Healthcare (hospital performance)” domains recommended in the project brief. NHS England is listed as one of the recommended data sources. The data represents a broad UK domain with clear public and societal relevance — NHS waiting times are regularly reported in national media and directly affect millions of patients.</w:t>
      </w:r>
    </w:p>
    <w:p>
      <w:r>
        <w:t>A total of 41 monthly files were downloaded, covering October 2022 to March 2026. April 2023 was unavailable from the source at the time of collection. Each monthly file is an Excel workbook (.xlsx) containing data at National, Regional, ICB, and Sub-ICB levels, broken down by treatment function (medical specialty).</w:t>
      </w:r>
    </w:p>
    <w:p>
      <w:pPr>
        <w:pStyle w:val="Heading1"/>
      </w:pPr>
      <w:r>
        <w:t>3. Dataset Evaluation and Documentation</w:t>
      </w:r>
    </w:p>
    <w:p>
      <w:pPr>
        <w:pStyle w:val="Heading2"/>
      </w:pPr>
      <w:r>
        <w:t>3.1 Description</w:t>
      </w:r>
    </w:p>
    <w:p>
      <w:r>
        <w:t>The dataset contains monthly counts of patients on incomplete RTT pathways, broken down by week-band (how many weeks they have been waiting). Key fields include:</w:t>
      </w:r>
    </w:p>
    <w:p>
      <w:pPr>
        <w:pStyle w:val="ListBullet"/>
      </w:pPr>
      <w:r>
        <w:t>Time period: 41 months (October 2022 to March 2026).</w:t>
      </w:r>
    </w:p>
    <w:p>
      <w:pPr>
        <w:pStyle w:val="ListBullet"/>
      </w:pPr>
      <w:r>
        <w:t>Geographic scope: All 42 Integrated Care Boards (ICBs) across England.</w:t>
      </w:r>
    </w:p>
    <w:p>
      <w:pPr>
        <w:pStyle w:val="ListBullet"/>
      </w:pPr>
      <w:r>
        <w:t>Granularity: Monthly, per ICB, per treatment function (24 categories including a Total row).</w:t>
      </w:r>
    </w:p>
    <w:p>
      <w:pPr>
        <w:pStyle w:val="ListBullet"/>
      </w:pPr>
      <w:r>
        <w:t>Volume: 41,328 ICB-level rows after processing.</w:t>
      </w:r>
    </w:p>
    <w:p>
      <w:pPr>
        <w:pStyle w:val="ListBullet"/>
      </w:pPr>
      <w:r>
        <w:t>Measures: 104 weekly wait-band columns (&gt;0–1 through &gt;103–104, plus “104 plus”), total incomplete pathways, total within 18 weeks, % within 18 weeks, median waiting time, 92nd percentile waiting time, and long-wait totals (52+, 65+, 78+ weeks).</w:t>
      </w:r>
    </w:p>
    <w:p>
      <w:pPr>
        <w:pStyle w:val="Heading2"/>
      </w:pPr>
      <w:r>
        <w:t>3.2 Reasons for Selection</w:t>
      </w:r>
    </w:p>
    <w:p>
      <w:r>
        <w:t>NHS waiting times were chosen for several reasons:</w:t>
      </w:r>
    </w:p>
    <w:p>
      <w:pPr>
        <w:pStyle w:val="ListBullet"/>
      </w:pPr>
      <w:r>
        <w:t>Relevance: RTT waiting times are the single most-watched NHS performance metric and are central to the government’s elective recovery programme.</w:t>
      </w:r>
    </w:p>
    <w:p>
      <w:pPr>
        <w:pStyle w:val="ListBullet"/>
      </w:pPr>
      <w:r>
        <w:t>Richness: The data supports analysis across time, geography (ICB), and clinical specialty — giving multiple dimensions for dashboard interactivity.</w:t>
      </w:r>
    </w:p>
    <w:p>
      <w:pPr>
        <w:pStyle w:val="ListBullet"/>
      </w:pPr>
      <w:r>
        <w:t>Public interest: Millions of patients are directly affected by waiting times, making this a dataset with genuine societal relevance.</w:t>
      </w:r>
    </w:p>
    <w:p>
      <w:pPr>
        <w:pStyle w:val="ListBullet"/>
      </w:pPr>
      <w:r>
        <w:t>Timeliness: The data is updated monthly, and the files used extend to March 2026 — the most recent available at the time of the project.</w:t>
      </w:r>
    </w:p>
    <w:p>
      <w:pPr>
        <w:pStyle w:val="Heading2"/>
      </w:pPr>
      <w:r>
        <w:t>3.3 Key Strengths</w:t>
      </w:r>
    </w:p>
    <w:p>
      <w:pPr>
        <w:pStyle w:val="ListBullet"/>
      </w:pPr>
      <w:r>
        <w:t>Completeness: Zero null values or missing rows across all 41,328 ICB records. Every ICB reports every specialty in every month.</w:t>
      </w:r>
    </w:p>
    <w:p>
      <w:pPr>
        <w:pStyle w:val="ListBullet"/>
      </w:pPr>
      <w:r>
        <w:t>Consistency: The file structure is identical across all 41 months — same columns, same header layout, same ICB and treatment function codes.</w:t>
      </w:r>
    </w:p>
    <w:p>
      <w:pPr>
        <w:pStyle w:val="ListBullet"/>
      </w:pPr>
      <w:r>
        <w:t>Credibility: Published by NHS England, the official body responsible for commissioning healthcare in England. This is the same data used in parliamentary reporting.</w:t>
      </w:r>
    </w:p>
    <w:p>
      <w:pPr>
        <w:pStyle w:val="ListBullet"/>
      </w:pPr>
      <w:r>
        <w:t>Recency: Data extends to March 2026, providing a current picture of NHS performance.</w:t>
      </w:r>
    </w:p>
    <w:p>
      <w:pPr>
        <w:pStyle w:val="ListBullet"/>
      </w:pPr>
      <w:r>
        <w:t>Accuracy: Wait-band column sums exactly match published totals in every row — verified during the ETL process.</w:t>
      </w:r>
    </w:p>
    <w:p>
      <w:r>
        <w:t>Known caveats (documented by NHS England):</w:t>
      </w:r>
    </w:p>
    <w:p>
      <w:pPr>
        <w:pStyle w:val="ListBullet"/>
      </w:pPr>
      <w:r>
        <w:t>October and November 2022: Missing data for Frimley Health NHS FT (RDU) and Manchester University NHS FT (R0A).</w:t>
      </w:r>
    </w:p>
    <w:p>
      <w:pPr>
        <w:pStyle w:val="ListBullet"/>
      </w:pPr>
      <w:r>
        <w:t>December 2022: Missing data for Manchester University NHS FT (R0A).</w:t>
      </w:r>
    </w:p>
    <w:p>
      <w:pPr>
        <w:pStyle w:val="ListBullet"/>
      </w:pPr>
      <w:r>
        <w:t>April 2023: No file was available from the source at the time of collection.</w:t>
      </w:r>
    </w:p>
    <w:p>
      <w:pPr>
        <w:pStyle w:val="Heading2"/>
      </w:pPr>
      <w:r>
        <w:t>3.4 Insights the Dataset Can Provide</w:t>
      </w:r>
    </w:p>
    <w:p>
      <w:r>
        <w:t>The dataset enables the following types of analysis:</w:t>
      </w:r>
    </w:p>
    <w:p>
      <w:pPr>
        <w:pStyle w:val="ListBullet"/>
      </w:pPr>
      <w:r>
        <w:t>National trend monitoring — how the total waiting list and key metrics (% within 18 weeks, median wait) have changed month by month.</w:t>
      </w:r>
    </w:p>
    <w:p>
      <w:pPr>
        <w:pStyle w:val="ListBullet"/>
      </w:pPr>
      <w:r>
        <w:t>Long-wait elimination tracking — progress against 52-week, 65-week, and 78-week targets.</w:t>
      </w:r>
    </w:p>
    <w:p>
      <w:pPr>
        <w:pStyle w:val="ListBullet"/>
      </w:pPr>
      <w:r>
        <w:t>ICB benchmarking — comparing performance across all 42 ICBs to identify best and worst performers.</w:t>
      </w:r>
    </w:p>
    <w:p>
      <w:pPr>
        <w:pStyle w:val="ListBullet"/>
      </w:pPr>
      <w:r>
        <w:t>Specialty analysis — understanding which clinical specialties carry the largest waiting lists and where performance is weakest.</w:t>
      </w:r>
    </w:p>
    <w:p>
      <w:pPr>
        <w:pStyle w:val="ListBullet"/>
      </w:pPr>
      <w:r>
        <w:t>Year-on-year comparison — measuring improvement or deterioration against the same month in the prior year.</w:t>
      </w:r>
    </w:p>
    <w:p>
      <w:pPr>
        <w:pStyle w:val="Heading1"/>
      </w:pPr>
      <w:r>
        <w:t>4. End-Consumer Identification</w:t>
      </w:r>
    </w:p>
    <w:p>
      <w:pPr>
        <w:pStyle w:val="Heading2"/>
      </w:pPr>
      <w:r>
        <w:t>4.1 Potential End Users</w:t>
      </w:r>
    </w:p>
    <w:p>
      <w:r>
        <w:t>The following stakeholder groups may find this dashboard relevant:</w:t>
      </w:r>
    </w:p>
    <w:p>
      <w:pPr>
        <w:pStyle w:val="ListBullet"/>
      </w:pPr>
      <w:r>
        <w:t>ICB Performance and Planning Teams — responsible for managing local waiting lists, allocating capacity, and reporting to NHS England.</w:t>
      </w:r>
    </w:p>
    <w:p>
      <w:pPr>
        <w:pStyle w:val="ListBullet"/>
      </w:pPr>
      <w:r>
        <w:t>NHS England National Programme Directors — who monitor system-wide progress against elective recovery targets and allocate funding.</w:t>
      </w:r>
    </w:p>
    <w:p>
      <w:pPr>
        <w:pStyle w:val="ListBullet"/>
      </w:pPr>
      <w:r>
        <w:t>Hospital Trust Operational Managers — who manage theatre schedules, outpatient capacity, and specialty-level demand.</w:t>
      </w:r>
    </w:p>
    <w:p>
      <w:pPr>
        <w:pStyle w:val="ListBullet"/>
      </w:pPr>
      <w:r>
        <w:t>Health Select Committee and Policy Advisors — who scrutinise NHS performance and advise on policy interventions.</w:t>
      </w:r>
    </w:p>
    <w:p>
      <w:pPr>
        <w:pStyle w:val="ListBullet"/>
      </w:pPr>
      <w:r>
        <w:t>Healthcare Journalists and Analysts — who report on NHS performance to the public and need accessible, accurate data summaries.</w:t>
      </w:r>
    </w:p>
    <w:p>
      <w:pPr>
        <w:pStyle w:val="Heading2"/>
      </w:pPr>
      <w:r>
        <w:t>4.2 Primary Target Audience</w:t>
      </w:r>
    </w:p>
    <w:p>
      <w:r>
        <w:t>The primary target audience for this dashboard is ICB Performance and Planning Teams. These are the operational decision-makers who directly manage waiting list reduction at the local level.</w:t>
      </w:r>
    </w:p>
    <w:p>
      <w:pPr>
        <w:pStyle w:val="Heading2"/>
      </w:pPr>
      <w:r>
        <w:t>4.3 Justification</w:t>
      </w:r>
    </w:p>
    <w:p>
      <w:r>
        <w:t>ICB teams are the most relevant and valuable audience for this dashboard because they are the primary unit of accountability for elective waiting times since the 2022 ICB restructure. Specifically, they need to:</w:t>
      </w:r>
    </w:p>
    <w:p>
      <w:pPr>
        <w:pStyle w:val="ListBullet"/>
      </w:pPr>
      <w:r>
        <w:t>Benchmark their ICB’s performance against national averages and peer ICBs to understand their relative position.</w:t>
      </w:r>
    </w:p>
    <w:p>
      <w:pPr>
        <w:pStyle w:val="ListBullet"/>
      </w:pPr>
      <w:r>
        <w:t>Identify which specialties are driving long waits in their area, so they can target capacity investment.</w:t>
      </w:r>
    </w:p>
    <w:p>
      <w:pPr>
        <w:pStyle w:val="ListBullet"/>
      </w:pPr>
      <w:r>
        <w:t>Track month-on-month and year-on-year trends to assess whether local interventions (e.g. insourcing, waiting list initiatives) are working.</w:t>
      </w:r>
    </w:p>
    <w:p>
      <w:pPr>
        <w:pStyle w:val="ListBullet"/>
      </w:pPr>
      <w:r>
        <w:t>Report upward to NHS England with evidence-based summaries of progress against national targets.</w:t>
      </w:r>
    </w:p>
    <w:p>
      <w:r>
        <w:t>The dashboard is designed to support all four of these needs through filterable data, comparative charts, pre-computed KPIs, and ranked ICB tables. Other audiences (journalists, policy advisors) benefit from the same dashboard but are secondary users.</w:t>
      </w:r>
    </w:p>
    <w:p>
      <w:pPr>
        <w:pStyle w:val="Heading1"/>
      </w:pPr>
      <w:r>
        <w:t>5. Perspective and Analysis Definition</w:t>
      </w:r>
    </w:p>
    <w:p>
      <w:pPr>
        <w:pStyle w:val="Heading2"/>
      </w:pPr>
      <w:r>
        <w:t>5.1 Alternative Perspectives</w:t>
      </w:r>
    </w:p>
    <w:p>
      <w:r>
        <w:t>The RTT dataset can be analysed from several different angles:</w:t>
      </w:r>
    </w:p>
    <w:p>
      <w:pPr>
        <w:pStyle w:val="ListBullet"/>
      </w:pPr>
      <w:r>
        <w:t>Capacity Planning — focusing on total volumes and demand forecasting to inform staffing and theatre allocation. This perspective would prioritise absolute numbers and growth rates.</w:t>
      </w:r>
    </w:p>
    <w:p>
      <w:pPr>
        <w:pStyle w:val="ListBullet"/>
      </w:pPr>
      <w:r>
        <w:t>Patient Experience — focusing on median and 92nd percentile wait times to understand what patients actually experience. This perspective would prioritise distribution analysis.</w:t>
      </w:r>
    </w:p>
    <w:p>
      <w:pPr>
        <w:pStyle w:val="ListBullet"/>
      </w:pPr>
      <w:r>
        <w:t>Equity and Variation — focusing on geographic disparities between ICBs to highlight inequalities in access to care. This perspective would prioritise ICB-level comparisons and spread.</w:t>
      </w:r>
    </w:p>
    <w:p>
      <w:pPr>
        <w:pStyle w:val="ListBullet"/>
      </w:pPr>
      <w:r>
        <w:t>Elective Recovery Progress — focusing on whether the NHS is meeting its targets to reduce waiting lists and eliminate the longest waits (52+, 65+, 78+ weeks). This perspective combines trend analysis with target tracking.</w:t>
      </w:r>
    </w:p>
    <w:p>
      <w:pPr>
        <w:pStyle w:val="Heading2"/>
      </w:pPr>
      <w:r>
        <w:t>5.2 Chosen Perspective</w:t>
      </w:r>
    </w:p>
    <w:p>
      <w:r>
        <w:t>This dashboard focuses on Elective Recovery Progress. The central question is:</w:t>
      </w:r>
    </w:p>
    <w:p>
      <w:r>
        <w:rPr>
          <w:i/>
        </w:rPr>
        <w:t>“How effectively are ICBs reducing their waiting lists and eliminating long waits since the post-COVID recovery programme began?”</w:t>
      </w:r>
    </w:p>
    <w:p>
      <w:pPr>
        <w:pStyle w:val="Heading2"/>
      </w:pPr>
      <w:r>
        <w:t>5.3 Rationale</w:t>
      </w:r>
    </w:p>
    <w:p>
      <w:r>
        <w:t>This perspective was chosen because it directly aligns with the NHS’s own stated priorities. The 2023 Elective Recovery Plan set explicit targets to eliminate 78-week waits by April 2023, 65-week waits by March 2024, and to make significant progress on 52-week waits. This perspective matters because:</w:t>
      </w:r>
    </w:p>
    <w:p>
      <w:pPr>
        <w:pStyle w:val="ListBullet"/>
      </w:pPr>
      <w:r>
        <w:t>It is the lens through which NHS England itself evaluates ICB performance.</w:t>
      </w:r>
    </w:p>
    <w:p>
      <w:pPr>
        <w:pStyle w:val="ListBullet"/>
      </w:pPr>
      <w:r>
        <w:t>It serves the primary audience (ICB planning teams) by providing actionable insight — not just “where are we now?” but “are we improving, and where should we focus next?”</w:t>
      </w:r>
    </w:p>
    <w:p>
      <w:pPr>
        <w:pStyle w:val="ListBullet"/>
      </w:pPr>
      <w:r>
        <w:t>It informs decisions about resource allocation, specialty-level investment, and waiting list initiatives.</w:t>
      </w:r>
    </w:p>
    <w:p>
      <w:r>
        <w:t>The year-on-year comparison sheet, the best/worst ICB rankings, and the long-wait trend charts all serve this perspective directly.</w:t>
      </w:r>
    </w:p>
    <w:p>
      <w:pPr>
        <w:pStyle w:val="Heading1"/>
      </w:pPr>
      <w:r>
        <w:t>6. Key Findings</w:t>
      </w:r>
    </w:p>
    <w:p>
      <w:pPr>
        <w:pStyle w:val="Heading2"/>
      </w:pPr>
      <w:r>
        <w:t>6.1 National Overview</w:t>
      </w:r>
    </w:p>
    <w:p>
      <w:r>
        <w:t>As of March 2026, a total of 14,029,758 patients were on incomplete RTT pathways nationally. This represents a +0.9% change from 13,910,916 in October 2022. The waiting list peaked at 15,491,568 in 2023-08 before declining gradually.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35"/>
          </w:tcPr>
          <w:p>
            <w:pPr>
              <w:jc w:val="center"/>
            </w:pPr>
            <w:r>
              <w:rPr>
                <w:b/>
                <w:sz w:val="18"/>
              </w:rPr>
              <w:t>Metric</w:t>
            </w:r>
          </w:p>
        </w:tc>
        <w:tc>
          <w:tcPr>
            <w:tcW w:type="dxa" w:w="1984"/>
          </w:tcPr>
          <w:p>
            <w:pPr>
              <w:jc w:val="center"/>
            </w:pPr>
            <w:r>
              <w:rPr>
                <w:b/>
                <w:sz w:val="18"/>
              </w:rPr>
              <w:t>Oct 2022</w:t>
            </w:r>
          </w:p>
        </w:tc>
        <w:tc>
          <w:tcPr>
            <w:tcW w:type="dxa" w:w="1984"/>
          </w:tcPr>
          <w:p>
            <w:pPr>
              <w:jc w:val="center"/>
            </w:pPr>
            <w:r>
              <w:rPr>
                <w:b/>
                <w:sz w:val="18"/>
              </w:rPr>
              <w:t>Mar 2026</w:t>
            </w:r>
          </w:p>
        </w:tc>
        <w:tc>
          <w:tcPr>
            <w:tcW w:type="dxa" w:w="1701"/>
          </w:tcPr>
          <w:p>
            <w:pPr>
              <w:jc w:val="center"/>
            </w:pPr>
            <w:r>
              <w:rPr>
                <w:b/>
                <w:sz w:val="18"/>
              </w:rPr>
              <w:t>Change</w:t>
            </w:r>
          </w:p>
        </w:tc>
      </w:tr>
      <w:tr>
        <w:tc>
          <w:tcPr>
            <w:tcW w:type="dxa" w:w="2835"/>
          </w:tcPr>
          <w:p>
            <w:pPr>
              <w:jc w:val="center"/>
            </w:pPr>
            <w:r>
              <w:rPr>
                <w:sz w:val="18"/>
              </w:rPr>
              <w:t>Total incomplete pathways</w:t>
            </w:r>
          </w:p>
        </w:tc>
        <w:tc>
          <w:tcPr>
            <w:tcW w:type="dxa" w:w="1984"/>
          </w:tcPr>
          <w:p>
            <w:pPr>
              <w:jc w:val="center"/>
            </w:pPr>
            <w:r>
              <w:rPr>
                <w:sz w:val="18"/>
              </w:rPr>
              <w:t>13,910,916</w:t>
            </w:r>
          </w:p>
        </w:tc>
        <w:tc>
          <w:tcPr>
            <w:tcW w:type="dxa" w:w="1984"/>
          </w:tcPr>
          <w:p>
            <w:pPr>
              <w:jc w:val="center"/>
            </w:pPr>
            <w:r>
              <w:rPr>
                <w:sz w:val="18"/>
              </w:rPr>
              <w:t>14,029,758</w:t>
            </w:r>
          </w:p>
        </w:tc>
        <w:tc>
          <w:tcPr>
            <w:tcW w:type="dxa" w:w="1701"/>
          </w:tcPr>
          <w:p>
            <w:pPr>
              <w:jc w:val="center"/>
            </w:pPr>
            <w:r>
              <w:rPr>
                <w:sz w:val="18"/>
              </w:rPr>
              <w:t>+0.9%</w:t>
            </w:r>
          </w:p>
        </w:tc>
      </w:tr>
      <w:tr>
        <w:tc>
          <w:tcPr>
            <w:tcW w:type="dxa" w:w="2835"/>
          </w:tcPr>
          <w:p>
            <w:pPr>
              <w:jc w:val="center"/>
            </w:pPr>
            <w:r>
              <w:rPr>
                <w:sz w:val="18"/>
              </w:rPr>
              <w:t>% within 18 weeks</w:t>
            </w:r>
          </w:p>
        </w:tc>
        <w:tc>
          <w:tcPr>
            <w:tcW w:type="dxa" w:w="1984"/>
          </w:tcPr>
          <w:p>
            <w:pPr>
              <w:jc w:val="center"/>
            </w:pPr>
            <w:r>
              <w:rPr>
                <w:sz w:val="18"/>
              </w:rPr>
              <w:t>60.2%</w:t>
            </w:r>
          </w:p>
        </w:tc>
        <w:tc>
          <w:tcPr>
            <w:tcW w:type="dxa" w:w="1984"/>
          </w:tcPr>
          <w:p>
            <w:pPr>
              <w:jc w:val="center"/>
            </w:pPr>
            <w:r>
              <w:rPr>
                <w:sz w:val="18"/>
              </w:rPr>
              <w:t>65.3%</w:t>
            </w:r>
          </w:p>
        </w:tc>
        <w:tc>
          <w:tcPr>
            <w:tcW w:type="dxa" w:w="1701"/>
          </w:tcPr>
          <w:p>
            <w:pPr>
              <w:jc w:val="center"/>
            </w:pPr>
            <w:r>
              <w:rPr>
                <w:sz w:val="18"/>
              </w:rPr>
              <w:t>+5.1pp</w:t>
            </w:r>
          </w:p>
        </w:tc>
      </w:tr>
      <w:tr>
        <w:tc>
          <w:tcPr>
            <w:tcW w:type="dxa" w:w="2835"/>
          </w:tcPr>
          <w:p>
            <w:pPr>
              <w:jc w:val="center"/>
            </w:pPr>
            <w:r>
              <w:rPr>
                <w:sz w:val="18"/>
              </w:rPr>
              <w:t>52+ week waiters</w:t>
            </w:r>
          </w:p>
        </w:tc>
        <w:tc>
          <w:tcPr>
            <w:tcW w:type="dxa" w:w="1984"/>
          </w:tcPr>
          <w:p>
            <w:pPr>
              <w:jc w:val="center"/>
            </w:pPr>
            <w:r>
              <w:rPr>
                <w:sz w:val="18"/>
              </w:rPr>
              <w:t>768,030</w:t>
            </w:r>
          </w:p>
        </w:tc>
        <w:tc>
          <w:tcPr>
            <w:tcW w:type="dxa" w:w="1984"/>
          </w:tcPr>
          <w:p>
            <w:pPr>
              <w:jc w:val="center"/>
            </w:pPr>
            <w:r>
              <w:rPr>
                <w:sz w:val="18"/>
              </w:rPr>
              <w:t>185,218</w:t>
            </w:r>
          </w:p>
        </w:tc>
        <w:tc>
          <w:tcPr>
            <w:tcW w:type="dxa" w:w="1701"/>
          </w:tcPr>
          <w:p>
            <w:pPr>
              <w:jc w:val="center"/>
            </w:pPr>
            <w:r>
              <w:rPr>
                <w:sz w:val="18"/>
              </w:rPr>
              <w:t>-75.9%</w:t>
            </w:r>
          </w:p>
        </w:tc>
      </w:tr>
      <w:tr>
        <w:tc>
          <w:tcPr>
            <w:tcW w:type="dxa" w:w="2835"/>
          </w:tcPr>
          <w:p>
            <w:pPr>
              <w:jc w:val="center"/>
            </w:pPr>
            <w:r>
              <w:rPr>
                <w:sz w:val="18"/>
              </w:rPr>
              <w:t>65+ week waiters</w:t>
            </w:r>
          </w:p>
        </w:tc>
        <w:tc>
          <w:tcPr>
            <w:tcW w:type="dxa" w:w="1984"/>
          </w:tcPr>
          <w:p>
            <w:pPr>
              <w:jc w:val="center"/>
            </w:pPr>
            <w:r>
              <w:rPr>
                <w:sz w:val="18"/>
              </w:rPr>
              <w:t>314,432</w:t>
            </w:r>
          </w:p>
        </w:tc>
        <w:tc>
          <w:tcPr>
            <w:tcW w:type="dxa" w:w="1984"/>
          </w:tcPr>
          <w:p>
            <w:pPr>
              <w:jc w:val="center"/>
            </w:pPr>
            <w:r>
              <w:rPr>
                <w:sz w:val="18"/>
              </w:rPr>
              <w:t>8,604</w:t>
            </w:r>
          </w:p>
        </w:tc>
        <w:tc>
          <w:tcPr>
            <w:tcW w:type="dxa" w:w="1701"/>
          </w:tcPr>
          <w:p>
            <w:pPr>
              <w:jc w:val="center"/>
            </w:pPr>
            <w:r>
              <w:rPr>
                <w:sz w:val="18"/>
              </w:rPr>
              <w:t>-97.3%</w:t>
            </w:r>
          </w:p>
        </w:tc>
      </w:tr>
      <w:tr>
        <w:tc>
          <w:tcPr>
            <w:tcW w:type="dxa" w:w="2835"/>
          </w:tcPr>
          <w:p>
            <w:pPr>
              <w:jc w:val="center"/>
            </w:pPr>
            <w:r>
              <w:rPr>
                <w:sz w:val="18"/>
              </w:rPr>
              <w:t>78+ week waiters</w:t>
            </w:r>
          </w:p>
        </w:tc>
        <w:tc>
          <w:tcPr>
            <w:tcW w:type="dxa" w:w="1984"/>
          </w:tcPr>
          <w:p>
            <w:pPr>
              <w:jc w:val="center"/>
            </w:pPr>
            <w:r>
              <w:rPr>
                <w:sz w:val="18"/>
              </w:rPr>
              <w:t>92,420</w:t>
            </w:r>
          </w:p>
        </w:tc>
        <w:tc>
          <w:tcPr>
            <w:tcW w:type="dxa" w:w="1984"/>
          </w:tcPr>
          <w:p>
            <w:pPr>
              <w:jc w:val="center"/>
            </w:pPr>
            <w:r>
              <w:rPr>
                <w:sz w:val="18"/>
              </w:rPr>
              <w:t>2,090</w:t>
            </w:r>
          </w:p>
        </w:tc>
        <w:tc>
          <w:tcPr>
            <w:tcW w:type="dxa" w:w="1701"/>
          </w:tcPr>
          <w:p>
            <w:pPr>
              <w:jc w:val="center"/>
            </w:pPr>
            <w:r>
              <w:rPr>
                <w:sz w:val="18"/>
              </w:rPr>
              <w:t>-97.7%</w:t>
            </w:r>
          </w:p>
        </w:tc>
      </w:tr>
    </w:tbl>
    <w:p/>
    <w:p>
      <w:r>
        <w:t>Table 1: National headline RTT metrics, October 2022 vs March 2026.</w:t>
      </w:r>
    </w:p>
    <w:p>
      <w:pPr>
        <w:pStyle w:val="Heading2"/>
      </w:pPr>
      <w:r>
        <w:t>6.2 Waiting List Size Trends</w:t>
      </w:r>
    </w:p>
    <w:p>
      <w:r>
        <w:t>The total waiting list grew from 13,910,916 in October 2022 to a peak of 15,491,568 in August 2023, driven by continued post-pandemic demand outstripping capacity. From this peak, the list declined steadily to 14,029,758 in March 2026 — a reduction of 1,461,810 (9.4%) from peak.</w:t>
      </w:r>
    </w:p>
    <w:p>
      <w:r>
        <w:t>The proportion of patients seen within 18 weeks improved from 60.2% to 65.3% over the period, though this remains well below the 92% constitutional standard.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tcPr>
          <w:p>
            <w:pPr>
              <w:jc w:val="center"/>
            </w:pPr>
            <w:r>
              <w:rPr>
                <w:b/>
                <w:sz w:val="18"/>
              </w:rPr>
              <w:t>Period</w:t>
            </w:r>
          </w:p>
        </w:tc>
        <w:tc>
          <w:tcPr>
            <w:tcW w:type="dxa" w:w="1984"/>
          </w:tcPr>
          <w:p>
            <w:pPr>
              <w:jc w:val="center"/>
            </w:pPr>
            <w:r>
              <w:rPr>
                <w:b/>
                <w:sz w:val="18"/>
              </w:rPr>
              <w:t>Total Pathways</w:t>
            </w:r>
          </w:p>
        </w:tc>
        <w:tc>
          <w:tcPr>
            <w:tcW w:type="dxa" w:w="1701"/>
          </w:tcPr>
          <w:p>
            <w:pPr>
              <w:jc w:val="center"/>
            </w:pPr>
            <w:r>
              <w:rPr>
                <w:b/>
                <w:sz w:val="18"/>
              </w:rPr>
              <w:t>% Within 18w</w:t>
            </w:r>
          </w:p>
        </w:tc>
        <w:tc>
          <w:tcPr>
            <w:tcW w:type="dxa" w:w="1984"/>
          </w:tcPr>
          <w:p>
            <w:pPr>
              <w:jc w:val="center"/>
            </w:pPr>
            <w:r>
              <w:rPr>
                <w:b/>
                <w:sz w:val="18"/>
              </w:rPr>
              <w:t>52+ Waiters</w:t>
            </w:r>
          </w:p>
        </w:tc>
        <w:tc>
          <w:tcPr>
            <w:tcW w:type="dxa" w:w="1701"/>
          </w:tcPr>
          <w:p>
            <w:pPr>
              <w:jc w:val="center"/>
            </w:pPr>
            <w:r>
              <w:rPr>
                <w:b/>
                <w:sz w:val="18"/>
              </w:rPr>
              <w:t>% 52+ Weeks</w:t>
            </w:r>
          </w:p>
        </w:tc>
      </w:tr>
      <w:tr>
        <w:tc>
          <w:tcPr>
            <w:tcW w:type="dxa" w:w="1417"/>
          </w:tcPr>
          <w:p>
            <w:pPr>
              <w:jc w:val="center"/>
            </w:pPr>
            <w:r>
              <w:rPr>
                <w:sz w:val="18"/>
              </w:rPr>
              <w:t>2022-10</w:t>
            </w:r>
          </w:p>
        </w:tc>
        <w:tc>
          <w:tcPr>
            <w:tcW w:type="dxa" w:w="1984"/>
          </w:tcPr>
          <w:p>
            <w:pPr>
              <w:jc w:val="center"/>
            </w:pPr>
            <w:r>
              <w:rPr>
                <w:sz w:val="18"/>
              </w:rPr>
              <w:t>13,910,916</w:t>
            </w:r>
          </w:p>
        </w:tc>
        <w:tc>
          <w:tcPr>
            <w:tcW w:type="dxa" w:w="1701"/>
          </w:tcPr>
          <w:p>
            <w:pPr>
              <w:jc w:val="center"/>
            </w:pPr>
            <w:r>
              <w:rPr>
                <w:sz w:val="18"/>
              </w:rPr>
              <w:t>60.2%</w:t>
            </w:r>
          </w:p>
        </w:tc>
        <w:tc>
          <w:tcPr>
            <w:tcW w:type="dxa" w:w="1984"/>
          </w:tcPr>
          <w:p>
            <w:pPr>
              <w:jc w:val="center"/>
            </w:pPr>
            <w:r>
              <w:rPr>
                <w:sz w:val="18"/>
              </w:rPr>
              <w:t>768,030</w:t>
            </w:r>
          </w:p>
        </w:tc>
        <w:tc>
          <w:tcPr>
            <w:tcW w:type="dxa" w:w="1701"/>
          </w:tcPr>
          <w:p>
            <w:pPr>
              <w:jc w:val="center"/>
            </w:pPr>
            <w:r>
              <w:rPr>
                <w:sz w:val="18"/>
              </w:rPr>
              <w:t>5.52%</w:t>
            </w:r>
          </w:p>
        </w:tc>
      </w:tr>
      <w:tr>
        <w:tc>
          <w:tcPr>
            <w:tcW w:type="dxa" w:w="1417"/>
          </w:tcPr>
          <w:p>
            <w:pPr>
              <w:jc w:val="center"/>
            </w:pPr>
            <w:r>
              <w:rPr>
                <w:sz w:val="18"/>
              </w:rPr>
              <w:t>2023-02</w:t>
            </w:r>
          </w:p>
        </w:tc>
        <w:tc>
          <w:tcPr>
            <w:tcW w:type="dxa" w:w="1984"/>
          </w:tcPr>
          <w:p>
            <w:pPr>
              <w:jc w:val="center"/>
            </w:pPr>
            <w:r>
              <w:rPr>
                <w:sz w:val="18"/>
              </w:rPr>
              <w:t>14,435,742</w:t>
            </w:r>
          </w:p>
        </w:tc>
        <w:tc>
          <w:tcPr>
            <w:tcW w:type="dxa" w:w="1701"/>
          </w:tcPr>
          <w:p>
            <w:pPr>
              <w:jc w:val="center"/>
            </w:pPr>
            <w:r>
              <w:rPr>
                <w:sz w:val="18"/>
              </w:rPr>
              <w:t>58.5%</w:t>
            </w:r>
          </w:p>
        </w:tc>
        <w:tc>
          <w:tcPr>
            <w:tcW w:type="dxa" w:w="1984"/>
          </w:tcPr>
          <w:p>
            <w:pPr>
              <w:jc w:val="center"/>
            </w:pPr>
            <w:r>
              <w:rPr>
                <w:sz w:val="18"/>
              </w:rPr>
              <w:t>724,868</w:t>
            </w:r>
          </w:p>
        </w:tc>
        <w:tc>
          <w:tcPr>
            <w:tcW w:type="dxa" w:w="1701"/>
          </w:tcPr>
          <w:p>
            <w:pPr>
              <w:jc w:val="center"/>
            </w:pPr>
            <w:r>
              <w:rPr>
                <w:sz w:val="18"/>
              </w:rPr>
              <w:t>5.02%</w:t>
            </w:r>
          </w:p>
        </w:tc>
      </w:tr>
      <w:tr>
        <w:tc>
          <w:tcPr>
            <w:tcW w:type="dxa" w:w="1417"/>
          </w:tcPr>
          <w:p>
            <w:pPr>
              <w:jc w:val="center"/>
            </w:pPr>
            <w:r>
              <w:rPr>
                <w:sz w:val="18"/>
              </w:rPr>
              <w:t>2023-08</w:t>
            </w:r>
          </w:p>
        </w:tc>
        <w:tc>
          <w:tcPr>
            <w:tcW w:type="dxa" w:w="1984"/>
          </w:tcPr>
          <w:p>
            <w:pPr>
              <w:jc w:val="center"/>
            </w:pPr>
            <w:r>
              <w:rPr>
                <w:sz w:val="18"/>
              </w:rPr>
              <w:t>15,491,568</w:t>
            </w:r>
          </w:p>
        </w:tc>
        <w:tc>
          <w:tcPr>
            <w:tcW w:type="dxa" w:w="1701"/>
          </w:tcPr>
          <w:p>
            <w:pPr>
              <w:jc w:val="center"/>
            </w:pPr>
            <w:r>
              <w:rPr>
                <w:sz w:val="18"/>
              </w:rPr>
              <w:t>58.0%</w:t>
            </w:r>
          </w:p>
        </w:tc>
        <w:tc>
          <w:tcPr>
            <w:tcW w:type="dxa" w:w="1984"/>
          </w:tcPr>
          <w:p>
            <w:pPr>
              <w:jc w:val="center"/>
            </w:pPr>
            <w:r>
              <w:rPr>
                <w:sz w:val="18"/>
              </w:rPr>
              <w:t>790,340</w:t>
            </w:r>
          </w:p>
        </w:tc>
        <w:tc>
          <w:tcPr>
            <w:tcW w:type="dxa" w:w="1701"/>
          </w:tcPr>
          <w:p>
            <w:pPr>
              <w:jc w:val="center"/>
            </w:pPr>
            <w:r>
              <w:rPr>
                <w:sz w:val="18"/>
              </w:rPr>
              <w:t>5.10%</w:t>
            </w:r>
          </w:p>
        </w:tc>
      </w:tr>
      <w:tr>
        <w:tc>
          <w:tcPr>
            <w:tcW w:type="dxa" w:w="1417"/>
          </w:tcPr>
          <w:p>
            <w:pPr>
              <w:jc w:val="center"/>
            </w:pPr>
            <w:r>
              <w:rPr>
                <w:sz w:val="18"/>
              </w:rPr>
              <w:t>2024-03</w:t>
            </w:r>
          </w:p>
        </w:tc>
        <w:tc>
          <w:tcPr>
            <w:tcW w:type="dxa" w:w="1984"/>
          </w:tcPr>
          <w:p>
            <w:pPr>
              <w:jc w:val="center"/>
            </w:pPr>
            <w:r>
              <w:rPr>
                <w:sz w:val="18"/>
              </w:rPr>
              <w:t>15,077,660</w:t>
            </w:r>
          </w:p>
        </w:tc>
        <w:tc>
          <w:tcPr>
            <w:tcW w:type="dxa" w:w="1701"/>
          </w:tcPr>
          <w:p>
            <w:pPr>
              <w:jc w:val="center"/>
            </w:pPr>
            <w:r>
              <w:rPr>
                <w:sz w:val="18"/>
              </w:rPr>
              <w:t>57.2%</w:t>
            </w:r>
          </w:p>
        </w:tc>
        <w:tc>
          <w:tcPr>
            <w:tcW w:type="dxa" w:w="1984"/>
          </w:tcPr>
          <w:p>
            <w:pPr>
              <w:jc w:val="center"/>
            </w:pPr>
            <w:r>
              <w:rPr>
                <w:sz w:val="18"/>
              </w:rPr>
              <w:t>618,598</w:t>
            </w:r>
          </w:p>
        </w:tc>
        <w:tc>
          <w:tcPr>
            <w:tcW w:type="dxa" w:w="1701"/>
          </w:tcPr>
          <w:p>
            <w:pPr>
              <w:jc w:val="center"/>
            </w:pPr>
            <w:r>
              <w:rPr>
                <w:sz w:val="18"/>
              </w:rPr>
              <w:t>4.10%</w:t>
            </w:r>
          </w:p>
        </w:tc>
      </w:tr>
      <w:tr>
        <w:tc>
          <w:tcPr>
            <w:tcW w:type="dxa" w:w="1417"/>
          </w:tcPr>
          <w:p>
            <w:pPr>
              <w:jc w:val="center"/>
            </w:pPr>
            <w:r>
              <w:rPr>
                <w:sz w:val="18"/>
              </w:rPr>
              <w:t>2024-09</w:t>
            </w:r>
          </w:p>
        </w:tc>
        <w:tc>
          <w:tcPr>
            <w:tcW w:type="dxa" w:w="1984"/>
          </w:tcPr>
          <w:p>
            <w:pPr>
              <w:jc w:val="center"/>
            </w:pPr>
            <w:r>
              <w:rPr>
                <w:sz w:val="18"/>
              </w:rPr>
              <w:t>15,143,098</w:t>
            </w:r>
          </w:p>
        </w:tc>
        <w:tc>
          <w:tcPr>
            <w:tcW w:type="dxa" w:w="1701"/>
          </w:tcPr>
          <w:p>
            <w:pPr>
              <w:jc w:val="center"/>
            </w:pPr>
            <w:r>
              <w:rPr>
                <w:sz w:val="18"/>
              </w:rPr>
              <w:t>58.5%</w:t>
            </w:r>
          </w:p>
        </w:tc>
        <w:tc>
          <w:tcPr>
            <w:tcW w:type="dxa" w:w="1984"/>
          </w:tcPr>
          <w:p>
            <w:pPr>
              <w:jc w:val="center"/>
            </w:pPr>
            <w:r>
              <w:rPr>
                <w:sz w:val="18"/>
              </w:rPr>
              <w:t>498,048</w:t>
            </w:r>
          </w:p>
        </w:tc>
        <w:tc>
          <w:tcPr>
            <w:tcW w:type="dxa" w:w="1701"/>
          </w:tcPr>
          <w:p>
            <w:pPr>
              <w:jc w:val="center"/>
            </w:pPr>
            <w:r>
              <w:rPr>
                <w:sz w:val="18"/>
              </w:rPr>
              <w:t>3.29%</w:t>
            </w:r>
          </w:p>
        </w:tc>
      </w:tr>
      <w:tr>
        <w:tc>
          <w:tcPr>
            <w:tcW w:type="dxa" w:w="1417"/>
          </w:tcPr>
          <w:p>
            <w:pPr>
              <w:jc w:val="center"/>
            </w:pPr>
            <w:r>
              <w:rPr>
                <w:sz w:val="18"/>
              </w:rPr>
              <w:t>2025-03</w:t>
            </w:r>
          </w:p>
        </w:tc>
        <w:tc>
          <w:tcPr>
            <w:tcW w:type="dxa" w:w="1984"/>
          </w:tcPr>
          <w:p>
            <w:pPr>
              <w:jc w:val="center"/>
            </w:pPr>
            <w:r>
              <w:rPr>
                <w:sz w:val="18"/>
              </w:rPr>
              <w:t>14,837,196</w:t>
            </w:r>
          </w:p>
        </w:tc>
        <w:tc>
          <w:tcPr>
            <w:tcW w:type="dxa" w:w="1701"/>
          </w:tcPr>
          <w:p>
            <w:pPr>
              <w:jc w:val="center"/>
            </w:pPr>
            <w:r>
              <w:rPr>
                <w:sz w:val="18"/>
              </w:rPr>
              <w:t>59.8%</w:t>
            </w:r>
          </w:p>
        </w:tc>
        <w:tc>
          <w:tcPr>
            <w:tcW w:type="dxa" w:w="1984"/>
          </w:tcPr>
          <w:p>
            <w:pPr>
              <w:jc w:val="center"/>
            </w:pPr>
            <w:r>
              <w:rPr>
                <w:sz w:val="18"/>
              </w:rPr>
              <w:t>360,486</w:t>
            </w:r>
          </w:p>
        </w:tc>
        <w:tc>
          <w:tcPr>
            <w:tcW w:type="dxa" w:w="1701"/>
          </w:tcPr>
          <w:p>
            <w:pPr>
              <w:jc w:val="center"/>
            </w:pPr>
            <w:r>
              <w:rPr>
                <w:sz w:val="18"/>
              </w:rPr>
              <w:t>2.43%</w:t>
            </w:r>
          </w:p>
        </w:tc>
      </w:tr>
      <w:tr>
        <w:tc>
          <w:tcPr>
            <w:tcW w:type="dxa" w:w="1417"/>
          </w:tcPr>
          <w:p>
            <w:pPr>
              <w:jc w:val="center"/>
            </w:pPr>
            <w:r>
              <w:rPr>
                <w:sz w:val="18"/>
              </w:rPr>
              <w:t>2025-09</w:t>
            </w:r>
          </w:p>
        </w:tc>
        <w:tc>
          <w:tcPr>
            <w:tcW w:type="dxa" w:w="1984"/>
          </w:tcPr>
          <w:p>
            <w:pPr>
              <w:jc w:val="center"/>
            </w:pPr>
            <w:r>
              <w:rPr>
                <w:sz w:val="18"/>
              </w:rPr>
              <w:t>14,593,786</w:t>
            </w:r>
          </w:p>
        </w:tc>
        <w:tc>
          <w:tcPr>
            <w:tcW w:type="dxa" w:w="1701"/>
          </w:tcPr>
          <w:p>
            <w:pPr>
              <w:jc w:val="center"/>
            </w:pPr>
            <w:r>
              <w:rPr>
                <w:sz w:val="18"/>
              </w:rPr>
              <w:t>61.7%</w:t>
            </w:r>
          </w:p>
        </w:tc>
        <w:tc>
          <w:tcPr>
            <w:tcW w:type="dxa" w:w="1984"/>
          </w:tcPr>
          <w:p>
            <w:pPr>
              <w:jc w:val="center"/>
            </w:pPr>
            <w:r>
              <w:rPr>
                <w:sz w:val="18"/>
              </w:rPr>
              <w:t>357,064</w:t>
            </w:r>
          </w:p>
        </w:tc>
        <w:tc>
          <w:tcPr>
            <w:tcW w:type="dxa" w:w="1701"/>
          </w:tcPr>
          <w:p>
            <w:pPr>
              <w:jc w:val="center"/>
            </w:pPr>
            <w:r>
              <w:rPr>
                <w:sz w:val="18"/>
              </w:rPr>
              <w:t>2.45%</w:t>
            </w:r>
          </w:p>
        </w:tc>
      </w:tr>
      <w:tr>
        <w:tc>
          <w:tcPr>
            <w:tcW w:type="dxa" w:w="1417"/>
          </w:tcPr>
          <w:p>
            <w:pPr>
              <w:jc w:val="center"/>
            </w:pPr>
            <w:r>
              <w:rPr>
                <w:sz w:val="18"/>
              </w:rPr>
              <w:t>2026-03</w:t>
            </w:r>
          </w:p>
        </w:tc>
        <w:tc>
          <w:tcPr>
            <w:tcW w:type="dxa" w:w="1984"/>
          </w:tcPr>
          <w:p>
            <w:pPr>
              <w:jc w:val="center"/>
            </w:pPr>
            <w:r>
              <w:rPr>
                <w:sz w:val="18"/>
              </w:rPr>
              <w:t>14,029,758</w:t>
            </w:r>
          </w:p>
        </w:tc>
        <w:tc>
          <w:tcPr>
            <w:tcW w:type="dxa" w:w="1701"/>
          </w:tcPr>
          <w:p>
            <w:pPr>
              <w:jc w:val="center"/>
            </w:pPr>
            <w:r>
              <w:rPr>
                <w:sz w:val="18"/>
              </w:rPr>
              <w:t>65.3%</w:t>
            </w:r>
          </w:p>
        </w:tc>
        <w:tc>
          <w:tcPr>
            <w:tcW w:type="dxa" w:w="1984"/>
          </w:tcPr>
          <w:p>
            <w:pPr>
              <w:jc w:val="center"/>
            </w:pPr>
            <w:r>
              <w:rPr>
                <w:sz w:val="18"/>
              </w:rPr>
              <w:t>185,218</w:t>
            </w:r>
          </w:p>
        </w:tc>
        <w:tc>
          <w:tcPr>
            <w:tcW w:type="dxa" w:w="1701"/>
          </w:tcPr>
          <w:p>
            <w:pPr>
              <w:jc w:val="center"/>
            </w:pPr>
            <w:r>
              <w:rPr>
                <w:sz w:val="18"/>
              </w:rPr>
              <w:t>1.32%</w:t>
            </w:r>
          </w:p>
        </w:tc>
      </w:tr>
    </w:tbl>
    <w:p/>
    <w:p>
      <w:r>
        <w:t>Table 2: Waiting list trajectory at selected time points.</w:t>
      </w:r>
    </w:p>
    <w:p>
      <w:pPr>
        <w:pStyle w:val="Heading2"/>
      </w:pPr>
      <w:r>
        <w:t>6.3 Long-Wait Reduction</w:t>
      </w:r>
    </w:p>
    <w:p>
      <w:r>
        <w:t>The most significant achievement over the analysis period has been the dramatic reduction in the longest-waiting cohorts:</w:t>
      </w:r>
    </w:p>
    <w:p>
      <w:pPr>
        <w:pStyle w:val="ListBullet"/>
      </w:pPr>
      <w:r>
        <w:t>78+ week waiters fell by 97.7%, from 92,420 to 2,090.</w:t>
      </w:r>
    </w:p>
    <w:p>
      <w:pPr>
        <w:pStyle w:val="ListBullet"/>
      </w:pPr>
      <w:r>
        <w:t>65+ week waiters fell by 97.3%, from 314,432 to 8,604.</w:t>
      </w:r>
    </w:p>
    <w:p>
      <w:pPr>
        <w:pStyle w:val="ListBullet"/>
      </w:pPr>
      <w:r>
        <w:t>52+ week waiters fell by 75.9%, from 768,030 to 185,218.</w:t>
      </w:r>
    </w:p>
    <w:p>
      <w:r>
        <w:t>This reflects the NHS’s stated priority of eliminating the longest waits first, with successive targets to eliminate 104-week, 78-week, and 65-week waits. The data confirms substantial progress against all three.</w:t>
      </w:r>
    </w:p>
    <w:p>
      <w:pPr>
        <w:pStyle w:val="Heading2"/>
      </w:pPr>
      <w:r>
        <w:t>6.4 Specialty Analysis</w:t>
      </w:r>
    </w:p>
    <w:p>
      <w:r>
        <w:t>Performance varies considerably across treatment functions. As of March 2026:</w:t>
      </w:r>
    </w:p>
    <w:tbl>
      <w:tblPr>
        <w:tblStyle w:val="LightGrid-Accent1"/>
        <w:tblW w:type="auto" w:w="0"/>
        <w:jc w:val="center"/>
        <w:tblLook w:firstColumn="1" w:firstRow="1" w:lastColumn="0" w:lastRow="0" w:noHBand="0" w:noVBand="1" w:val="04A0"/>
      </w:tblPr>
      <w:tblGrid>
        <w:gridCol w:w="2880"/>
        <w:gridCol w:w="2880"/>
        <w:gridCol w:w="2880"/>
      </w:tblGrid>
      <w:tr>
        <w:tc>
          <w:tcPr>
            <w:tcW w:type="dxa" w:w="3969"/>
          </w:tcPr>
          <w:p>
            <w:pPr>
              <w:jc w:val="center"/>
            </w:pPr>
            <w:r>
              <w:rPr>
                <w:b/>
                <w:sz w:val="18"/>
              </w:rPr>
              <w:t>Specialty</w:t>
            </w:r>
          </w:p>
        </w:tc>
        <w:tc>
          <w:tcPr>
            <w:tcW w:type="dxa" w:w="1984"/>
          </w:tcPr>
          <w:p>
            <w:pPr>
              <w:jc w:val="center"/>
            </w:pPr>
            <w:r>
              <w:rPr>
                <w:b/>
                <w:sz w:val="18"/>
              </w:rPr>
              <w:t>Total Pathways</w:t>
            </w:r>
          </w:p>
        </w:tc>
        <w:tc>
          <w:tcPr>
            <w:tcW w:type="dxa" w:w="1701"/>
          </w:tcPr>
          <w:p>
            <w:pPr>
              <w:jc w:val="center"/>
            </w:pPr>
            <w:r>
              <w:rPr>
                <w:b/>
                <w:sz w:val="18"/>
              </w:rPr>
              <w:t>% Within 18w</w:t>
            </w:r>
          </w:p>
        </w:tc>
      </w:tr>
      <w:tr>
        <w:tc>
          <w:tcPr>
            <w:tcW w:type="dxa" w:w="3969"/>
          </w:tcPr>
          <w:p>
            <w:pPr>
              <w:jc w:val="center"/>
            </w:pPr>
            <w:r>
              <w:rPr>
                <w:sz w:val="18"/>
              </w:rPr>
              <w:t>Oral Surgery Service</w:t>
            </w:r>
          </w:p>
        </w:tc>
        <w:tc>
          <w:tcPr>
            <w:tcW w:type="dxa" w:w="1984"/>
          </w:tcPr>
          <w:p>
            <w:pPr>
              <w:jc w:val="center"/>
            </w:pPr>
            <w:r>
              <w:rPr>
                <w:sz w:val="18"/>
              </w:rPr>
              <w:t>319,889</w:t>
            </w:r>
          </w:p>
        </w:tc>
        <w:tc>
          <w:tcPr>
            <w:tcW w:type="dxa" w:w="1701"/>
          </w:tcPr>
          <w:p>
            <w:pPr>
              <w:jc w:val="center"/>
            </w:pPr>
            <w:r>
              <w:rPr>
                <w:sz w:val="18"/>
              </w:rPr>
              <w:t>55.6%</w:t>
            </w:r>
          </w:p>
        </w:tc>
      </w:tr>
      <w:tr>
        <w:tc>
          <w:tcPr>
            <w:tcW w:type="dxa" w:w="3969"/>
          </w:tcPr>
          <w:p>
            <w:pPr>
              <w:jc w:val="center"/>
            </w:pPr>
            <w:r>
              <w:rPr>
                <w:sz w:val="18"/>
              </w:rPr>
              <w:t>Plastic Surgery Service</w:t>
            </w:r>
          </w:p>
        </w:tc>
        <w:tc>
          <w:tcPr>
            <w:tcW w:type="dxa" w:w="1984"/>
          </w:tcPr>
          <w:p>
            <w:pPr>
              <w:jc w:val="center"/>
            </w:pPr>
            <w:r>
              <w:rPr>
                <w:sz w:val="18"/>
              </w:rPr>
              <w:t>100,368</w:t>
            </w:r>
          </w:p>
        </w:tc>
        <w:tc>
          <w:tcPr>
            <w:tcW w:type="dxa" w:w="1701"/>
          </w:tcPr>
          <w:p>
            <w:pPr>
              <w:jc w:val="center"/>
            </w:pPr>
            <w:r>
              <w:rPr>
                <w:sz w:val="18"/>
              </w:rPr>
              <w:t>56.7%</w:t>
            </w:r>
          </w:p>
        </w:tc>
      </w:tr>
      <w:tr>
        <w:tc>
          <w:tcPr>
            <w:tcW w:type="dxa" w:w="3969"/>
          </w:tcPr>
          <w:p>
            <w:pPr>
              <w:jc w:val="center"/>
            </w:pPr>
            <w:r>
              <w:rPr>
                <w:sz w:val="18"/>
              </w:rPr>
              <w:t>Ear Nose and Throat Service</w:t>
            </w:r>
          </w:p>
        </w:tc>
        <w:tc>
          <w:tcPr>
            <w:tcW w:type="dxa" w:w="1984"/>
          </w:tcPr>
          <w:p>
            <w:pPr>
              <w:jc w:val="center"/>
            </w:pPr>
            <w:r>
              <w:rPr>
                <w:sz w:val="18"/>
              </w:rPr>
              <w:t>579,154</w:t>
            </w:r>
          </w:p>
        </w:tc>
        <w:tc>
          <w:tcPr>
            <w:tcW w:type="dxa" w:w="1701"/>
          </w:tcPr>
          <w:p>
            <w:pPr>
              <w:jc w:val="center"/>
            </w:pPr>
            <w:r>
              <w:rPr>
                <w:sz w:val="18"/>
              </w:rPr>
              <w:t>58.4%</w:t>
            </w:r>
          </w:p>
        </w:tc>
      </w:tr>
      <w:tr>
        <w:tc>
          <w:tcPr>
            <w:tcW w:type="dxa" w:w="3969"/>
          </w:tcPr>
          <w:p>
            <w:pPr>
              <w:jc w:val="center"/>
            </w:pPr>
            <w:r>
              <w:rPr>
                <w:sz w:val="18"/>
              </w:rPr>
              <w:t>Trauma and Orthopaedic Service</w:t>
            </w:r>
          </w:p>
        </w:tc>
        <w:tc>
          <w:tcPr>
            <w:tcW w:type="dxa" w:w="1984"/>
          </w:tcPr>
          <w:p>
            <w:pPr>
              <w:jc w:val="center"/>
            </w:pPr>
            <w:r>
              <w:rPr>
                <w:sz w:val="18"/>
              </w:rPr>
              <w:t>818,009</w:t>
            </w:r>
          </w:p>
        </w:tc>
        <w:tc>
          <w:tcPr>
            <w:tcW w:type="dxa" w:w="1701"/>
          </w:tcPr>
          <w:p>
            <w:pPr>
              <w:jc w:val="center"/>
            </w:pPr>
            <w:r>
              <w:rPr>
                <w:sz w:val="18"/>
              </w:rPr>
              <w:t>59.4%</w:t>
            </w:r>
          </w:p>
        </w:tc>
      </w:tr>
      <w:tr>
        <w:tc>
          <w:tcPr>
            <w:tcW w:type="dxa" w:w="3969"/>
          </w:tcPr>
          <w:p>
            <w:pPr>
              <w:jc w:val="center"/>
            </w:pPr>
            <w:r>
              <w:rPr>
                <w:sz w:val="18"/>
              </w:rPr>
              <w:t>Neurology Service</w:t>
            </w:r>
          </w:p>
        </w:tc>
        <w:tc>
          <w:tcPr>
            <w:tcW w:type="dxa" w:w="1984"/>
          </w:tcPr>
          <w:p>
            <w:pPr>
              <w:jc w:val="center"/>
            </w:pPr>
            <w:r>
              <w:rPr>
                <w:sz w:val="18"/>
              </w:rPr>
              <w:t>205,990</w:t>
            </w:r>
          </w:p>
        </w:tc>
        <w:tc>
          <w:tcPr>
            <w:tcW w:type="dxa" w:w="1701"/>
          </w:tcPr>
          <w:p>
            <w:pPr>
              <w:jc w:val="center"/>
            </w:pPr>
            <w:r>
              <w:rPr>
                <w:sz w:val="18"/>
              </w:rPr>
              <w:t>60.7%</w:t>
            </w:r>
          </w:p>
        </w:tc>
      </w:tr>
    </w:tbl>
    <w:p/>
    <w:p>
      <w:r>
        <w:t>Table 3: Worst-performing specialties (March 2026).</w:t>
      </w:r>
    </w:p>
    <w:tbl>
      <w:tblPr>
        <w:tblStyle w:val="LightGrid-Accent1"/>
        <w:tblW w:type="auto" w:w="0"/>
        <w:jc w:val="center"/>
        <w:tblLook w:firstColumn="1" w:firstRow="1" w:lastColumn="0" w:lastRow="0" w:noHBand="0" w:noVBand="1" w:val="04A0"/>
      </w:tblPr>
      <w:tblGrid>
        <w:gridCol w:w="2880"/>
        <w:gridCol w:w="2880"/>
        <w:gridCol w:w="2880"/>
      </w:tblGrid>
      <w:tr>
        <w:tc>
          <w:tcPr>
            <w:tcW w:type="dxa" w:w="3969"/>
          </w:tcPr>
          <w:p>
            <w:pPr>
              <w:jc w:val="center"/>
            </w:pPr>
            <w:r>
              <w:rPr>
                <w:b/>
                <w:sz w:val="18"/>
              </w:rPr>
              <w:t>Specialty</w:t>
            </w:r>
          </w:p>
        </w:tc>
        <w:tc>
          <w:tcPr>
            <w:tcW w:type="dxa" w:w="1984"/>
          </w:tcPr>
          <w:p>
            <w:pPr>
              <w:jc w:val="center"/>
            </w:pPr>
            <w:r>
              <w:rPr>
                <w:b/>
                <w:sz w:val="18"/>
              </w:rPr>
              <w:t>Total Pathways</w:t>
            </w:r>
          </w:p>
        </w:tc>
        <w:tc>
          <w:tcPr>
            <w:tcW w:type="dxa" w:w="1701"/>
          </w:tcPr>
          <w:p>
            <w:pPr>
              <w:jc w:val="center"/>
            </w:pPr>
            <w:r>
              <w:rPr>
                <w:b/>
                <w:sz w:val="18"/>
              </w:rPr>
              <w:t>% Within 18w</w:t>
            </w:r>
          </w:p>
        </w:tc>
      </w:tr>
      <w:tr>
        <w:tc>
          <w:tcPr>
            <w:tcW w:type="dxa" w:w="3969"/>
          </w:tcPr>
          <w:p>
            <w:pPr>
              <w:jc w:val="center"/>
            </w:pPr>
            <w:r>
              <w:rPr>
                <w:sz w:val="18"/>
              </w:rPr>
              <w:t>Elderly Medicine Service</w:t>
            </w:r>
          </w:p>
        </w:tc>
        <w:tc>
          <w:tcPr>
            <w:tcW w:type="dxa" w:w="1984"/>
          </w:tcPr>
          <w:p>
            <w:pPr>
              <w:jc w:val="center"/>
            </w:pPr>
            <w:r>
              <w:rPr>
                <w:sz w:val="18"/>
              </w:rPr>
              <w:t>26,002</w:t>
            </w:r>
          </w:p>
        </w:tc>
        <w:tc>
          <w:tcPr>
            <w:tcW w:type="dxa" w:w="1701"/>
          </w:tcPr>
          <w:p>
            <w:pPr>
              <w:jc w:val="center"/>
            </w:pPr>
            <w:r>
              <w:rPr>
                <w:sz w:val="18"/>
              </w:rPr>
              <w:t>82.8%</w:t>
            </w:r>
          </w:p>
        </w:tc>
      </w:tr>
      <w:tr>
        <w:tc>
          <w:tcPr>
            <w:tcW w:type="dxa" w:w="3969"/>
          </w:tcPr>
          <w:p>
            <w:pPr>
              <w:jc w:val="center"/>
            </w:pPr>
            <w:r>
              <w:rPr>
                <w:sz w:val="18"/>
              </w:rPr>
              <w:t>Mental Health Services</w:t>
            </w:r>
          </w:p>
        </w:tc>
        <w:tc>
          <w:tcPr>
            <w:tcW w:type="dxa" w:w="1984"/>
          </w:tcPr>
          <w:p>
            <w:pPr>
              <w:jc w:val="center"/>
            </w:pPr>
            <w:r>
              <w:rPr>
                <w:sz w:val="18"/>
              </w:rPr>
              <w:t>3,165</w:t>
            </w:r>
          </w:p>
        </w:tc>
        <w:tc>
          <w:tcPr>
            <w:tcW w:type="dxa" w:w="1701"/>
          </w:tcPr>
          <w:p>
            <w:pPr>
              <w:jc w:val="center"/>
            </w:pPr>
            <w:r>
              <w:rPr>
                <w:sz w:val="18"/>
              </w:rPr>
              <w:t>81.8%</w:t>
            </w:r>
          </w:p>
        </w:tc>
      </w:tr>
      <w:tr>
        <w:tc>
          <w:tcPr>
            <w:tcW w:type="dxa" w:w="3969"/>
          </w:tcPr>
          <w:p>
            <w:pPr>
              <w:jc w:val="center"/>
            </w:pPr>
            <w:r>
              <w:rPr>
                <w:sz w:val="18"/>
              </w:rPr>
              <w:t>Other Services</w:t>
            </w:r>
          </w:p>
        </w:tc>
        <w:tc>
          <w:tcPr>
            <w:tcW w:type="dxa" w:w="1984"/>
          </w:tcPr>
          <w:p>
            <w:pPr>
              <w:jc w:val="center"/>
            </w:pPr>
            <w:r>
              <w:rPr>
                <w:sz w:val="18"/>
              </w:rPr>
              <w:t>152,444</w:t>
            </w:r>
          </w:p>
        </w:tc>
        <w:tc>
          <w:tcPr>
            <w:tcW w:type="dxa" w:w="1701"/>
          </w:tcPr>
          <w:p>
            <w:pPr>
              <w:jc w:val="center"/>
            </w:pPr>
            <w:r>
              <w:rPr>
                <w:sz w:val="18"/>
              </w:rPr>
              <w:t>77.1%</w:t>
            </w:r>
          </w:p>
        </w:tc>
      </w:tr>
      <w:tr>
        <w:tc>
          <w:tcPr>
            <w:tcW w:type="dxa" w:w="3969"/>
          </w:tcPr>
          <w:p>
            <w:pPr>
              <w:jc w:val="center"/>
            </w:pPr>
            <w:r>
              <w:rPr>
                <w:sz w:val="18"/>
              </w:rPr>
              <w:t>Respiratory Medicine Service</w:t>
            </w:r>
          </w:p>
        </w:tc>
        <w:tc>
          <w:tcPr>
            <w:tcW w:type="dxa" w:w="1984"/>
          </w:tcPr>
          <w:p>
            <w:pPr>
              <w:jc w:val="center"/>
            </w:pPr>
            <w:r>
              <w:rPr>
                <w:sz w:val="18"/>
              </w:rPr>
              <w:t>183,209</w:t>
            </w:r>
          </w:p>
        </w:tc>
        <w:tc>
          <w:tcPr>
            <w:tcW w:type="dxa" w:w="1701"/>
          </w:tcPr>
          <w:p>
            <w:pPr>
              <w:jc w:val="center"/>
            </w:pPr>
            <w:r>
              <w:rPr>
                <w:sz w:val="18"/>
              </w:rPr>
              <w:t>75.0%</w:t>
            </w:r>
          </w:p>
        </w:tc>
      </w:tr>
      <w:tr>
        <w:tc>
          <w:tcPr>
            <w:tcW w:type="dxa" w:w="3969"/>
          </w:tcPr>
          <w:p>
            <w:pPr>
              <w:jc w:val="center"/>
            </w:pPr>
            <w:r>
              <w:rPr>
                <w:sz w:val="18"/>
              </w:rPr>
              <w:t>Cardiothoracic Surgery Service</w:t>
            </w:r>
          </w:p>
        </w:tc>
        <w:tc>
          <w:tcPr>
            <w:tcW w:type="dxa" w:w="1984"/>
          </w:tcPr>
          <w:p>
            <w:pPr>
              <w:jc w:val="center"/>
            </w:pPr>
            <w:r>
              <w:rPr>
                <w:sz w:val="18"/>
              </w:rPr>
              <w:t>8,879</w:t>
            </w:r>
          </w:p>
        </w:tc>
        <w:tc>
          <w:tcPr>
            <w:tcW w:type="dxa" w:w="1701"/>
          </w:tcPr>
          <w:p>
            <w:pPr>
              <w:jc w:val="center"/>
            </w:pPr>
            <w:r>
              <w:rPr>
                <w:sz w:val="18"/>
              </w:rPr>
              <w:t>73.6%</w:t>
            </w:r>
          </w:p>
        </w:tc>
      </w:tr>
    </w:tbl>
    <w:p/>
    <w:p>
      <w:r>
        <w:t>Table 4: Best-performing specialties (March 2026).</w:t>
      </w:r>
    </w:p>
    <w:p>
      <w:r>
        <w:t>Oral Surgery and Plastic Surgery have the lowest proportion within 18 weeks, while Elderly Medicine and Mental Health services perform best. High-volume specialties such as Trauma &amp; Orthopaedics and ENT remain under significant pressure.</w:t>
      </w:r>
    </w:p>
    <w:p>
      <w:pPr>
        <w:pStyle w:val="Heading2"/>
      </w:pPr>
      <w:r>
        <w:t>6.5 ICB-Level Performance</w:t>
      </w:r>
    </w:p>
    <w:p>
      <w:r>
        <w:t>Across the 42 ICBs, performance in March 2026 ranged from 53.1% to 74.3% within 18 weeks — a spread of 21.2 percentage points, indicating substantial geographic inequality.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18"/>
              </w:rPr>
              <w:t>Code</w:t>
            </w:r>
          </w:p>
        </w:tc>
        <w:tc>
          <w:tcPr>
            <w:tcW w:type="dxa" w:w="3969"/>
          </w:tcPr>
          <w:p>
            <w:pPr>
              <w:jc w:val="center"/>
            </w:pPr>
            <w:r>
              <w:rPr>
                <w:b/>
                <w:sz w:val="18"/>
              </w:rPr>
              <w:t>ICB Name</w:t>
            </w:r>
          </w:p>
        </w:tc>
        <w:tc>
          <w:tcPr>
            <w:tcW w:type="dxa" w:w="1701"/>
          </w:tcPr>
          <w:p>
            <w:pPr>
              <w:jc w:val="center"/>
            </w:pPr>
            <w:r>
              <w:rPr>
                <w:b/>
                <w:sz w:val="18"/>
              </w:rPr>
              <w:t>Total Pathways</w:t>
            </w:r>
          </w:p>
        </w:tc>
        <w:tc>
          <w:tcPr>
            <w:tcW w:type="dxa" w:w="1701"/>
          </w:tcPr>
          <w:p>
            <w:pPr>
              <w:jc w:val="center"/>
            </w:pPr>
            <w:r>
              <w:rPr>
                <w:b/>
                <w:sz w:val="18"/>
              </w:rPr>
              <w:t>% Within 18w</w:t>
            </w:r>
          </w:p>
        </w:tc>
      </w:tr>
      <w:tr>
        <w:tc>
          <w:tcPr>
            <w:tcW w:type="dxa" w:w="850"/>
          </w:tcPr>
          <w:p>
            <w:pPr>
              <w:jc w:val="center"/>
            </w:pPr>
            <w:r>
              <w:rPr>
                <w:sz w:val="18"/>
              </w:rPr>
              <w:t>QR1</w:t>
            </w:r>
          </w:p>
        </w:tc>
        <w:tc>
          <w:tcPr>
            <w:tcW w:type="dxa" w:w="3969"/>
          </w:tcPr>
          <w:p>
            <w:pPr>
              <w:jc w:val="center"/>
            </w:pPr>
            <w:r>
              <w:rPr>
                <w:sz w:val="18"/>
              </w:rPr>
              <w:t>NHS GLOUCESTERSHIRE INTEGRATED CARE BOARD</w:t>
            </w:r>
          </w:p>
        </w:tc>
        <w:tc>
          <w:tcPr>
            <w:tcW w:type="dxa" w:w="1701"/>
          </w:tcPr>
          <w:p>
            <w:pPr>
              <w:jc w:val="center"/>
            </w:pPr>
            <w:r>
              <w:rPr>
                <w:sz w:val="18"/>
              </w:rPr>
              <w:t>148,240</w:t>
            </w:r>
          </w:p>
        </w:tc>
        <w:tc>
          <w:tcPr>
            <w:tcW w:type="dxa" w:w="1701"/>
          </w:tcPr>
          <w:p>
            <w:pPr>
              <w:jc w:val="center"/>
            </w:pPr>
            <w:r>
              <w:rPr>
                <w:sz w:val="18"/>
              </w:rPr>
              <w:t>74.3%</w:t>
            </w:r>
          </w:p>
        </w:tc>
      </w:tr>
      <w:tr>
        <w:tc>
          <w:tcPr>
            <w:tcW w:type="dxa" w:w="850"/>
          </w:tcPr>
          <w:p>
            <w:pPr>
              <w:jc w:val="center"/>
            </w:pPr>
            <w:r>
              <w:rPr>
                <w:sz w:val="18"/>
              </w:rPr>
              <w:t>QT6</w:t>
            </w:r>
          </w:p>
        </w:tc>
        <w:tc>
          <w:tcPr>
            <w:tcW w:type="dxa" w:w="3969"/>
          </w:tcPr>
          <w:p>
            <w:pPr>
              <w:jc w:val="center"/>
            </w:pPr>
            <w:r>
              <w:rPr>
                <w:sz w:val="18"/>
              </w:rPr>
              <w:t>NHS CORNWALL AND THE ISLES OF SCILLY INTEGRATED CA</w:t>
            </w:r>
          </w:p>
        </w:tc>
        <w:tc>
          <w:tcPr>
            <w:tcW w:type="dxa" w:w="1701"/>
          </w:tcPr>
          <w:p>
            <w:pPr>
              <w:jc w:val="center"/>
            </w:pPr>
            <w:r>
              <w:rPr>
                <w:sz w:val="18"/>
              </w:rPr>
              <w:t>103,582</w:t>
            </w:r>
          </w:p>
        </w:tc>
        <w:tc>
          <w:tcPr>
            <w:tcW w:type="dxa" w:w="1701"/>
          </w:tcPr>
          <w:p>
            <w:pPr>
              <w:jc w:val="center"/>
            </w:pPr>
            <w:r>
              <w:rPr>
                <w:sz w:val="18"/>
              </w:rPr>
              <w:t>73.0%</w:t>
            </w:r>
          </w:p>
        </w:tc>
      </w:tr>
      <w:tr>
        <w:tc>
          <w:tcPr>
            <w:tcW w:type="dxa" w:w="850"/>
          </w:tcPr>
          <w:p>
            <w:pPr>
              <w:jc w:val="center"/>
            </w:pPr>
            <w:r>
              <w:rPr>
                <w:sz w:val="18"/>
              </w:rPr>
              <w:t>QHM</w:t>
            </w:r>
          </w:p>
        </w:tc>
        <w:tc>
          <w:tcPr>
            <w:tcW w:type="dxa" w:w="3969"/>
          </w:tcPr>
          <w:p>
            <w:pPr>
              <w:jc w:val="center"/>
            </w:pPr>
            <w:r>
              <w:rPr>
                <w:sz w:val="18"/>
              </w:rPr>
              <w:t>NHS NORTH EAST AND NORTH CUMBRIA INTEGRATED CARE B</w:t>
            </w:r>
          </w:p>
        </w:tc>
        <w:tc>
          <w:tcPr>
            <w:tcW w:type="dxa" w:w="1701"/>
          </w:tcPr>
          <w:p>
            <w:pPr>
              <w:jc w:val="center"/>
            </w:pPr>
            <w:r>
              <w:rPr>
                <w:sz w:val="18"/>
              </w:rPr>
              <w:t>686,242</w:t>
            </w:r>
          </w:p>
        </w:tc>
        <w:tc>
          <w:tcPr>
            <w:tcW w:type="dxa" w:w="1701"/>
          </w:tcPr>
          <w:p>
            <w:pPr>
              <w:jc w:val="center"/>
            </w:pPr>
            <w:r>
              <w:rPr>
                <w:sz w:val="18"/>
              </w:rPr>
              <w:t>72.3%</w:t>
            </w:r>
          </w:p>
        </w:tc>
      </w:tr>
      <w:tr>
        <w:tc>
          <w:tcPr>
            <w:tcW w:type="dxa" w:w="850"/>
          </w:tcPr>
          <w:p>
            <w:pPr>
              <w:jc w:val="center"/>
            </w:pPr>
            <w:r>
              <w:rPr>
                <w:sz w:val="18"/>
              </w:rPr>
              <w:t>QUY</w:t>
            </w:r>
          </w:p>
        </w:tc>
        <w:tc>
          <w:tcPr>
            <w:tcW w:type="dxa" w:w="3969"/>
          </w:tcPr>
          <w:p>
            <w:pPr>
              <w:jc w:val="center"/>
            </w:pPr>
            <w:r>
              <w:rPr>
                <w:sz w:val="18"/>
              </w:rPr>
              <w:t>NHS BRISTOL, NORTH SOMERSET AND SOUTH GLOUCESTERSH</w:t>
            </w:r>
          </w:p>
        </w:tc>
        <w:tc>
          <w:tcPr>
            <w:tcW w:type="dxa" w:w="1701"/>
          </w:tcPr>
          <w:p>
            <w:pPr>
              <w:jc w:val="center"/>
            </w:pPr>
            <w:r>
              <w:rPr>
                <w:sz w:val="18"/>
              </w:rPr>
              <w:t>168,948</w:t>
            </w:r>
          </w:p>
        </w:tc>
        <w:tc>
          <w:tcPr>
            <w:tcW w:type="dxa" w:w="1701"/>
          </w:tcPr>
          <w:p>
            <w:pPr>
              <w:jc w:val="center"/>
            </w:pPr>
            <w:r>
              <w:rPr>
                <w:sz w:val="18"/>
              </w:rPr>
              <w:t>71.5%</w:t>
            </w:r>
          </w:p>
        </w:tc>
      </w:tr>
      <w:tr>
        <w:tc>
          <w:tcPr>
            <w:tcW w:type="dxa" w:w="850"/>
          </w:tcPr>
          <w:p>
            <w:pPr>
              <w:jc w:val="center"/>
            </w:pPr>
            <w:r>
              <w:rPr>
                <w:sz w:val="18"/>
              </w:rPr>
              <w:t>QWO</w:t>
            </w:r>
          </w:p>
        </w:tc>
        <w:tc>
          <w:tcPr>
            <w:tcW w:type="dxa" w:w="3969"/>
          </w:tcPr>
          <w:p>
            <w:pPr>
              <w:jc w:val="center"/>
            </w:pPr>
            <w:r>
              <w:rPr>
                <w:sz w:val="18"/>
              </w:rPr>
              <w:t>NHS WEST YORKSHIRE INTEGRATED CARE BOARD</w:t>
            </w:r>
          </w:p>
        </w:tc>
        <w:tc>
          <w:tcPr>
            <w:tcW w:type="dxa" w:w="1701"/>
          </w:tcPr>
          <w:p>
            <w:pPr>
              <w:jc w:val="center"/>
            </w:pPr>
            <w:r>
              <w:rPr>
                <w:sz w:val="18"/>
              </w:rPr>
              <w:t>471,710</w:t>
            </w:r>
          </w:p>
        </w:tc>
        <w:tc>
          <w:tcPr>
            <w:tcW w:type="dxa" w:w="1701"/>
          </w:tcPr>
          <w:p>
            <w:pPr>
              <w:jc w:val="center"/>
            </w:pPr>
            <w:r>
              <w:rPr>
                <w:sz w:val="18"/>
              </w:rPr>
              <w:t>70.2%</w:t>
            </w:r>
          </w:p>
        </w:tc>
      </w:tr>
    </w:tbl>
    <w:p/>
    <w:p>
      <w:r>
        <w:t>Table 5: Top 5 ICBs by % within 18 weeks (March 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18"/>
              </w:rPr>
              <w:t>Code</w:t>
            </w:r>
          </w:p>
        </w:tc>
        <w:tc>
          <w:tcPr>
            <w:tcW w:type="dxa" w:w="3969"/>
          </w:tcPr>
          <w:p>
            <w:pPr>
              <w:jc w:val="center"/>
            </w:pPr>
            <w:r>
              <w:rPr>
                <w:b/>
                <w:sz w:val="18"/>
              </w:rPr>
              <w:t>ICB Name</w:t>
            </w:r>
          </w:p>
        </w:tc>
        <w:tc>
          <w:tcPr>
            <w:tcW w:type="dxa" w:w="1701"/>
          </w:tcPr>
          <w:p>
            <w:pPr>
              <w:jc w:val="center"/>
            </w:pPr>
            <w:r>
              <w:rPr>
                <w:b/>
                <w:sz w:val="18"/>
              </w:rPr>
              <w:t>Total Pathways</w:t>
            </w:r>
          </w:p>
        </w:tc>
        <w:tc>
          <w:tcPr>
            <w:tcW w:type="dxa" w:w="1701"/>
          </w:tcPr>
          <w:p>
            <w:pPr>
              <w:jc w:val="center"/>
            </w:pPr>
            <w:r>
              <w:rPr>
                <w:b/>
                <w:sz w:val="18"/>
              </w:rPr>
              <w:t>% Within 18w</w:t>
            </w:r>
          </w:p>
        </w:tc>
      </w:tr>
      <w:tr>
        <w:tc>
          <w:tcPr>
            <w:tcW w:type="dxa" w:w="850"/>
          </w:tcPr>
          <w:p>
            <w:pPr>
              <w:jc w:val="center"/>
            </w:pPr>
            <w:r>
              <w:rPr>
                <w:sz w:val="18"/>
              </w:rPr>
              <w:t>QH8</w:t>
            </w:r>
          </w:p>
        </w:tc>
        <w:tc>
          <w:tcPr>
            <w:tcW w:type="dxa" w:w="3969"/>
          </w:tcPr>
          <w:p>
            <w:pPr>
              <w:jc w:val="center"/>
            </w:pPr>
            <w:r>
              <w:rPr>
                <w:sz w:val="18"/>
              </w:rPr>
              <w:t>NHS MID AND SOUTH ESSEX INTEGRATED CARE BOARD</w:t>
            </w:r>
          </w:p>
        </w:tc>
        <w:tc>
          <w:tcPr>
            <w:tcW w:type="dxa" w:w="1701"/>
          </w:tcPr>
          <w:p>
            <w:pPr>
              <w:jc w:val="center"/>
            </w:pPr>
            <w:r>
              <w:rPr>
                <w:sz w:val="18"/>
              </w:rPr>
              <w:t>402,262</w:t>
            </w:r>
          </w:p>
        </w:tc>
        <w:tc>
          <w:tcPr>
            <w:tcW w:type="dxa" w:w="1701"/>
          </w:tcPr>
          <w:p>
            <w:pPr>
              <w:jc w:val="center"/>
            </w:pPr>
            <w:r>
              <w:rPr>
                <w:sz w:val="18"/>
              </w:rPr>
              <w:t>53.1%</w:t>
            </w:r>
          </w:p>
        </w:tc>
      </w:tr>
      <w:tr>
        <w:tc>
          <w:tcPr>
            <w:tcW w:type="dxa" w:w="850"/>
          </w:tcPr>
          <w:p>
            <w:pPr>
              <w:jc w:val="center"/>
            </w:pPr>
            <w:r>
              <w:rPr>
                <w:sz w:val="18"/>
              </w:rPr>
              <w:t>QK1</w:t>
            </w:r>
          </w:p>
        </w:tc>
        <w:tc>
          <w:tcPr>
            <w:tcW w:type="dxa" w:w="3969"/>
          </w:tcPr>
          <w:p>
            <w:pPr>
              <w:jc w:val="center"/>
            </w:pPr>
            <w:r>
              <w:rPr>
                <w:sz w:val="18"/>
              </w:rPr>
              <w:t>NHS LEICESTER, LEICESTERSHIRE AND RUTLAND INTEGRAT</w:t>
            </w:r>
          </w:p>
        </w:tc>
        <w:tc>
          <w:tcPr>
            <w:tcW w:type="dxa" w:w="1701"/>
          </w:tcPr>
          <w:p>
            <w:pPr>
              <w:jc w:val="center"/>
            </w:pPr>
            <w:r>
              <w:rPr>
                <w:sz w:val="18"/>
              </w:rPr>
              <w:t>260,592</w:t>
            </w:r>
          </w:p>
        </w:tc>
        <w:tc>
          <w:tcPr>
            <w:tcW w:type="dxa" w:w="1701"/>
          </w:tcPr>
          <w:p>
            <w:pPr>
              <w:jc w:val="center"/>
            </w:pPr>
            <w:r>
              <w:rPr>
                <w:sz w:val="18"/>
              </w:rPr>
              <w:t>59.8%</w:t>
            </w:r>
          </w:p>
        </w:tc>
      </w:tr>
      <w:tr>
        <w:tc>
          <w:tcPr>
            <w:tcW w:type="dxa" w:w="850"/>
          </w:tcPr>
          <w:p>
            <w:pPr>
              <w:jc w:val="center"/>
            </w:pPr>
            <w:r>
              <w:rPr>
                <w:sz w:val="18"/>
              </w:rPr>
              <w:t>QOQ</w:t>
            </w:r>
          </w:p>
        </w:tc>
        <w:tc>
          <w:tcPr>
            <w:tcW w:type="dxa" w:w="3969"/>
          </w:tcPr>
          <w:p>
            <w:pPr>
              <w:jc w:val="center"/>
            </w:pPr>
            <w:r>
              <w:rPr>
                <w:sz w:val="18"/>
              </w:rPr>
              <w:t>NHS HUMBER AND NORTH YORKSHIRE INTEGRATED CARE BOA</w:t>
            </w:r>
          </w:p>
        </w:tc>
        <w:tc>
          <w:tcPr>
            <w:tcW w:type="dxa" w:w="1701"/>
          </w:tcPr>
          <w:p>
            <w:pPr>
              <w:jc w:val="center"/>
            </w:pPr>
            <w:r>
              <w:rPr>
                <w:sz w:val="18"/>
              </w:rPr>
              <w:t>425,790</w:t>
            </w:r>
          </w:p>
        </w:tc>
        <w:tc>
          <w:tcPr>
            <w:tcW w:type="dxa" w:w="1701"/>
          </w:tcPr>
          <w:p>
            <w:pPr>
              <w:jc w:val="center"/>
            </w:pPr>
            <w:r>
              <w:rPr>
                <w:sz w:val="18"/>
              </w:rPr>
              <w:t>60.9%</w:t>
            </w:r>
          </w:p>
        </w:tc>
      </w:tr>
      <w:tr>
        <w:tc>
          <w:tcPr>
            <w:tcW w:type="dxa" w:w="850"/>
          </w:tcPr>
          <w:p>
            <w:pPr>
              <w:jc w:val="center"/>
            </w:pPr>
            <w:r>
              <w:rPr>
                <w:sz w:val="18"/>
              </w:rPr>
              <w:t>QNX</w:t>
            </w:r>
          </w:p>
        </w:tc>
        <w:tc>
          <w:tcPr>
            <w:tcW w:type="dxa" w:w="3969"/>
          </w:tcPr>
          <w:p>
            <w:pPr>
              <w:jc w:val="center"/>
            </w:pPr>
            <w:r>
              <w:rPr>
                <w:sz w:val="18"/>
              </w:rPr>
              <w:t>NHS SUSSEX INTEGRATED CARE BOARD</w:t>
            </w:r>
          </w:p>
        </w:tc>
        <w:tc>
          <w:tcPr>
            <w:tcW w:type="dxa" w:w="1701"/>
          </w:tcPr>
          <w:p>
            <w:pPr>
              <w:jc w:val="center"/>
            </w:pPr>
            <w:r>
              <w:rPr>
                <w:sz w:val="18"/>
              </w:rPr>
              <w:t>488,518</w:t>
            </w:r>
          </w:p>
        </w:tc>
        <w:tc>
          <w:tcPr>
            <w:tcW w:type="dxa" w:w="1701"/>
          </w:tcPr>
          <w:p>
            <w:pPr>
              <w:jc w:val="center"/>
            </w:pPr>
            <w:r>
              <w:rPr>
                <w:sz w:val="18"/>
              </w:rPr>
              <w:t>61.0%</w:t>
            </w:r>
          </w:p>
        </w:tc>
      </w:tr>
      <w:tr>
        <w:tc>
          <w:tcPr>
            <w:tcW w:type="dxa" w:w="850"/>
          </w:tcPr>
          <w:p>
            <w:pPr>
              <w:jc w:val="center"/>
            </w:pPr>
            <w:r>
              <w:rPr>
                <w:sz w:val="18"/>
              </w:rPr>
              <w:t>QJM</w:t>
            </w:r>
          </w:p>
        </w:tc>
        <w:tc>
          <w:tcPr>
            <w:tcW w:type="dxa" w:w="3969"/>
          </w:tcPr>
          <w:p>
            <w:pPr>
              <w:jc w:val="center"/>
            </w:pPr>
            <w:r>
              <w:rPr>
                <w:sz w:val="18"/>
              </w:rPr>
              <w:t>NHS LINCOLNSHIRE INTEGRATED CARE BOARD</w:t>
            </w:r>
          </w:p>
        </w:tc>
        <w:tc>
          <w:tcPr>
            <w:tcW w:type="dxa" w:w="1701"/>
          </w:tcPr>
          <w:p>
            <w:pPr>
              <w:jc w:val="center"/>
            </w:pPr>
            <w:r>
              <w:rPr>
                <w:sz w:val="18"/>
              </w:rPr>
              <w:t>214,880</w:t>
            </w:r>
          </w:p>
        </w:tc>
        <w:tc>
          <w:tcPr>
            <w:tcW w:type="dxa" w:w="1701"/>
          </w:tcPr>
          <w:p>
            <w:pPr>
              <w:jc w:val="center"/>
            </w:pPr>
            <w:r>
              <w:rPr>
                <w:sz w:val="18"/>
              </w:rPr>
              <w:t>61.2%</w:t>
            </w:r>
          </w:p>
        </w:tc>
      </w:tr>
    </w:tbl>
    <w:p/>
    <w:p>
      <w:r>
        <w:t>Table 6: Bottom 5 ICBs by % within 18 weeks (March 2026).</w:t>
      </w:r>
    </w:p>
    <w:p>
      <w:pPr>
        <w:pStyle w:val="Heading2"/>
      </w:pPr>
      <w:r>
        <w:t>6.6 Regional Variation and Improvement</w:t>
      </w:r>
    </w:p>
    <w:p>
      <w:r>
        <w:t>The degree of improvement over the study period varies widely. The most improved ICB gained 19.4 percentage points, while 6 ICBs actually saw their performance decline.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18"/>
              </w:rPr>
              <w:t>Code</w:t>
            </w:r>
          </w:p>
        </w:tc>
        <w:tc>
          <w:tcPr>
            <w:tcW w:type="dxa" w:w="3685"/>
          </w:tcPr>
          <w:p>
            <w:pPr>
              <w:jc w:val="center"/>
            </w:pPr>
            <w:r>
              <w:rPr>
                <w:b/>
                <w:sz w:val="18"/>
              </w:rPr>
              <w:t>ICB Name</w:t>
            </w:r>
          </w:p>
        </w:tc>
        <w:tc>
          <w:tcPr>
            <w:tcW w:type="dxa" w:w="1134"/>
          </w:tcPr>
          <w:p>
            <w:pPr>
              <w:jc w:val="center"/>
            </w:pPr>
            <w:r>
              <w:rPr>
                <w:b/>
                <w:sz w:val="18"/>
              </w:rPr>
              <w:t>Oct 2022</w:t>
            </w:r>
          </w:p>
        </w:tc>
        <w:tc>
          <w:tcPr>
            <w:tcW w:type="dxa" w:w="1134"/>
          </w:tcPr>
          <w:p>
            <w:pPr>
              <w:jc w:val="center"/>
            </w:pPr>
            <w:r>
              <w:rPr>
                <w:b/>
                <w:sz w:val="18"/>
              </w:rPr>
              <w:t>Mar 2026</w:t>
            </w:r>
          </w:p>
        </w:tc>
        <w:tc>
          <w:tcPr>
            <w:tcW w:type="dxa" w:w="1134"/>
          </w:tcPr>
          <w:p>
            <w:pPr>
              <w:jc w:val="center"/>
            </w:pPr>
            <w:r>
              <w:rPr>
                <w:b/>
                <w:sz w:val="18"/>
              </w:rPr>
              <w:t>Change</w:t>
            </w:r>
          </w:p>
        </w:tc>
      </w:tr>
      <w:tr>
        <w:tc>
          <w:tcPr>
            <w:tcW w:type="dxa" w:w="850"/>
          </w:tcPr>
          <w:p>
            <w:pPr>
              <w:jc w:val="center"/>
            </w:pPr>
            <w:r>
              <w:rPr>
                <w:sz w:val="18"/>
              </w:rPr>
              <w:t>QHL</w:t>
            </w:r>
          </w:p>
        </w:tc>
        <w:tc>
          <w:tcPr>
            <w:tcW w:type="dxa" w:w="3685"/>
          </w:tcPr>
          <w:p>
            <w:pPr>
              <w:jc w:val="center"/>
            </w:pPr>
            <w:r>
              <w:rPr>
                <w:sz w:val="18"/>
              </w:rPr>
              <w:t>NHS BIRMINGHAM AND SOLIHULL INTEGRATED CARE BOARD</w:t>
            </w:r>
          </w:p>
        </w:tc>
        <w:tc>
          <w:tcPr>
            <w:tcW w:type="dxa" w:w="1134"/>
          </w:tcPr>
          <w:p>
            <w:pPr>
              <w:jc w:val="center"/>
            </w:pPr>
            <w:r>
              <w:rPr>
                <w:sz w:val="18"/>
              </w:rPr>
              <w:t>48.4%</w:t>
            </w:r>
          </w:p>
        </w:tc>
        <w:tc>
          <w:tcPr>
            <w:tcW w:type="dxa" w:w="1134"/>
          </w:tcPr>
          <w:p>
            <w:pPr>
              <w:jc w:val="center"/>
            </w:pPr>
            <w:r>
              <w:rPr>
                <w:sz w:val="18"/>
              </w:rPr>
              <w:t>67.8%</w:t>
            </w:r>
          </w:p>
        </w:tc>
        <w:tc>
          <w:tcPr>
            <w:tcW w:type="dxa" w:w="1134"/>
          </w:tcPr>
          <w:p>
            <w:pPr>
              <w:jc w:val="center"/>
            </w:pPr>
            <w:r>
              <w:rPr>
                <w:sz w:val="18"/>
              </w:rPr>
              <w:t>+19.4pp</w:t>
            </w:r>
          </w:p>
        </w:tc>
      </w:tr>
      <w:tr>
        <w:tc>
          <w:tcPr>
            <w:tcW w:type="dxa" w:w="850"/>
          </w:tcPr>
          <w:p>
            <w:pPr>
              <w:jc w:val="center"/>
            </w:pPr>
            <w:r>
              <w:rPr>
                <w:sz w:val="18"/>
              </w:rPr>
              <w:t>QT6</w:t>
            </w:r>
          </w:p>
        </w:tc>
        <w:tc>
          <w:tcPr>
            <w:tcW w:type="dxa" w:w="3685"/>
          </w:tcPr>
          <w:p>
            <w:pPr>
              <w:jc w:val="center"/>
            </w:pPr>
            <w:r>
              <w:rPr>
                <w:sz w:val="18"/>
              </w:rPr>
              <w:t>NHS CORNWALL AND THE ISLES OF SCILLY INTEGRATED CA</w:t>
            </w:r>
          </w:p>
        </w:tc>
        <w:tc>
          <w:tcPr>
            <w:tcW w:type="dxa" w:w="1134"/>
          </w:tcPr>
          <w:p>
            <w:pPr>
              <w:jc w:val="center"/>
            </w:pPr>
            <w:r>
              <w:rPr>
                <w:sz w:val="18"/>
              </w:rPr>
              <w:t>58.5%</w:t>
            </w:r>
          </w:p>
        </w:tc>
        <w:tc>
          <w:tcPr>
            <w:tcW w:type="dxa" w:w="1134"/>
          </w:tcPr>
          <w:p>
            <w:pPr>
              <w:jc w:val="center"/>
            </w:pPr>
            <w:r>
              <w:rPr>
                <w:sz w:val="18"/>
              </w:rPr>
              <w:t>73.0%</w:t>
            </w:r>
          </w:p>
        </w:tc>
        <w:tc>
          <w:tcPr>
            <w:tcW w:type="dxa" w:w="1134"/>
          </w:tcPr>
          <w:p>
            <w:pPr>
              <w:jc w:val="center"/>
            </w:pPr>
            <w:r>
              <w:rPr>
                <w:sz w:val="18"/>
              </w:rPr>
              <w:t>+14.6pp</w:t>
            </w:r>
          </w:p>
        </w:tc>
      </w:tr>
      <w:tr>
        <w:tc>
          <w:tcPr>
            <w:tcW w:type="dxa" w:w="850"/>
          </w:tcPr>
          <w:p>
            <w:pPr>
              <w:jc w:val="center"/>
            </w:pPr>
            <w:r>
              <w:rPr>
                <w:sz w:val="18"/>
              </w:rPr>
              <w:t>QOC</w:t>
            </w:r>
          </w:p>
        </w:tc>
        <w:tc>
          <w:tcPr>
            <w:tcW w:type="dxa" w:w="3685"/>
          </w:tcPr>
          <w:p>
            <w:pPr>
              <w:jc w:val="center"/>
            </w:pPr>
            <w:r>
              <w:rPr>
                <w:sz w:val="18"/>
              </w:rPr>
              <w:t>NHS SHROPSHIRE, TELFORD AND WREKIN INTEGRATED CARE</w:t>
            </w:r>
          </w:p>
        </w:tc>
        <w:tc>
          <w:tcPr>
            <w:tcW w:type="dxa" w:w="1134"/>
          </w:tcPr>
          <w:p>
            <w:pPr>
              <w:jc w:val="center"/>
            </w:pPr>
            <w:r>
              <w:rPr>
                <w:sz w:val="18"/>
              </w:rPr>
              <w:t>56.9%</w:t>
            </w:r>
          </w:p>
        </w:tc>
        <w:tc>
          <w:tcPr>
            <w:tcW w:type="dxa" w:w="1134"/>
          </w:tcPr>
          <w:p>
            <w:pPr>
              <w:jc w:val="center"/>
            </w:pPr>
            <w:r>
              <w:rPr>
                <w:sz w:val="18"/>
              </w:rPr>
              <w:t>69.5%</w:t>
            </w:r>
          </w:p>
        </w:tc>
        <w:tc>
          <w:tcPr>
            <w:tcW w:type="dxa" w:w="1134"/>
          </w:tcPr>
          <w:p>
            <w:pPr>
              <w:jc w:val="center"/>
            </w:pPr>
            <w:r>
              <w:rPr>
                <w:sz w:val="18"/>
              </w:rPr>
              <w:t>+12.6pp</w:t>
            </w:r>
          </w:p>
        </w:tc>
      </w:tr>
      <w:tr>
        <w:tc>
          <w:tcPr>
            <w:tcW w:type="dxa" w:w="850"/>
          </w:tcPr>
          <w:p>
            <w:pPr>
              <w:jc w:val="center"/>
            </w:pPr>
            <w:r>
              <w:rPr>
                <w:sz w:val="18"/>
              </w:rPr>
              <w:t>QGH</w:t>
            </w:r>
          </w:p>
        </w:tc>
        <w:tc>
          <w:tcPr>
            <w:tcW w:type="dxa" w:w="3685"/>
          </w:tcPr>
          <w:p>
            <w:pPr>
              <w:jc w:val="center"/>
            </w:pPr>
            <w:r>
              <w:rPr>
                <w:sz w:val="18"/>
              </w:rPr>
              <w:t>NHS HEREFORDSHIRE AND WORCESTERSHIRE INTEGRATED CA</w:t>
            </w:r>
          </w:p>
        </w:tc>
        <w:tc>
          <w:tcPr>
            <w:tcW w:type="dxa" w:w="1134"/>
          </w:tcPr>
          <w:p>
            <w:pPr>
              <w:jc w:val="center"/>
            </w:pPr>
            <w:r>
              <w:rPr>
                <w:sz w:val="18"/>
              </w:rPr>
              <w:t>52.7%</w:t>
            </w:r>
          </w:p>
        </w:tc>
        <w:tc>
          <w:tcPr>
            <w:tcW w:type="dxa" w:w="1134"/>
          </w:tcPr>
          <w:p>
            <w:pPr>
              <w:jc w:val="center"/>
            </w:pPr>
            <w:r>
              <w:rPr>
                <w:sz w:val="18"/>
              </w:rPr>
              <w:t>64.9%</w:t>
            </w:r>
          </w:p>
        </w:tc>
        <w:tc>
          <w:tcPr>
            <w:tcW w:type="dxa" w:w="1134"/>
          </w:tcPr>
          <w:p>
            <w:pPr>
              <w:jc w:val="center"/>
            </w:pPr>
            <w:r>
              <w:rPr>
                <w:sz w:val="18"/>
              </w:rPr>
              <w:t>+12.1pp</w:t>
            </w:r>
          </w:p>
        </w:tc>
      </w:tr>
      <w:tr>
        <w:tc>
          <w:tcPr>
            <w:tcW w:type="dxa" w:w="850"/>
          </w:tcPr>
          <w:p>
            <w:pPr>
              <w:jc w:val="center"/>
            </w:pPr>
            <w:r>
              <w:rPr>
                <w:sz w:val="18"/>
              </w:rPr>
              <w:t>QM7</w:t>
            </w:r>
          </w:p>
        </w:tc>
        <w:tc>
          <w:tcPr>
            <w:tcW w:type="dxa" w:w="3685"/>
          </w:tcPr>
          <w:p>
            <w:pPr>
              <w:jc w:val="center"/>
            </w:pPr>
            <w:r>
              <w:rPr>
                <w:sz w:val="18"/>
              </w:rPr>
              <w:t>NHS HERTFORDSHIRE AND WEST ESSEX INTEGRATED CARE B</w:t>
            </w:r>
          </w:p>
        </w:tc>
        <w:tc>
          <w:tcPr>
            <w:tcW w:type="dxa" w:w="1134"/>
          </w:tcPr>
          <w:p>
            <w:pPr>
              <w:jc w:val="center"/>
            </w:pPr>
            <w:r>
              <w:rPr>
                <w:sz w:val="18"/>
              </w:rPr>
              <w:t>55.5%</w:t>
            </w:r>
          </w:p>
        </w:tc>
        <w:tc>
          <w:tcPr>
            <w:tcW w:type="dxa" w:w="1134"/>
          </w:tcPr>
          <w:p>
            <w:pPr>
              <w:jc w:val="center"/>
            </w:pPr>
            <w:r>
              <w:rPr>
                <w:sz w:val="18"/>
              </w:rPr>
              <w:t>67.4%</w:t>
            </w:r>
          </w:p>
        </w:tc>
        <w:tc>
          <w:tcPr>
            <w:tcW w:type="dxa" w:w="1134"/>
          </w:tcPr>
          <w:p>
            <w:pPr>
              <w:jc w:val="center"/>
            </w:pPr>
            <w:r>
              <w:rPr>
                <w:sz w:val="18"/>
              </w:rPr>
              <w:t>+11.9pp</w:t>
            </w:r>
          </w:p>
        </w:tc>
      </w:tr>
    </w:tbl>
    <w:p/>
    <w:p>
      <w:r>
        <w:t>Table 7: Most improved ICBs (% within 18 weeks).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18"/>
              </w:rPr>
              <w:t>Code</w:t>
            </w:r>
          </w:p>
        </w:tc>
        <w:tc>
          <w:tcPr>
            <w:tcW w:type="dxa" w:w="3685"/>
          </w:tcPr>
          <w:p>
            <w:pPr>
              <w:jc w:val="center"/>
            </w:pPr>
            <w:r>
              <w:rPr>
                <w:b/>
                <w:sz w:val="18"/>
              </w:rPr>
              <w:t>ICB Name</w:t>
            </w:r>
          </w:p>
        </w:tc>
        <w:tc>
          <w:tcPr>
            <w:tcW w:type="dxa" w:w="1134"/>
          </w:tcPr>
          <w:p>
            <w:pPr>
              <w:jc w:val="center"/>
            </w:pPr>
            <w:r>
              <w:rPr>
                <w:b/>
                <w:sz w:val="18"/>
              </w:rPr>
              <w:t>Oct 2022</w:t>
            </w:r>
          </w:p>
        </w:tc>
        <w:tc>
          <w:tcPr>
            <w:tcW w:type="dxa" w:w="1134"/>
          </w:tcPr>
          <w:p>
            <w:pPr>
              <w:jc w:val="center"/>
            </w:pPr>
            <w:r>
              <w:rPr>
                <w:b/>
                <w:sz w:val="18"/>
              </w:rPr>
              <w:t>Mar 2026</w:t>
            </w:r>
          </w:p>
        </w:tc>
        <w:tc>
          <w:tcPr>
            <w:tcW w:type="dxa" w:w="1134"/>
          </w:tcPr>
          <w:p>
            <w:pPr>
              <w:jc w:val="center"/>
            </w:pPr>
            <w:r>
              <w:rPr>
                <w:b/>
                <w:sz w:val="18"/>
              </w:rPr>
              <w:t>Change</w:t>
            </w:r>
          </w:p>
        </w:tc>
      </w:tr>
      <w:tr>
        <w:tc>
          <w:tcPr>
            <w:tcW w:type="dxa" w:w="850"/>
          </w:tcPr>
          <w:p>
            <w:pPr>
              <w:jc w:val="center"/>
            </w:pPr>
            <w:r>
              <w:rPr>
                <w:sz w:val="18"/>
              </w:rPr>
              <w:t>QWE</w:t>
            </w:r>
          </w:p>
        </w:tc>
        <w:tc>
          <w:tcPr>
            <w:tcW w:type="dxa" w:w="3685"/>
          </w:tcPr>
          <w:p>
            <w:pPr>
              <w:jc w:val="center"/>
            </w:pPr>
            <w:r>
              <w:rPr>
                <w:sz w:val="18"/>
              </w:rPr>
              <w:t>NHS SOUTH WEST LONDON INTEGRATED CARE BOARD</w:t>
            </w:r>
          </w:p>
        </w:tc>
        <w:tc>
          <w:tcPr>
            <w:tcW w:type="dxa" w:w="1134"/>
          </w:tcPr>
          <w:p>
            <w:pPr>
              <w:jc w:val="center"/>
            </w:pPr>
            <w:r>
              <w:rPr>
                <w:sz w:val="18"/>
              </w:rPr>
              <w:t>72.1%</w:t>
            </w:r>
          </w:p>
        </w:tc>
        <w:tc>
          <w:tcPr>
            <w:tcW w:type="dxa" w:w="1134"/>
          </w:tcPr>
          <w:p>
            <w:pPr>
              <w:jc w:val="center"/>
            </w:pPr>
            <w:r>
              <w:rPr>
                <w:sz w:val="18"/>
              </w:rPr>
              <w:t>67.7%</w:t>
            </w:r>
          </w:p>
        </w:tc>
        <w:tc>
          <w:tcPr>
            <w:tcW w:type="dxa" w:w="1134"/>
          </w:tcPr>
          <w:p>
            <w:pPr>
              <w:jc w:val="center"/>
            </w:pPr>
            <w:r>
              <w:rPr>
                <w:sz w:val="18"/>
              </w:rPr>
              <w:t>-4.4pp</w:t>
            </w:r>
          </w:p>
        </w:tc>
      </w:tr>
      <w:tr>
        <w:tc>
          <w:tcPr>
            <w:tcW w:type="dxa" w:w="850"/>
          </w:tcPr>
          <w:p>
            <w:pPr>
              <w:jc w:val="center"/>
            </w:pPr>
            <w:r>
              <w:rPr>
                <w:sz w:val="18"/>
              </w:rPr>
              <w:t>QPM</w:t>
            </w:r>
          </w:p>
        </w:tc>
        <w:tc>
          <w:tcPr>
            <w:tcW w:type="dxa" w:w="3685"/>
          </w:tcPr>
          <w:p>
            <w:pPr>
              <w:jc w:val="center"/>
            </w:pPr>
            <w:r>
              <w:rPr>
                <w:sz w:val="18"/>
              </w:rPr>
              <w:t>NHS NORTHAMPTONSHIRE INTEGRATED CARE BOARD</w:t>
            </w:r>
          </w:p>
        </w:tc>
        <w:tc>
          <w:tcPr>
            <w:tcW w:type="dxa" w:w="1134"/>
          </w:tcPr>
          <w:p>
            <w:pPr>
              <w:jc w:val="center"/>
            </w:pPr>
            <w:r>
              <w:rPr>
                <w:sz w:val="18"/>
              </w:rPr>
              <w:t>66.3%</w:t>
            </w:r>
          </w:p>
        </w:tc>
        <w:tc>
          <w:tcPr>
            <w:tcW w:type="dxa" w:w="1134"/>
          </w:tcPr>
          <w:p>
            <w:pPr>
              <w:jc w:val="center"/>
            </w:pPr>
            <w:r>
              <w:rPr>
                <w:sz w:val="18"/>
              </w:rPr>
              <w:t>62.9%</w:t>
            </w:r>
          </w:p>
        </w:tc>
        <w:tc>
          <w:tcPr>
            <w:tcW w:type="dxa" w:w="1134"/>
          </w:tcPr>
          <w:p>
            <w:pPr>
              <w:jc w:val="center"/>
            </w:pPr>
            <w:r>
              <w:rPr>
                <w:sz w:val="18"/>
              </w:rPr>
              <w:t>-3.4pp</w:t>
            </w:r>
          </w:p>
        </w:tc>
      </w:tr>
      <w:tr>
        <w:tc>
          <w:tcPr>
            <w:tcW w:type="dxa" w:w="850"/>
          </w:tcPr>
          <w:p>
            <w:pPr>
              <w:jc w:val="center"/>
            </w:pPr>
            <w:r>
              <w:rPr>
                <w:sz w:val="18"/>
              </w:rPr>
              <w:t>QH8</w:t>
            </w:r>
          </w:p>
        </w:tc>
        <w:tc>
          <w:tcPr>
            <w:tcW w:type="dxa" w:w="3685"/>
          </w:tcPr>
          <w:p>
            <w:pPr>
              <w:jc w:val="center"/>
            </w:pPr>
            <w:r>
              <w:rPr>
                <w:sz w:val="18"/>
              </w:rPr>
              <w:t>NHS MID AND SOUTH ESSEX INTEGRATED CARE BOARD</w:t>
            </w:r>
          </w:p>
        </w:tc>
        <w:tc>
          <w:tcPr>
            <w:tcW w:type="dxa" w:w="1134"/>
          </w:tcPr>
          <w:p>
            <w:pPr>
              <w:jc w:val="center"/>
            </w:pPr>
            <w:r>
              <w:rPr>
                <w:sz w:val="18"/>
              </w:rPr>
              <w:t>55.7%</w:t>
            </w:r>
          </w:p>
        </w:tc>
        <w:tc>
          <w:tcPr>
            <w:tcW w:type="dxa" w:w="1134"/>
          </w:tcPr>
          <w:p>
            <w:pPr>
              <w:jc w:val="center"/>
            </w:pPr>
            <w:r>
              <w:rPr>
                <w:sz w:val="18"/>
              </w:rPr>
              <w:t>53.1%</w:t>
            </w:r>
          </w:p>
        </w:tc>
        <w:tc>
          <w:tcPr>
            <w:tcW w:type="dxa" w:w="1134"/>
          </w:tcPr>
          <w:p>
            <w:pPr>
              <w:jc w:val="center"/>
            </w:pPr>
            <w:r>
              <w:rPr>
                <w:sz w:val="18"/>
              </w:rPr>
              <w:t>-2.6pp</w:t>
            </w:r>
          </w:p>
        </w:tc>
      </w:tr>
      <w:tr>
        <w:tc>
          <w:tcPr>
            <w:tcW w:type="dxa" w:w="850"/>
          </w:tcPr>
          <w:p>
            <w:pPr>
              <w:jc w:val="center"/>
            </w:pPr>
            <w:r>
              <w:rPr>
                <w:sz w:val="18"/>
              </w:rPr>
              <w:t>QOQ</w:t>
            </w:r>
          </w:p>
        </w:tc>
        <w:tc>
          <w:tcPr>
            <w:tcW w:type="dxa" w:w="3685"/>
          </w:tcPr>
          <w:p>
            <w:pPr>
              <w:jc w:val="center"/>
            </w:pPr>
            <w:r>
              <w:rPr>
                <w:sz w:val="18"/>
              </w:rPr>
              <w:t>NHS HUMBER AND NORTH YORKSHIRE INTEGRATED CARE BOA</w:t>
            </w:r>
          </w:p>
        </w:tc>
        <w:tc>
          <w:tcPr>
            <w:tcW w:type="dxa" w:w="1134"/>
          </w:tcPr>
          <w:p>
            <w:pPr>
              <w:jc w:val="center"/>
            </w:pPr>
            <w:r>
              <w:rPr>
                <w:sz w:val="18"/>
              </w:rPr>
              <w:t>61.8%</w:t>
            </w:r>
          </w:p>
        </w:tc>
        <w:tc>
          <w:tcPr>
            <w:tcW w:type="dxa" w:w="1134"/>
          </w:tcPr>
          <w:p>
            <w:pPr>
              <w:jc w:val="center"/>
            </w:pPr>
            <w:r>
              <w:rPr>
                <w:sz w:val="18"/>
              </w:rPr>
              <w:t>60.9%</w:t>
            </w:r>
          </w:p>
        </w:tc>
        <w:tc>
          <w:tcPr>
            <w:tcW w:type="dxa" w:w="1134"/>
          </w:tcPr>
          <w:p>
            <w:pPr>
              <w:jc w:val="center"/>
            </w:pPr>
            <w:r>
              <w:rPr>
                <w:sz w:val="18"/>
              </w:rPr>
              <w:t>-0.9pp</w:t>
            </w:r>
          </w:p>
        </w:tc>
      </w:tr>
      <w:tr>
        <w:tc>
          <w:tcPr>
            <w:tcW w:type="dxa" w:w="850"/>
          </w:tcPr>
          <w:p>
            <w:pPr>
              <w:jc w:val="center"/>
            </w:pPr>
            <w:r>
              <w:rPr>
                <w:sz w:val="18"/>
              </w:rPr>
              <w:t>QJG</w:t>
            </w:r>
          </w:p>
        </w:tc>
        <w:tc>
          <w:tcPr>
            <w:tcW w:type="dxa" w:w="3685"/>
          </w:tcPr>
          <w:p>
            <w:pPr>
              <w:jc w:val="center"/>
            </w:pPr>
            <w:r>
              <w:rPr>
                <w:sz w:val="18"/>
              </w:rPr>
              <w:t>NHS SUFFOLK AND NORTH EAST ESSEX INTEGRATED CARE B</w:t>
            </w:r>
          </w:p>
        </w:tc>
        <w:tc>
          <w:tcPr>
            <w:tcW w:type="dxa" w:w="1134"/>
          </w:tcPr>
          <w:p>
            <w:pPr>
              <w:jc w:val="center"/>
            </w:pPr>
            <w:r>
              <w:rPr>
                <w:sz w:val="18"/>
              </w:rPr>
              <w:t>62.7%</w:t>
            </w:r>
          </w:p>
        </w:tc>
        <w:tc>
          <w:tcPr>
            <w:tcW w:type="dxa" w:w="1134"/>
          </w:tcPr>
          <w:p>
            <w:pPr>
              <w:jc w:val="center"/>
            </w:pPr>
            <w:r>
              <w:rPr>
                <w:sz w:val="18"/>
              </w:rPr>
              <w:t>62.5%</w:t>
            </w:r>
          </w:p>
        </w:tc>
        <w:tc>
          <w:tcPr>
            <w:tcW w:type="dxa" w:w="1134"/>
          </w:tcPr>
          <w:p>
            <w:pPr>
              <w:jc w:val="center"/>
            </w:pPr>
            <w:r>
              <w:rPr>
                <w:sz w:val="18"/>
              </w:rPr>
              <w:t>-0.2pp</w:t>
            </w:r>
          </w:p>
        </w:tc>
      </w:tr>
    </w:tbl>
    <w:p/>
    <w:p>
      <w:r>
        <w:t>Table 8: ICBs with declining performance.</w:t>
      </w:r>
    </w:p>
    <w:p>
      <w:pPr>
        <w:pStyle w:val="Heading1"/>
      </w:pPr>
      <w:r>
        <w:t>7. Dashboard Design and Development</w:t>
      </w:r>
    </w:p>
    <w:p>
      <w:pPr>
        <w:pStyle w:val="Heading2"/>
      </w:pPr>
      <w:r>
        <w:t>7.1 Layout Decisions</w:t>
      </w:r>
    </w:p>
    <w:p>
      <w:r>
        <w:t>The dashboard follows a top-down information hierarchy designed for quick scanning. The top banner uses NHS Identity colours (dark blue #003087) to establish credibility and context. Below it, four KPI cards provide an at-a-glance summary of the most critical metrics: total pathways, % within 18 weeks, median wait, and 52+ week waiters. Each card shows the current value and the month-on-month change, so users can immediately see the direction of travel without scrolling.</w:t>
      </w:r>
    </w:p>
    <w:p>
      <w:r>
        <w:t>Charts are arranged in a two-column grid (left and right) with consistent sizing, followed by a full-width trend chart and an embedded table at the bottom. This layout ensures the dashboard reads naturally from top to bottom and left to right, with the most important information (KPIs) appearing first.</w:t>
      </w:r>
    </w:p>
    <w:p>
      <w:r>
        <w:t>The workbook contains eight sheets in a deliberate order: Dashboard (summary), Data (full dataset), National_Trend, ICB_Summary, Specialty_Top5, Top5_Bottom5, YoY_Change, and Lookups. This moves from overview to detail, supporting both quick-glance and deep-dive use cases.</w:t>
      </w:r>
    </w:p>
    <w:p>
      <w:pPr>
        <w:pStyle w:val="Heading2"/>
      </w:pPr>
      <w:r>
        <w:t>7.2 Visualisation Choices</w:t>
      </w:r>
    </w:p>
    <w:p>
      <w:r>
        <w:t>Five chart types were selected to provide variety while serving distinct analytical purposes:</w:t>
      </w:r>
    </w:p>
    <w:p>
      <w:pPr>
        <w:pStyle w:val="ListBullet"/>
      </w:pPr>
      <w:r>
        <w:t>Line chart (monthly pathways trend) — chosen because time-series data is best represented by lines, clearly showing the rise to August 2023 peak and subsequent decline.</w:t>
      </w:r>
    </w:p>
    <w:p>
      <w:pPr>
        <w:pStyle w:val="ListBullet"/>
      </w:pPr>
      <w:r>
        <w:t>Pie chart (specialty share) — shows the proportion of the waiting list held by each major specialty. Limited to 5 slices plus “Other” to avoid visual clutter.</w:t>
      </w:r>
    </w:p>
    <w:p>
      <w:pPr>
        <w:pStyle w:val="ListBullet"/>
      </w:pPr>
      <w:r>
        <w:t>Dual-line chart (52+ vs 65+ week waiters) — enables direct comparison of two long-wait cohorts on the same axis, highlighting the faster reduction in 65+ week waits.</w:t>
      </w:r>
    </w:p>
    <w:p>
      <w:pPr>
        <w:pStyle w:val="ListBullet"/>
      </w:pPr>
      <w:r>
        <w:t>Horizontal bar chart (top 5 ICBs) — effective for comparing named categories, with ICB names readable on the y-axis without rotation.</w:t>
      </w:r>
    </w:p>
    <w:p>
      <w:pPr>
        <w:pStyle w:val="ListBullet"/>
      </w:pPr>
      <w:r>
        <w:t>Line chart (52+ week trend) — a focused view of the long-wait elimination target, coloured red to signal urgency and importance.</w:t>
      </w:r>
    </w:p>
    <w:p>
      <w:pPr>
        <w:pStyle w:val="Heading2"/>
      </w:pPr>
      <w:r>
        <w:t>7.3 User Experience Considerations</w:t>
      </w:r>
    </w:p>
    <w:p>
      <w:r>
        <w:t>Several design decisions were made to improve accessibility and usability for non-technical users:</w:t>
      </w:r>
    </w:p>
    <w:p>
      <w:pPr>
        <w:pStyle w:val="ListBullet"/>
      </w:pPr>
      <w:r>
        <w:t>The Data sheet is formatted as an Excel Table (“RTTData”) with auto-filters and frozen headers, allowing users to add Slicers (Insert &gt; Slicer) for interactive filtering by ICB, specialty, or period without any advanced Excel knowledge.</w:t>
      </w:r>
    </w:p>
    <w:p>
      <w:pPr>
        <w:pStyle w:val="ListBullet"/>
      </w:pPr>
      <w:r>
        <w:t>Large numbers use K/M formatting (e.g. 7.0M, 92.6K) to improve readability at a glance, rather than displaying raw figures like 7,014,879.</w:t>
      </w:r>
    </w:p>
    <w:p>
      <w:pPr>
        <w:pStyle w:val="ListBullet"/>
      </w:pPr>
      <w:r>
        <w:t>Conditional formatting is applied throughout: data bars on the % within 18 weeks column, a red-amber-green colour scale on the ICB Summary sheet, and red/green highlighting on year-on-year change values to instantly convey good vs bad performance.</w:t>
      </w:r>
    </w:p>
    <w:p>
      <w:pPr>
        <w:pStyle w:val="ListBullet"/>
      </w:pPr>
      <w:r>
        <w:t>Grid lines are hidden on the Dashboard sheet and a light grey background (#F0F4F5) is applied to create a clean, report-like appearance that separates it visually from the data sheets.</w:t>
      </w:r>
    </w:p>
    <w:p>
      <w:pPr>
        <w:pStyle w:val="ListBullet"/>
      </w:pPr>
      <w:r>
        <w:t>KPI values use dynamic Excel formulas referencing the National_Trend sheet, so they update automatically if new data is added.</w:t>
      </w:r>
    </w:p>
    <w:p>
      <w:pPr>
        <w:pStyle w:val="Heading2"/>
      </w:pPr>
      <w:r>
        <w:t>7.4 Benefits of This Approach</w:t>
      </w:r>
    </w:p>
    <w:p>
      <w:r>
        <w:t>The design is effective for the target audience (ICB planning teams) because it supports three distinct use modes:</w:t>
      </w:r>
    </w:p>
    <w:p>
      <w:pPr>
        <w:pStyle w:val="ListNumber"/>
      </w:pPr>
      <w:r>
        <w:t>Quick executive summary — the four KPI cards and key insights section give a 30-second overview of current performance and direction of travel.</w:t>
      </w:r>
    </w:p>
    <w:p>
      <w:pPr>
        <w:pStyle w:val="ListNumber"/>
      </w:pPr>
      <w:r>
        <w:t>Visual narrative — the five charts tell the story of elective recovery progress across time, specialty, and geography.</w:t>
      </w:r>
    </w:p>
    <w:p>
      <w:pPr>
        <w:pStyle w:val="ListNumber"/>
      </w:pPr>
      <w:r>
        <w:t>Deep-dive analysis — the filterable Data sheet with 39,606 rows allows analysts to explore any ICB, specialty, or time period in detail.</w:t>
      </w:r>
    </w:p>
    <w:p>
      <w:r>
        <w:t>By keeping everything in a single .xlsx file with no macros or external dependencies, the dashboard can be shared via email, opened on any machine with Excel, and does not require specialist software or training. This maximises accessibility for the target audience.</w:t>
      </w:r>
    </w:p>
    <w:p>
      <w:pPr>
        <w:pStyle w:val="Heading1"/>
      </w:pPr>
      <w:r>
        <w:t>8. Conclusion</w:t>
      </w:r>
    </w:p>
    <w:p>
      <w:r>
        <w:t>This analysis of 41 months of NHS RTT data reveals a mixed picture. While the overall waiting list remains large at 14,029,758 patients, there has been meaningful progress in several key areas:</w:t>
      </w:r>
    </w:p>
    <w:p>
      <w:pPr>
        <w:pStyle w:val="ListNumber"/>
      </w:pPr>
      <w:r>
        <w:t>The proportion of patients within 18 weeks improved from 60.2% to 65.3%, a gain of 5.1 percentage points.</w:t>
      </w:r>
    </w:p>
    <w:p>
      <w:pPr>
        <w:pStyle w:val="ListNumber"/>
      </w:pPr>
      <w:r>
        <w:t>The longest waits have been dramatically reduced: 78+ week waiters fell by 98% and 52+ week waiters by 76%.</w:t>
      </w:r>
    </w:p>
    <w:p>
      <w:pPr>
        <w:pStyle w:val="ListNumber"/>
      </w:pPr>
      <w:r>
        <w:t>The waiting list peaked in August 2023 at 15,491,568 and has since declined by 9.4%.</w:t>
      </w:r>
    </w:p>
    <w:p>
      <w:r>
        <w:t>However, significant challenges remain. The 92% within-18-weeks constitutional standard appears distant at 65.3%. Geographic inequality persists, with a 21.2 percentage point spread between the best and worst ICBs. Specialties such as Oral Surgery, Plastic Surgery, and Trauma &amp; Orthopaedics remain under particular pressure.</w:t>
      </w:r>
    </w:p>
    <w:p>
      <w:r>
        <w:t>The accompanying Excel dashboard enables stakeholders to explore these trends interactively, filtering by ICB, specialty, and time period to support local planning and performance management.</w:t>
      </w:r>
    </w:p>
    <w:p>
      <w:pPr>
        <w:pStyle w:val="Heading1"/>
      </w:pPr>
      <w:r>
        <w:t>9. References</w:t>
      </w:r>
    </w:p>
    <w:p>
      <w:r>
        <w:t>NHS England (2026). Consultant-led Referral to Treatment Waiting Times. Available at: https://www.england.nhs.uk/statistics/statistical-work-areas/rtt-waiting-times/ (Accessed: June 2026).</w:t>
      </w:r>
    </w:p>
    <w:p>
      <w:r>
        <w:t>Department of Health and Social Care (2024). The NHS Constitution for England. Available at: https://www.gov.uk/government/publications/the-nhs-constitution-for-england</w:t>
      </w:r>
    </w:p>
    <w:p>
      <w:r>
        <w:t>NHS England (2023). Delivery plan for tackling the COVID-19 backlog of elective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