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executive-summary"/>
    <w:p>
      <w:pPr>
        <w:pStyle w:val="Heading1"/>
      </w:pPr>
      <w:r>
        <w:t xml:space="preserve">Executive Summary</w:t>
      </w:r>
    </w:p>
    <w:bookmarkStart w:id="20" w:name="business-issue"/>
    <w:p>
      <w:pPr>
        <w:pStyle w:val="Heading2"/>
      </w:pPr>
      <w:r>
        <w:t xml:space="preserve">1. Business Issue</w:t>
      </w:r>
    </w:p>
    <w:p>
      <w:pPr>
        <w:pStyle w:val="FirstParagraph"/>
      </w:pPr>
      <w:r>
        <w:t xml:space="preserve">Customer support teams must resolve tickets within agreed Service Level Agreements (SLAs). Missing SLA targets can lead to customer dissatisfaction, reputational damage, and increased operational costs. Support managers often need to decide which incoming tickets require immediate attention, but manually identifying high-risk tickets becomes difficult as ticket volumes increase. This project explored whether machine learning could help identify tickets that are likely to breach SLA targets at the point of submission.</w:t>
      </w:r>
    </w:p>
    <w:bookmarkEnd w:id="20"/>
    <w:bookmarkStart w:id="21" w:name="what-the-model-does"/>
    <w:p>
      <w:pPr>
        <w:pStyle w:val="Heading2"/>
      </w:pPr>
      <w:r>
        <w:t xml:space="preserve">2. What the Model Does</w:t>
      </w:r>
    </w:p>
    <w:p>
      <w:pPr>
        <w:pStyle w:val="FirstParagraph"/>
      </w:pPr>
      <w:r>
        <w:t xml:space="preserve">The model analyses information available when a support ticket is created, including ticket priority, issue type, customer characteristics, support channel, workload indicators, and sentiment-related features. Using these inputs, the model estimates the likelihood that a ticket will breach its SLA target. The output is a risk score that can help support teams prioritise tickets, allocate resources more effectively, and intervene earlier on potentially problematic cases.</w:t>
      </w:r>
    </w:p>
    <w:bookmarkEnd w:id="21"/>
    <w:bookmarkStart w:id="22" w:name="key-result"/>
    <w:p>
      <w:pPr>
        <w:pStyle w:val="Heading2"/>
      </w:pPr>
      <w:r>
        <w:t xml:space="preserve">3. Key Result</w:t>
      </w:r>
    </w:p>
    <w:tbl>
      <w:tblPr>
        <w:tblStyle w:val="Table"/>
        <w:tblW w:type="pct" w:w="5000"/>
        <w:tblLayout w:type="fixed"/>
        <w:tblLook w:firstRow="1" w:lastRow="0" w:firstColumn="0" w:lastColumn="0" w:noHBand="0" w:noVBand="0" w:val="0020"/>
      </w:tblPr>
      <w:tblGrid>
        <w:gridCol w:w="2828"/>
        <w:gridCol w:w="2545"/>
        <w:gridCol w:w="2545"/>
      </w:tblGrid>
      <w:tr>
        <w:trPr>
          <w:tblHeader w:val="on"/>
        </w:trPr>
        <w:tc>
          <w:tcPr/>
          <w:p>
            <w:pPr>
              <w:pStyle w:val="Compact"/>
            </w:pPr>
            <w:r>
              <w:t xml:space="preserve">Metric</w:t>
            </w:r>
          </w:p>
        </w:tc>
        <w:tc>
          <w:tcPr/>
          <w:p>
            <w:pPr>
              <w:pStyle w:val="Compact"/>
            </w:pPr>
            <w:r>
              <w:t xml:space="preserve">Value</w:t>
            </w:r>
          </w:p>
        </w:tc>
        <w:tc>
          <w:tcPr/>
          <w:p>
            <w:pPr>
              <w:pStyle w:val="Compact"/>
            </w:pPr>
            <w:r>
              <w:t xml:space="preserve">Business Meaning</w:t>
            </w:r>
          </w:p>
        </w:tc>
      </w:tr>
      <w:tr>
        <w:tc>
          <w:tcPr/>
          <w:p>
            <w:pPr>
              <w:pStyle w:val="Compact"/>
            </w:pPr>
            <w:r>
              <w:t xml:space="preserve">Precision</w:t>
            </w:r>
          </w:p>
        </w:tc>
        <w:tc>
          <w:tcPr/>
          <w:p>
            <w:pPr>
              <w:pStyle w:val="Compact"/>
            </w:pPr>
            <w:r>
              <w:t xml:space="preserve">89.2%</w:t>
            </w:r>
          </w:p>
        </w:tc>
        <w:tc>
          <w:tcPr/>
          <w:p>
            <w:pPr>
              <w:pStyle w:val="Compact"/>
            </w:pPr>
            <w:r>
              <w:t xml:space="preserve">When the model predicts a breach, it is correct approximately 9 out of 10 times.</w:t>
            </w:r>
          </w:p>
        </w:tc>
      </w:tr>
      <w:tr>
        <w:tc>
          <w:tcPr/>
          <w:p>
            <w:pPr>
              <w:pStyle w:val="Compact"/>
            </w:pPr>
            <w:r>
              <w:t xml:space="preserve">Recall</w:t>
            </w:r>
          </w:p>
        </w:tc>
        <w:tc>
          <w:tcPr/>
          <w:p>
            <w:pPr>
              <w:pStyle w:val="Compact"/>
            </w:pPr>
            <w:r>
              <w:t xml:space="preserve">91.3%</w:t>
            </w:r>
          </w:p>
        </w:tc>
        <w:tc>
          <w:tcPr/>
          <w:p>
            <w:pPr>
              <w:pStyle w:val="Compact"/>
            </w:pPr>
            <w:r>
              <w:t xml:space="preserve">The model successfully identifies more than 9 out of 10 future SLA breaches.</w:t>
            </w:r>
          </w:p>
        </w:tc>
      </w:tr>
      <w:tr>
        <w:tc>
          <w:tcPr/>
          <w:p>
            <w:pPr>
              <w:pStyle w:val="Compact"/>
            </w:pPr>
            <w:r>
              <w:t xml:space="preserve">F1 Score</w:t>
            </w:r>
          </w:p>
        </w:tc>
        <w:tc>
          <w:tcPr/>
          <w:p>
            <w:pPr>
              <w:pStyle w:val="Compact"/>
            </w:pPr>
            <w:r>
              <w:t xml:space="preserve">90.3%</w:t>
            </w:r>
          </w:p>
        </w:tc>
        <w:tc>
          <w:tcPr/>
          <w:p>
            <w:pPr>
              <w:pStyle w:val="Compact"/>
            </w:pPr>
            <w:r>
              <w:t xml:space="preserve">Strong overall balance between detecting breaches and limiting false alarms.</w:t>
            </w:r>
          </w:p>
        </w:tc>
      </w:tr>
      <w:tr>
        <w:tc>
          <w:tcPr/>
          <w:p>
            <w:pPr>
              <w:pStyle w:val="Compact"/>
            </w:pPr>
            <w:r>
              <w:t xml:space="preserve">ROC-AUC</w:t>
            </w:r>
          </w:p>
        </w:tc>
        <w:tc>
          <w:tcPr/>
          <w:p>
            <w:pPr>
              <w:pStyle w:val="Compact"/>
            </w:pPr>
            <w:r>
              <w:t xml:space="preserve">96.1%</w:t>
            </w:r>
          </w:p>
        </w:tc>
        <w:tc>
          <w:tcPr/>
          <w:p>
            <w:pPr>
              <w:pStyle w:val="Compact"/>
            </w:pPr>
            <w:r>
              <w:t xml:space="preserve">Excellent ability to distinguish between high-risk and low-risk tickets.</w:t>
            </w:r>
          </w:p>
        </w:tc>
      </w:tr>
      <w:tr>
        <w:tc>
          <w:tcPr/>
          <w:p>
            <w:pPr>
              <w:pStyle w:val="Compact"/>
            </w:pPr>
            <w:r>
              <w:t xml:space="preserve">Chosen Threshold</w:t>
            </w:r>
          </w:p>
        </w:tc>
        <w:tc>
          <w:tcPr/>
          <w:p>
            <w:pPr>
              <w:pStyle w:val="Compact"/>
            </w:pPr>
            <w:r>
              <w:t xml:space="preserve">0.50</w:t>
            </w:r>
          </w:p>
        </w:tc>
        <w:tc>
          <w:tcPr/>
          <w:p>
            <w:pPr>
              <w:pStyle w:val="Compact"/>
            </w:pPr>
            <w:r>
              <w:t xml:space="preserve">Provides the best balance between operational workload and breach detection.</w:t>
            </w:r>
          </w:p>
        </w:tc>
      </w:tr>
    </w:tbl>
    <w:bookmarkEnd w:id="22"/>
    <w:bookmarkStart w:id="23" w:name="recommendation"/>
    <w:p>
      <w:pPr>
        <w:pStyle w:val="Heading2"/>
      </w:pPr>
      <w:r>
        <w:t xml:space="preserve">4. Recommendation</w:t>
      </w:r>
    </w:p>
    <w:p>
      <w:pPr>
        <w:pStyle w:val="FirstParagraph"/>
      </w:pPr>
      <w:r>
        <w:t xml:space="preserve">The prototype demonstrates strong technical performance and confirms that SLA breach prediction is feasible. However, the dataset used for development was synthetic rather than collected from real support operations. Therefore, the recommended next step is further validation using historical production ticket data before any pilot deployment is considered. The project should currently be treated as a proof of concept rather than a production-ready solution.</w:t>
      </w:r>
    </w:p>
    <w:bookmarkEnd w:id="23"/>
    <w:bookmarkStart w:id="24" w:name="risks-and-controls"/>
    <w:p>
      <w:pPr>
        <w:pStyle w:val="Heading2"/>
      </w:pPr>
      <w:r>
        <w:t xml:space="preserve">5. Risks and Controls</w:t>
      </w:r>
    </w:p>
    <w:p>
      <w:pPr>
        <w:pStyle w:val="Compact"/>
        <w:numPr>
          <w:ilvl w:val="0"/>
          <w:numId w:val="1001"/>
        </w:numPr>
      </w:pPr>
      <w:r>
        <w:t xml:space="preserve">Use model predictions as decision-support information rather than fully automated decision-making.</w:t>
      </w:r>
    </w:p>
    <w:p>
      <w:pPr>
        <w:pStyle w:val="Compact"/>
        <w:numPr>
          <w:ilvl w:val="0"/>
          <w:numId w:val="1001"/>
        </w:numPr>
      </w:pPr>
      <w:r>
        <w:t xml:space="preserve">Monitor model performance regularly for data drift and changes in support-ticket patterns.</w:t>
      </w:r>
    </w:p>
    <w:p>
      <w:pPr>
        <w:pStyle w:val="Compact"/>
        <w:numPr>
          <w:ilvl w:val="0"/>
          <w:numId w:val="1001"/>
        </w:numPr>
      </w:pPr>
      <w:r>
        <w:t xml:space="preserve">Ensure high-risk predictions are reviewed by support managers before operational action is taken.</w:t>
      </w:r>
    </w:p>
    <w:p>
      <w:pPr>
        <w:pStyle w:val="Compact"/>
        <w:numPr>
          <w:ilvl w:val="0"/>
          <w:numId w:val="1001"/>
        </w:numPr>
      </w:pPr>
      <w:r>
        <w:t xml:space="preserve">Continue excluding leakage variables and post-resolution information from future model training.</w:t>
      </w:r>
    </w:p>
    <w:p>
      <w:pPr>
        <w:pStyle w:val="Compact"/>
        <w:numPr>
          <w:ilvl w:val="0"/>
          <w:numId w:val="1001"/>
        </w:numPr>
      </w:pPr>
      <w:r>
        <w:t xml:space="preserve">Validate the model using real operational data before deployment to ensure results generalise beyond the synthetic training dataset.</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2026-06-09T02:12:06Z</dcterms:created>
  <dcterms:modified xsi:type="dcterms:W3CDTF">2026-06-09T02:12:06Z</dcterms:modified>
</cp:coreProperties>
</file>

<file path=docProps/custom.xml><?xml version="1.0" encoding="utf-8"?>
<Properties xmlns="http://schemas.openxmlformats.org/officeDocument/2006/custom-properties" xmlns:vt="http://schemas.openxmlformats.org/officeDocument/2006/docPropsVTypes"/>
</file>