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51ED4EFE" w:rsidR="006010D3" w:rsidRDefault="002E56FE" w:rsidP="00E05634">
      <w:pPr>
        <w:pStyle w:val="1"/>
        <w:ind w:firstLine="723"/>
      </w:pPr>
      <w:bookmarkStart w:id="0" w:name="_Toc535075931"/>
      <w:r>
        <w:rPr>
          <w:rFonts w:hint="eastAsia"/>
        </w:rPr>
        <w:lastRenderedPageBreak/>
        <w:t>第</w:t>
      </w:r>
      <w:r w:rsidR="00305957">
        <w:rPr>
          <w:rFonts w:hint="eastAsia"/>
        </w:rPr>
        <w:t>1</w:t>
      </w:r>
      <w:r>
        <w:rPr>
          <w:rFonts w:hint="eastAsia"/>
        </w:rPr>
        <w:t>章</w:t>
      </w:r>
      <w:r>
        <w:rPr>
          <w:rFonts w:hint="eastAsia"/>
        </w:rPr>
        <w:t xml:space="preserve"> </w:t>
      </w:r>
      <w:r>
        <w:t xml:space="preserve"> </w:t>
      </w:r>
      <w:r w:rsidR="006010D3" w:rsidRPr="006010D3">
        <w:rPr>
          <w:rFonts w:hint="eastAsia"/>
        </w:rPr>
        <w:t>绪论</w:t>
      </w:r>
      <w:bookmarkEnd w:id="0"/>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8"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）简单时频特征</w:t>
      </w:r>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r w:rsidR="00F77E3E" w:rsidRPr="00C21FDD">
        <w:rPr>
          <w:rFonts w:hint="eastAsia"/>
          <w:lang w:val="zh-CN"/>
        </w:rPr>
        <w:t>过零率：</w:t>
      </w:r>
      <w:r w:rsidRPr="00C21FDD">
        <w:rPr>
          <w:lang w:val="zh-CN"/>
        </w:rPr>
        <w:t>其测量信号内的符号变化的平均速率，并且与单声道声音的主频率相关</w:t>
      </w:r>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proofErr w:type="spellStart"/>
      <w:r w:rsidR="000B1A5B" w:rsidRPr="00887F0C">
        <w:t>Patil</w:t>
      </w:r>
      <w:proofErr w:type="spellEnd"/>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9" w:tooltip="线性预测" w:history="1">
        <w:r w:rsidR="00146C7A" w:rsidRPr="00146C7A">
          <w:t>线性预测</w:t>
        </w:r>
      </w:hyperlink>
      <w:r w:rsidR="00146C7A" w:rsidRPr="00146C7A">
        <w:t>模型的信息用</w:t>
      </w:r>
      <w:hyperlink r:id="rId10" w:tooltip="数据压缩" w:history="1">
        <w:r w:rsidR="00146C7A" w:rsidRPr="00146C7A">
          <w:t>压缩</w:t>
        </w:r>
      </w:hyperlink>
      <w:r w:rsidR="00146C7A" w:rsidRPr="00146C7A">
        <w:t>形式表示</w:t>
      </w:r>
      <w:hyperlink r:id="rId11" w:tooltip="数字" w:history="1">
        <w:r w:rsidR="00146C7A" w:rsidRPr="00146C7A">
          <w:t>数字</w:t>
        </w:r>
      </w:hyperlink>
      <w:hyperlink r:id="rId12" w:tooltip="语音" w:history="1">
        <w:r w:rsidR="00146C7A" w:rsidRPr="00146C7A">
          <w:t>语音</w:t>
        </w:r>
      </w:hyperlink>
      <w:hyperlink r:id="rId13" w:tooltip="信号" w:history="1">
        <w:r w:rsidR="00146C7A" w:rsidRPr="00146C7A">
          <w:t>信号</w:t>
        </w:r>
      </w:hyperlink>
      <w:hyperlink r:id="rId14"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r w:rsidRPr="00887F0C">
        <w:t>个先前时刻的样本的线性组合：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21D50978" w:rsidR="00E350B9" w:rsidRPr="00FB21F1" w:rsidRDefault="00E350B9" w:rsidP="00A3441E">
      <w:pPr>
        <w:ind w:firstLine="480"/>
      </w:pPr>
      <w:r w:rsidRPr="00E350B9">
        <w:t>卷积神经网络（</w:t>
      </w:r>
      <w:r w:rsidRPr="00E350B9">
        <w:t>Convolutional Neural Network, CNN</w:t>
      </w:r>
      <w:r w:rsidRPr="00E350B9">
        <w:t>）</w:t>
      </w:r>
      <w:r>
        <w:rPr>
          <w:rFonts w:hint="eastAsia"/>
        </w:rPr>
        <w:t>深度学习中一种重要的网络架构。它</w:t>
      </w:r>
      <w:r w:rsidRPr="00FB21F1">
        <w:t>是一种</w:t>
      </w:r>
      <w:r w:rsidR="0097484F">
        <w:fldChar w:fldCharType="begin"/>
      </w:r>
      <w:r w:rsidR="0097484F">
        <w:instrText xml:space="preserve"> HYPERLINK "https://zh.wikipedia.org/wiki/%E5%89%8D%E9%A6%88%E7%A5%9E%E7%BB%8F%E7%BD%91%E7%BB%9C" \o "</w:instrText>
      </w:r>
      <w:r w:rsidR="0097484F">
        <w:instrText>前馈神经网络</w:instrText>
      </w:r>
      <w:r w:rsidR="0097484F">
        <w:instrText xml:space="preserve">" </w:instrText>
      </w:r>
      <w:r w:rsidR="0097484F">
        <w:fldChar w:fldCharType="separate"/>
      </w:r>
      <w:r w:rsidRPr="00FB21F1">
        <w:t>前馈神经网络</w:t>
      </w:r>
      <w:r w:rsidR="0097484F">
        <w:fldChar w:fldCharType="end"/>
      </w:r>
      <w:r w:rsidRPr="00FB21F1">
        <w:t>，它的人工神经元可以响应一部分覆盖范围内的周围单元。卷积神经网络由一个或多个卷积层和顶端的全连通层（对应经典的神经网络）组成，同时也包括关联权重和</w:t>
      </w:r>
      <w:r w:rsidRPr="00FB21F1">
        <w:fldChar w:fldCharType="begin"/>
      </w:r>
      <w:r w:rsidRPr="00FB21F1">
        <w:instrText xml:space="preserve"> HYPERLINK "https://zh.wikipedia.org/w/index.php?title=%E6%B1%A0%E5%8C%96&amp;action=edit&amp;redlink=1" \o "</w:instrText>
      </w:r>
      <w:r w:rsidRPr="00FB21F1">
        <w:instrText>池化（页面不存在）</w:instrText>
      </w:r>
      <w:r w:rsidRPr="00FB21F1">
        <w:instrText xml:space="preserve">" </w:instrText>
      </w:r>
      <w:r w:rsidRPr="00FB21F1">
        <w:fldChar w:fldCharType="separate"/>
      </w:r>
      <w:r w:rsidRPr="00FB21F1">
        <w:t>池化</w:t>
      </w:r>
      <w:r w:rsidRPr="00FB21F1">
        <w:fldChar w:fldCharType="end"/>
      </w:r>
      <w:r w:rsidRPr="00FB21F1">
        <w:t>层（</w:t>
      </w:r>
      <w:r w:rsidRPr="00FB21F1">
        <w:t>pooling layer</w:t>
      </w:r>
      <w:r w:rsidRPr="00FB21F1">
        <w:t>）。这一结构使得卷积神经网络能够利用输入数据的二维结构。</w:t>
      </w:r>
    </w:p>
    <w:p w14:paraId="4C7ED223" w14:textId="475D9F10" w:rsidR="00FB21F1" w:rsidRPr="00CD48E3" w:rsidRDefault="00E350B9" w:rsidP="00A3441E">
      <w:pPr>
        <w:ind w:firstLine="480"/>
        <w:rPr>
          <w:rFonts w:ascii="宋体" w:hAnsi="宋体"/>
          <w:szCs w:val="24"/>
        </w:rPr>
      </w:pPr>
      <w:r>
        <w:rPr>
          <w:rFonts w:ascii="宋体" w:hAnsi="宋体" w:hint="eastAsia"/>
          <w:szCs w:val="24"/>
        </w:rPr>
        <w:t>卷积神经网络结构的确立源自于1</w:t>
      </w:r>
      <w:r>
        <w:rPr>
          <w:rFonts w:ascii="宋体" w:hAnsi="宋体"/>
          <w:szCs w:val="24"/>
        </w:rPr>
        <w:t>997</w:t>
      </w:r>
      <w:r>
        <w:rPr>
          <w:rFonts w:ascii="宋体" w:hAnsi="宋体" w:hint="eastAsia"/>
          <w:szCs w:val="24"/>
        </w:rPr>
        <w:t>年</w:t>
      </w:r>
      <w:r w:rsidRPr="006B0BF8">
        <w:rPr>
          <w:rFonts w:ascii="宋体" w:hAnsi="宋体"/>
          <w:szCs w:val="24"/>
        </w:rPr>
        <w:t xml:space="preserve">（Le </w:t>
      </w:r>
      <w:proofErr w:type="spellStart"/>
      <w:r w:rsidRPr="006B0BF8">
        <w:rPr>
          <w:rFonts w:ascii="宋体" w:hAnsi="宋体"/>
          <w:szCs w:val="24"/>
        </w:rPr>
        <w:t>Cun</w:t>
      </w:r>
      <w:proofErr w:type="spellEnd"/>
      <w:r w:rsidRPr="006B0BF8">
        <w:rPr>
          <w:rFonts w:ascii="宋体" w:hAnsi="宋体"/>
          <w:szCs w:val="24"/>
        </w:rPr>
        <w:t>等，1997）</w:t>
      </w:r>
      <w:r>
        <w:rPr>
          <w:rFonts w:ascii="宋体" w:hAnsi="宋体" w:hint="eastAsia"/>
          <w:szCs w:val="24"/>
        </w:rPr>
        <w:t>人的论文，他们设计了一种名为L</w:t>
      </w:r>
      <w:r>
        <w:rPr>
          <w:rFonts w:ascii="宋体" w:hAnsi="宋体"/>
          <w:szCs w:val="24"/>
        </w:rPr>
        <w:t>eNet-5</w:t>
      </w:r>
      <w:r>
        <w:rPr>
          <w:rFonts w:ascii="宋体" w:hAnsi="宋体" w:hint="eastAsia"/>
          <w:szCs w:val="24"/>
        </w:rPr>
        <w:t>的多层人工神经网络，可以对手写识别数字做分类。卷积神经网络也像其他神经网络一样可以使用反向传播算法进行训练。</w:t>
      </w:r>
      <w:r w:rsidR="006B0BF8">
        <w:rPr>
          <w:rFonts w:ascii="宋体" w:hAnsi="宋体" w:hint="eastAsia"/>
          <w:szCs w:val="24"/>
        </w:rPr>
        <w:t>卷积神经网络的热潮的掀起则是由于2</w:t>
      </w:r>
      <w:r w:rsidR="006B0BF8">
        <w:rPr>
          <w:rFonts w:ascii="宋体" w:hAnsi="宋体"/>
          <w:szCs w:val="24"/>
        </w:rPr>
        <w:t>012</w:t>
      </w:r>
      <w:r w:rsidR="006B0BF8">
        <w:rPr>
          <w:rFonts w:ascii="宋体" w:hAnsi="宋体" w:hint="eastAsia"/>
          <w:szCs w:val="24"/>
        </w:rPr>
        <w:t>年开始举办的I</w:t>
      </w:r>
      <w:r w:rsidR="006B0BF8">
        <w:rPr>
          <w:rFonts w:ascii="宋体" w:hAnsi="宋体"/>
          <w:szCs w:val="24"/>
        </w:rPr>
        <w:t>mageNet</w:t>
      </w:r>
      <w:r w:rsidR="006B0BF8">
        <w:rPr>
          <w:rFonts w:ascii="宋体" w:hAnsi="宋体" w:hint="eastAsia"/>
          <w:szCs w:val="24"/>
        </w:rPr>
        <w:t>图像分类比赛</w:t>
      </w:r>
      <w:r w:rsidR="006B0BF8" w:rsidRPr="006B0BF8">
        <w:rPr>
          <w:rFonts w:ascii="宋体" w:hAnsi="宋体"/>
          <w:szCs w:val="24"/>
        </w:rPr>
        <w:t>。</w:t>
      </w:r>
      <w:r w:rsidR="00222EA4">
        <w:rPr>
          <w:rFonts w:ascii="宋体" w:hAnsi="宋体" w:hint="eastAsia"/>
          <w:szCs w:val="24"/>
        </w:rPr>
        <w:t>赛中</w:t>
      </w:r>
      <w:r w:rsidR="00222EA4" w:rsidRPr="006B0BF8">
        <w:rPr>
          <w:rFonts w:ascii="宋体" w:hAnsi="宋体"/>
          <w:szCs w:val="24"/>
        </w:rPr>
        <w:lastRenderedPageBreak/>
        <w:t>（</w:t>
      </w:r>
      <w:proofErr w:type="spellStart"/>
      <w:r w:rsidR="00222EA4" w:rsidRPr="006B0BF8">
        <w:rPr>
          <w:rFonts w:ascii="宋体" w:hAnsi="宋体"/>
          <w:szCs w:val="24"/>
        </w:rPr>
        <w:t>Krizhevsky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[5]与Dropout[6]方法，取得了卓越的效果。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w:t>
      </w:r>
      <w:r w:rsidRPr="00184C9B">
        <w:lastRenderedPageBreak/>
        <w:t>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特征集的每个帧进行训练，然后对每个帧的结果进行阈值化并投票选择音频数据的最终场景标签。其系统准确度胜过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63988934" w14:textId="638D2D0E" w:rsidR="002E7FFE" w:rsidRPr="00184C9B" w:rsidRDefault="002E7FFE" w:rsidP="00A344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w:t>
      </w:r>
      <w:r w:rsidRPr="00184C9B">
        <w:lastRenderedPageBreak/>
        <w:t>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ind w:firstLine="600"/>
        <w:jc w:val="left"/>
        <w:rPr>
          <w:rFonts w:ascii="Heiti SC Medium" w:eastAsia="Heiti SC Medium" w:hAnsi="Heiti SC Medium"/>
          <w:sz w:val="30"/>
          <w:szCs w:val="30"/>
        </w:rPr>
      </w:pP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ED7A19F" w14:textId="77777777" w:rsidR="00744AF3" w:rsidRPr="00744AF3" w:rsidRDefault="00744AF3" w:rsidP="00A3441E">
      <w:pPr>
        <w:ind w:firstLine="480"/>
        <w:rPr>
          <w:rFonts w:ascii="Songti SC" w:eastAsia="Songti SC" w:hAnsi="Songti SC"/>
        </w:rPr>
      </w:pPr>
    </w:p>
    <w:p w14:paraId="28DBCD89" w14:textId="49DE73D1" w:rsidR="006010D3" w:rsidRPr="006010D3" w:rsidRDefault="00FB21F1" w:rsidP="00A3441E">
      <w:pPr>
        <w:ind w:firstLine="480"/>
        <w:rPr>
          <w:rFonts w:ascii="Songti SC" w:eastAsia="Songti SC" w:hAnsi="Songti SC"/>
        </w:rPr>
      </w:pPr>
      <w:r w:rsidRPr="00514634">
        <w:rPr>
          <w:rFonts w:hint="eastAsia"/>
        </w:rPr>
        <w:t>具体研究内容章节如下：</w:t>
      </w:r>
      <w:r w:rsidR="006C6F4C">
        <w:rPr>
          <w:rFonts w:ascii="Songti SC" w:eastAsia="Songti SC" w:hAnsi="Songti SC"/>
        </w:rPr>
        <w:br w:type="page"/>
      </w:r>
    </w:p>
    <w:p w14:paraId="4FA93018" w14:textId="3AB76957" w:rsidR="00024289" w:rsidRPr="00CD48E3" w:rsidRDefault="00CD48E3" w:rsidP="00CD48E3">
      <w:pPr>
        <w:pStyle w:val="1"/>
        <w:ind w:firstLine="723"/>
      </w:pPr>
      <w:bookmarkStart w:id="7" w:name="_Toc535075938"/>
      <w:r>
        <w:rPr>
          <w:rFonts w:hint="eastAsia"/>
        </w:rPr>
        <w:lastRenderedPageBreak/>
        <w:t>第</w:t>
      </w:r>
      <w:r>
        <w:t>2</w:t>
      </w:r>
      <w:r>
        <w:rPr>
          <w:rFonts w:hint="eastAsia"/>
        </w:rPr>
        <w:t>章</w:t>
      </w:r>
      <w:r>
        <w:rPr>
          <w:rFonts w:hint="eastAsia"/>
        </w:rPr>
        <w:t xml:space="preserve"> </w:t>
      </w:r>
      <w:r>
        <w:t xml:space="preserve"> </w:t>
      </w:r>
      <w:r w:rsidR="00744AF3">
        <w:rPr>
          <w:rFonts w:hint="eastAsia"/>
        </w:rPr>
        <w:t>音频场景</w:t>
      </w:r>
      <w:r w:rsidR="00024289">
        <w:rPr>
          <w:rFonts w:hint="eastAsia"/>
        </w:rPr>
        <w:t>分类</w:t>
      </w:r>
      <w:r w:rsidR="006010D3" w:rsidRPr="006010D3">
        <w:rPr>
          <w:rFonts w:hint="eastAsia"/>
        </w:rPr>
        <w:t>基线系统</w:t>
      </w:r>
      <w:bookmarkEnd w:id="7"/>
    </w:p>
    <w:p w14:paraId="056D90BD" w14:textId="48E600BF" w:rsidR="00024289" w:rsidRPr="00A3441E" w:rsidRDefault="00024289" w:rsidP="00A3441E">
      <w:pPr>
        <w:pStyle w:val="2"/>
      </w:pPr>
      <w:bookmarkStart w:id="8" w:name="_Toc535075939"/>
      <w:r w:rsidRPr="00A3441E">
        <w:rPr>
          <w:rFonts w:hint="eastAsia"/>
        </w:rPr>
        <w:t>2</w:t>
      </w:r>
      <w:r w:rsidRPr="00A3441E">
        <w:t>.1</w:t>
      </w:r>
      <w:r w:rsidRPr="00A3441E">
        <w:rPr>
          <w:rFonts w:hint="eastAsia"/>
        </w:rPr>
        <w:t>系统结构简介</w:t>
      </w:r>
      <w:bookmarkEnd w:id="8"/>
    </w:p>
    <w:p w14:paraId="10543732" w14:textId="110848E7"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。因此选取以上经典方法作为音频场景分类的基线系统，以判断之后提出的基于卷积神经网络的分类器的优势。</w:t>
      </w:r>
    </w:p>
    <w:p w14:paraId="1667C4D3" w14:textId="05E17CFF" w:rsidR="00F67C67" w:rsidRPr="00F67C67"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p>
    <w:p w14:paraId="4BBAE3ED" w14:textId="5BC6D875" w:rsidR="00F67C67" w:rsidRPr="005B20B5" w:rsidRDefault="00F67C67" w:rsidP="00024289">
      <w:pPr>
        <w:spacing w:line="360" w:lineRule="auto"/>
        <w:ind w:firstLine="480"/>
        <w:jc w:val="left"/>
      </w:pPr>
    </w:p>
    <w:p w14:paraId="0C9A3A45" w14:textId="59ED3207" w:rsidR="00F67C67" w:rsidRPr="00A3441E" w:rsidRDefault="00F67C67" w:rsidP="00A3441E">
      <w:pPr>
        <w:pStyle w:val="2"/>
      </w:pPr>
      <w:bookmarkStart w:id="9" w:name="_Toc535075940"/>
      <w:r w:rsidRPr="00A3441E">
        <w:rPr>
          <w:rFonts w:hint="eastAsia"/>
        </w:rPr>
        <w:t>2</w:t>
      </w:r>
      <w:r w:rsidRPr="00A3441E">
        <w:t>.2</w:t>
      </w:r>
      <w:r w:rsidRPr="00A3441E">
        <w:rPr>
          <w:rFonts w:hint="eastAsia"/>
        </w:rPr>
        <w:t>特征处理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5B2977">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5">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通常借助</w:t>
      </w:r>
      <w:r w:rsidRPr="00C53702">
        <w:t>高通数字滤波器来实现。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r w:rsidRPr="00627F93">
        <w:rPr>
          <w:rFonts w:hint="eastAsia"/>
        </w:rPr>
        <w:t>分帧将从模数转换（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r>
        <w:rPr>
          <w:rFonts w:hint="eastAsia"/>
        </w:rPr>
        <w:t>个样本的帧。相邻帧由</w:t>
      </w:r>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在预加重与分帧完成后，需要为每一帧加上海明窗（</w:t>
      </w:r>
      <w:r>
        <w:rPr>
          <w:rFonts w:hint="eastAsia"/>
        </w:rPr>
        <w:t>H</w:t>
      </w:r>
      <w:r>
        <w:t>amming window</w:t>
      </w:r>
      <w:r>
        <w:rPr>
          <w:rFonts w:hint="eastAsia"/>
        </w:rPr>
        <w:t>）。加窗是为了控制数据处理量，每次仅处理窗中数据。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有限个点的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为输入信号，则加窗结果如下：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lastRenderedPageBreak/>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r w:rsidRPr="00937670">
        <w:t>个样本的每个帧从时域转换到频域。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6B4A700E"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Pr="00937670">
        <w:rPr>
          <w:rFonts w:ascii="宋体" w:hAnsi="宋体" w:cs="宋体"/>
          <w:kern w:val="0"/>
          <w:szCs w:val="24"/>
        </w:rPr>
        <w:instrText xml:space="preserve"> INCLUDEPICTURE "/var/folders/24/90znh6k16dq9bwdwlhgdsr_w0000gn/T/com.microsoft.Word/WebArchiveCopyPasteTempFiles/Q0UUw.png" \* MERGEFORMATINET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频率倒谱系数。系数集称为声矢量。因此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171217F6" w:rsidR="00FC7B5B" w:rsidRPr="00CE1B99" w:rsidRDefault="00CE1B99" w:rsidP="00CE1B99">
      <w:pPr>
        <w:ind w:firstLine="480"/>
        <w:rPr>
          <w:rFonts w:hint="eastAsia"/>
        </w:rPr>
      </w:pPr>
      <w:r w:rsidRPr="00CE1B99">
        <w:rPr>
          <w:rFonts w:hint="eastAsia"/>
        </w:rPr>
        <w:t>13</w:t>
      </w:r>
      <w:r w:rsidRPr="00CE1B99">
        <w:rPr>
          <w:rFonts w:hint="eastAsia"/>
        </w:rPr>
        <w:t>个</w:t>
      </w:r>
      <w:r w:rsidR="009501A8">
        <w:rPr>
          <w:rFonts w:hint="eastAsia"/>
        </w:rPr>
        <w:t>一阶</w:t>
      </w:r>
      <w:r w:rsidRPr="00CE1B99">
        <w:rPr>
          <w:rFonts w:hint="eastAsia"/>
        </w:rPr>
        <w:t>差分</w:t>
      </w:r>
      <w:r w:rsidRPr="00CE1B99">
        <w:rPr>
          <w:rFonts w:hint="eastAsia"/>
        </w:rPr>
        <w:t>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w:t>
      </w:r>
      <w:r w:rsidRPr="00CE1B99">
        <w:rPr>
          <w:rFonts w:hint="eastAsia"/>
        </w:rPr>
        <w:lastRenderedPageBreak/>
        <w:t>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1C8D36A2" w14:textId="650B0859" w:rsidR="0046234A" w:rsidRPr="005C4CE3" w:rsidRDefault="0046234A" w:rsidP="005C4CE3">
      <w:pPr>
        <w:ind w:firstLine="480"/>
        <w:rPr>
          <w:rFonts w:hint="eastAsia"/>
        </w:rPr>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2874BA34" w14:textId="0B09A786" w:rsidR="00937670" w:rsidRPr="005301DD" w:rsidRDefault="00937670" w:rsidP="0046234A">
      <w:pPr>
        <w:ind w:firstLine="480"/>
      </w:pPr>
      <w:bookmarkStart w:id="11" w:name="_GoBack"/>
      <w:bookmarkEnd w:id="11"/>
      <w:r>
        <w:br w:type="page"/>
      </w:r>
    </w:p>
    <w:p w14:paraId="7AF95BEE" w14:textId="2142AF7A" w:rsidR="006010D3" w:rsidRPr="006010D3" w:rsidRDefault="00CD48E3" w:rsidP="00CD48E3">
      <w:pPr>
        <w:pStyle w:val="1"/>
        <w:ind w:firstLine="723"/>
      </w:pPr>
      <w:bookmarkStart w:id="12" w:name="_Toc535075942"/>
      <w:r>
        <w:rPr>
          <w:rFonts w:hint="eastAsia"/>
        </w:rPr>
        <w:lastRenderedPageBreak/>
        <w:t>第</w:t>
      </w:r>
      <w:r>
        <w:rPr>
          <w:rFonts w:hint="eastAsia"/>
        </w:rPr>
        <w:t>3</w:t>
      </w:r>
      <w:r>
        <w:rPr>
          <w:rFonts w:hint="eastAsia"/>
        </w:rPr>
        <w:t>章</w:t>
      </w:r>
      <w:r>
        <w:rPr>
          <w:rFonts w:hint="eastAsia"/>
        </w:rPr>
        <w:t xml:space="preserve"> </w:t>
      </w:r>
      <w:r>
        <w:t xml:space="preserve"> </w:t>
      </w:r>
      <w:r w:rsidR="006010D3" w:rsidRPr="006010D3">
        <w:rPr>
          <w:rFonts w:hint="eastAsia"/>
        </w:rPr>
        <w:t>基于</w:t>
      </w:r>
      <w:r w:rsidR="006010D3" w:rsidRPr="006010D3">
        <w:t xml:space="preserve">MFCC </w:t>
      </w:r>
      <w:r w:rsidR="006010D3" w:rsidRPr="006010D3">
        <w:rPr>
          <w:rFonts w:hint="eastAsia"/>
        </w:rPr>
        <w:t>和</w:t>
      </w:r>
      <w:r w:rsidR="006010D3" w:rsidRPr="006010D3">
        <w:rPr>
          <w:rFonts w:hint="eastAsia"/>
        </w:rPr>
        <w:t>CNN</w:t>
      </w:r>
      <w:r w:rsidR="006010D3" w:rsidRPr="006010D3">
        <w:rPr>
          <w:rFonts w:hint="eastAsia"/>
        </w:rPr>
        <w:t>的</w:t>
      </w:r>
      <w:r w:rsidR="00E056F5">
        <w:rPr>
          <w:rFonts w:hint="eastAsia"/>
        </w:rPr>
        <w:t>音频</w:t>
      </w:r>
      <w:r w:rsidR="006010D3" w:rsidRPr="006010D3">
        <w:rPr>
          <w:rFonts w:hint="eastAsia"/>
        </w:rPr>
        <w:t>场景识别系统</w:t>
      </w:r>
      <w:bookmarkEnd w:id="12"/>
    </w:p>
    <w:p w14:paraId="1AAE6D07" w14:textId="30996695"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2ECB188B" w14:textId="1B9D2F38" w:rsidR="005D411E" w:rsidRPr="00CD48E3" w:rsidRDefault="00CD48E3" w:rsidP="00CD48E3">
      <w:pPr>
        <w:pStyle w:val="1"/>
        <w:ind w:firstLine="723"/>
      </w:pPr>
      <w:bookmarkStart w:id="13" w:name="_Toc535075943"/>
      <w:r>
        <w:rPr>
          <w:rFonts w:hint="eastAsia"/>
        </w:rPr>
        <w:lastRenderedPageBreak/>
        <w:t>第</w:t>
      </w:r>
      <w:r>
        <w:rPr>
          <w:rFonts w:hint="eastAsia"/>
        </w:rPr>
        <w:t>4</w:t>
      </w:r>
      <w:r>
        <w:rPr>
          <w:rFonts w:hint="eastAsia"/>
        </w:rPr>
        <w:t>章</w:t>
      </w:r>
      <w:r>
        <w:rPr>
          <w:rFonts w:hint="eastAsia"/>
        </w:rPr>
        <w:t xml:space="preserve"> </w:t>
      </w:r>
      <w:r>
        <w:t xml:space="preserve"> </w:t>
      </w:r>
      <w:r w:rsidR="005D411E" w:rsidRPr="00CD48E3">
        <w:rPr>
          <w:rFonts w:hint="eastAsia"/>
        </w:rPr>
        <w:t>基于</w:t>
      </w:r>
      <w:r w:rsidR="005D411E" w:rsidRPr="00CD48E3">
        <w:t xml:space="preserve">MFCC </w:t>
      </w:r>
      <w:r w:rsidR="005D411E" w:rsidRPr="00CD48E3">
        <w:rPr>
          <w:rFonts w:hint="eastAsia"/>
        </w:rPr>
        <w:t>和</w:t>
      </w:r>
      <w:r w:rsidR="005D411E" w:rsidRPr="00CD48E3">
        <w:rPr>
          <w:rFonts w:hint="eastAsia"/>
        </w:rPr>
        <w:t>CNN</w:t>
      </w:r>
      <w:r w:rsidR="005D411E" w:rsidRPr="00CD48E3">
        <w:rPr>
          <w:rFonts w:hint="eastAsia"/>
        </w:rPr>
        <w:t>的</w:t>
      </w:r>
      <w:r w:rsidR="00E056F5" w:rsidRPr="00CD48E3">
        <w:rPr>
          <w:rFonts w:hint="eastAsia"/>
        </w:rPr>
        <w:t>音频</w:t>
      </w:r>
      <w:r w:rsidR="005D411E" w:rsidRPr="00CD48E3">
        <w:rPr>
          <w:rFonts w:hint="eastAsia"/>
        </w:rPr>
        <w:t>场景识别</w:t>
      </w:r>
      <w:r w:rsidR="00150783" w:rsidRPr="00CD48E3">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6010D3" w:rsidRDefault="006010D3" w:rsidP="00CD48E3">
      <w:pPr>
        <w:pStyle w:val="1"/>
        <w:ind w:firstLine="723"/>
      </w:pPr>
      <w:bookmarkStart w:id="14" w:name="_Toc535075944"/>
      <w:r w:rsidRPr="006010D3">
        <w:rPr>
          <w:rFonts w:hint="eastAsia"/>
        </w:rPr>
        <w:lastRenderedPageBreak/>
        <w:t>结</w:t>
      </w:r>
      <w:r w:rsidR="00CD48E3">
        <w:rPr>
          <w:rFonts w:hint="eastAsia"/>
        </w:rPr>
        <w:t xml:space="preserve"> </w:t>
      </w:r>
      <w:r w:rsidR="00CD48E3">
        <w:t xml:space="preserve"> </w:t>
      </w:r>
      <w:r w:rsidRPr="006010D3">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CD48E3">
      <w:pPr>
        <w:pStyle w:val="1"/>
        <w:ind w:firstLine="723"/>
      </w:pPr>
      <w:bookmarkStart w:id="15" w:name="_Toc535075945"/>
      <w:r w:rsidRPr="006010D3">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Patil</w:t>
      </w:r>
      <w:proofErr w:type="spellEnd"/>
      <w:r w:rsidRPr="00184C9B">
        <w:rPr>
          <w:rFonts w:ascii="Helvetica Neue" w:hAnsi="Helvetica Neue" w:cs="宋体"/>
          <w:color w:val="000000"/>
          <w:kern w:val="0"/>
          <w:sz w:val="20"/>
          <w:szCs w:val="20"/>
          <w:shd w:val="clear" w:color="auto" w:fill="FFFFFF"/>
        </w:rPr>
        <w:t xml:space="preserve">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77777777" w:rsidR="0058068F" w:rsidRDefault="0058068F" w:rsidP="0058068F">
      <w:pPr>
        <w:widowControl/>
        <w:spacing w:line="240" w:lineRule="auto"/>
        <w:ind w:firstLineChars="0" w:firstLine="0"/>
        <w:jc w:val="left"/>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00FD243C" w14:textId="1DA86B26" w:rsidR="006010D3" w:rsidRPr="00E418BC"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79C187FB" w14:textId="7037687B" w:rsidR="006010D3" w:rsidRPr="006010D3" w:rsidRDefault="006010D3" w:rsidP="00CD48E3">
      <w:pPr>
        <w:pStyle w:val="1"/>
        <w:ind w:firstLine="723"/>
      </w:pPr>
      <w:bookmarkStart w:id="16" w:name="_Toc535075946"/>
      <w:r w:rsidRPr="006010D3">
        <w:rPr>
          <w:rFonts w:hint="eastAsia"/>
        </w:rPr>
        <w:lastRenderedPageBreak/>
        <w:t>致</w:t>
      </w:r>
      <w:r w:rsidR="00CD48E3">
        <w:rPr>
          <w:rFonts w:hint="eastAsia"/>
        </w:rPr>
        <w:t xml:space="preserve"> </w:t>
      </w:r>
      <w:r w:rsidR="00CD48E3">
        <w:t xml:space="preserve"> </w:t>
      </w:r>
      <w:r w:rsidRPr="006010D3">
        <w:rPr>
          <w:rFonts w:hint="eastAsia"/>
        </w:rPr>
        <w:t>谢</w:t>
      </w:r>
      <w:bookmarkEnd w:id="16"/>
    </w:p>
    <w:sectPr w:rsidR="006010D3" w:rsidRPr="006010D3" w:rsidSect="006363F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4CB2" w14:textId="77777777" w:rsidR="0097484F" w:rsidRDefault="0097484F" w:rsidP="006E3971">
      <w:pPr>
        <w:ind w:firstLine="480"/>
      </w:pPr>
      <w:r>
        <w:separator/>
      </w:r>
    </w:p>
  </w:endnote>
  <w:endnote w:type="continuationSeparator" w:id="0">
    <w:p w14:paraId="5E908900" w14:textId="77777777" w:rsidR="0097484F" w:rsidRDefault="0097484F"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5B20B5" w:rsidRDefault="005B20B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5B20B5" w:rsidRDefault="005B20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5B20B5" w:rsidRDefault="005B20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AC8D5" w14:textId="77777777" w:rsidR="0097484F" w:rsidRDefault="0097484F" w:rsidP="006E3971">
      <w:pPr>
        <w:ind w:firstLine="480"/>
      </w:pPr>
      <w:r>
        <w:separator/>
      </w:r>
    </w:p>
  </w:footnote>
  <w:footnote w:type="continuationSeparator" w:id="0">
    <w:p w14:paraId="354A8572" w14:textId="77777777" w:rsidR="0097484F" w:rsidRDefault="0097484F"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5B20B5" w:rsidRDefault="005B20B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5B20B5" w:rsidRDefault="005B20B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5B20B5" w:rsidRDefault="005B20B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519C9"/>
    <w:rsid w:val="00065AF4"/>
    <w:rsid w:val="00090852"/>
    <w:rsid w:val="000B1A5B"/>
    <w:rsid w:val="000E4B15"/>
    <w:rsid w:val="000E7736"/>
    <w:rsid w:val="000F4BFD"/>
    <w:rsid w:val="00107BA8"/>
    <w:rsid w:val="00146C7A"/>
    <w:rsid w:val="00150783"/>
    <w:rsid w:val="00154F60"/>
    <w:rsid w:val="00184C9B"/>
    <w:rsid w:val="0019280C"/>
    <w:rsid w:val="001B7BF6"/>
    <w:rsid w:val="001C301F"/>
    <w:rsid w:val="001D2B38"/>
    <w:rsid w:val="0020496A"/>
    <w:rsid w:val="00216674"/>
    <w:rsid w:val="00222EA4"/>
    <w:rsid w:val="002410B2"/>
    <w:rsid w:val="00246BA9"/>
    <w:rsid w:val="002A2BFB"/>
    <w:rsid w:val="002D18B6"/>
    <w:rsid w:val="002E56FE"/>
    <w:rsid w:val="002E7FFE"/>
    <w:rsid w:val="00305957"/>
    <w:rsid w:val="0035135E"/>
    <w:rsid w:val="00385432"/>
    <w:rsid w:val="003870D7"/>
    <w:rsid w:val="00390892"/>
    <w:rsid w:val="003A2FA6"/>
    <w:rsid w:val="003D5286"/>
    <w:rsid w:val="003D788A"/>
    <w:rsid w:val="00407806"/>
    <w:rsid w:val="0041307A"/>
    <w:rsid w:val="00455C84"/>
    <w:rsid w:val="00457189"/>
    <w:rsid w:val="0046234A"/>
    <w:rsid w:val="004E77D2"/>
    <w:rsid w:val="00514634"/>
    <w:rsid w:val="00520D7A"/>
    <w:rsid w:val="005262EF"/>
    <w:rsid w:val="005301DD"/>
    <w:rsid w:val="00552D65"/>
    <w:rsid w:val="005752EC"/>
    <w:rsid w:val="00576835"/>
    <w:rsid w:val="0058068F"/>
    <w:rsid w:val="00593065"/>
    <w:rsid w:val="005B20B5"/>
    <w:rsid w:val="005B2977"/>
    <w:rsid w:val="005C4CE3"/>
    <w:rsid w:val="005D411E"/>
    <w:rsid w:val="005D481D"/>
    <w:rsid w:val="006010D3"/>
    <w:rsid w:val="0061478D"/>
    <w:rsid w:val="00623541"/>
    <w:rsid w:val="00627F93"/>
    <w:rsid w:val="006363F6"/>
    <w:rsid w:val="006B0BF8"/>
    <w:rsid w:val="006B24A9"/>
    <w:rsid w:val="006C6F4C"/>
    <w:rsid w:val="006E347C"/>
    <w:rsid w:val="006E3971"/>
    <w:rsid w:val="007105B3"/>
    <w:rsid w:val="00744AF3"/>
    <w:rsid w:val="007B3D9F"/>
    <w:rsid w:val="007B4C47"/>
    <w:rsid w:val="00841A14"/>
    <w:rsid w:val="008546F1"/>
    <w:rsid w:val="00887F0C"/>
    <w:rsid w:val="008975A1"/>
    <w:rsid w:val="008A4C1E"/>
    <w:rsid w:val="008C2FE7"/>
    <w:rsid w:val="008E7935"/>
    <w:rsid w:val="00934A05"/>
    <w:rsid w:val="00937670"/>
    <w:rsid w:val="009501A8"/>
    <w:rsid w:val="00971D04"/>
    <w:rsid w:val="0097484F"/>
    <w:rsid w:val="009858D7"/>
    <w:rsid w:val="009E77C6"/>
    <w:rsid w:val="00A024F6"/>
    <w:rsid w:val="00A32D6A"/>
    <w:rsid w:val="00A3441E"/>
    <w:rsid w:val="00A47C29"/>
    <w:rsid w:val="00A74EF2"/>
    <w:rsid w:val="00AB0B06"/>
    <w:rsid w:val="00B21A66"/>
    <w:rsid w:val="00B446A3"/>
    <w:rsid w:val="00B52798"/>
    <w:rsid w:val="00B647A7"/>
    <w:rsid w:val="00BB7C2A"/>
    <w:rsid w:val="00BC7857"/>
    <w:rsid w:val="00BE5E98"/>
    <w:rsid w:val="00C05A48"/>
    <w:rsid w:val="00C075FD"/>
    <w:rsid w:val="00C1773B"/>
    <w:rsid w:val="00C21FDD"/>
    <w:rsid w:val="00C53702"/>
    <w:rsid w:val="00C75143"/>
    <w:rsid w:val="00C765FB"/>
    <w:rsid w:val="00C83BD2"/>
    <w:rsid w:val="00CA0CBB"/>
    <w:rsid w:val="00CB690A"/>
    <w:rsid w:val="00CD1D1A"/>
    <w:rsid w:val="00CD48E3"/>
    <w:rsid w:val="00CE1B99"/>
    <w:rsid w:val="00CE6C96"/>
    <w:rsid w:val="00D17DBF"/>
    <w:rsid w:val="00D454D4"/>
    <w:rsid w:val="00D92CFF"/>
    <w:rsid w:val="00D9381C"/>
    <w:rsid w:val="00DB242A"/>
    <w:rsid w:val="00DB41DA"/>
    <w:rsid w:val="00DC4793"/>
    <w:rsid w:val="00DD2EC3"/>
    <w:rsid w:val="00E05634"/>
    <w:rsid w:val="00E056F5"/>
    <w:rsid w:val="00E135C0"/>
    <w:rsid w:val="00E2342B"/>
    <w:rsid w:val="00E350B9"/>
    <w:rsid w:val="00E418BC"/>
    <w:rsid w:val="00E93CCE"/>
    <w:rsid w:val="00EE646D"/>
    <w:rsid w:val="00F11ADB"/>
    <w:rsid w:val="00F41515"/>
    <w:rsid w:val="00F54AF7"/>
    <w:rsid w:val="00F67C67"/>
    <w:rsid w:val="00F77E3E"/>
    <w:rsid w:val="00FB21F1"/>
    <w:rsid w:val="00FC59F5"/>
    <w:rsid w:val="00FC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E05634"/>
    <w:pPr>
      <w:keepNext/>
      <w:keepLines/>
      <w:spacing w:before="240" w:after="6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E05634"/>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F%AD%E9%9F%B3%E8%AF%86%E5%88%AB" TargetMode="External"/><Relationship Id="rId13" Type="http://schemas.openxmlformats.org/officeDocument/2006/relationships/hyperlink" Target="https://zh.wikipedia.org/wiki/%E4%BF%A1%E5%8F%B7"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zh.wikipedia.org/wiki/%E8%AF%AD%E9%9F%B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5%AD%9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zh.wikipedia.org/wiki/%E6%95%B0%E6%8D%AE%E5%8E%8B%E7%BC%A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zh.wikipedia.org/wiki/%E7%BA%BF%E6%80%A7%E9%A2%84%E6%B5%8B" TargetMode="External"/><Relationship Id="rId14" Type="http://schemas.openxmlformats.org/officeDocument/2006/relationships/hyperlink" Target="https://zh.wikipedia.org/w/index.php?title=%E8%B0%B1%E5%8C%85%E7%BB%9C&amp;action=edit&amp;redlink=1"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Microsoft Office User</cp:lastModifiedBy>
  <cp:revision>54</cp:revision>
  <dcterms:created xsi:type="dcterms:W3CDTF">2018-12-12T07:27:00Z</dcterms:created>
  <dcterms:modified xsi:type="dcterms:W3CDTF">2019-01-14T12:37:00Z</dcterms:modified>
</cp:coreProperties>
</file>