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360" w:line="283" w:lineRule="auto"/>
      </w:pPr>
      <w:r>
        <w:rPr>
          <w:rFonts w:ascii="Aptos" w:hAnsi="Aptos" w:eastAsia="Aptos"/>
          <w:b/>
          <w:i w:val="0"/>
          <w:color w:val="246BFD"/>
          <w:sz w:val="18"/>
        </w:rPr>
        <w:t>GELATO DEV</w:t>
      </w:r>
    </w:p>
    <w:p>
      <w:pPr>
        <w:pStyle w:val="Title"/>
      </w:pPr>
      <w:r>
        <w:rPr>
          <w:rFonts w:ascii="Aptos" w:hAnsi="Aptos" w:eastAsia="Aptos"/>
          <w:b/>
          <w:i w:val="0"/>
          <w:color w:val="17233C"/>
          <w:sz w:val="58"/>
        </w:rPr>
        <w:t>Техническое задание:</w:t>
        <w:br/>
        <w:t>усиление страниц бесплатных уроков</w:t>
      </w:r>
    </w:p>
    <w:p>
      <w:pPr>
        <w:pStyle w:val="Subtitle"/>
      </w:pPr>
      <w:r>
        <w:rPr>
          <w:rFonts w:ascii="Aptos" w:hAnsi="Aptos" w:eastAsia="Aptos"/>
          <w:b w:val="0"/>
          <w:i w:val="0"/>
          <w:color w:val="5F6B7A"/>
          <w:sz w:val="26"/>
        </w:rPr>
        <w:t>Адреса: gelato.education/courses/claude-code/lessons/1–4  •  Получатель: ИИ/разработчик, отвечающий за платформу и страницы уроков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shd w:fill="17233C"/>
          </w:tcPr>
          <w:p>
            <w:pPr>
              <w:spacing w:after="8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ГЛАВНАЯ ЗАДАЧА</w:t>
            </w:r>
          </w:p>
          <w:p>
            <w:pPr>
              <w:spacing w:after="0" w:line="274" w:lineRule="auto"/>
            </w:pPr>
            <w:r>
              <w:rPr>
                <w:rFonts w:ascii="Aptos" w:hAnsi="Aptos" w:eastAsia="Aptos"/>
                <w:b w:val="0"/>
                <w:i w:val="0"/>
                <w:color w:val="FFFFFF"/>
                <w:sz w:val="20"/>
              </w:rPr>
              <w:t>Каждая страница должна дать самостоятельную пользу, закрепить конкретный результат урока и перевести человека на основной лендинг Gelato Dev. Бесплатный урок продаёт интерес к полной системе; основной лендинг продаёт обучение.</w:t>
            </w:r>
          </w:p>
        </w:tc>
      </w:tr>
    </w:tbl>
    <w:p>
      <w:pPr>
        <w:keepNext w:val="0"/>
        <w:spacing w:before="0" w:after="40" w:line="283" w:lineRule="auto"/>
      </w:pPr>
    </w:p>
    <w:p>
      <w:pPr>
        <w:pStyle w:val="Heading1"/>
        <w:keepNext/>
      </w:pPr>
      <w:r>
        <w:t>Что обнаружено на текущей платформе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cantSplit/>
          <w:tblHeader w:val="true"/>
        </w:trPr>
        <w:tc>
          <w:tcPr>
            <w:tcW w:type="dxa" w:w="3000"/>
            <w:shd w:fill="17233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Факт</w:t>
            </w:r>
          </w:p>
        </w:tc>
        <w:tc>
          <w:tcPr>
            <w:tcW w:type="dxa" w:w="6360"/>
            <w:shd w:fill="17233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Риск / требуемое изменение</w:t>
            </w:r>
          </w:p>
        </w:tc>
      </w:tr>
      <w:tr>
        <w:trPr>
          <w:cantSplit/>
        </w:trPr>
        <w:tc>
          <w:tcPr>
            <w:tcW w:type="dxa" w:w="3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Показаны 5 пунктов: 4 открытых урока и закрытый «Парсинг соцсетей».</w:t>
            </w:r>
          </w:p>
        </w:tc>
        <w:tc>
          <w:tcPr>
            <w:tcW w:type="dxa" w:w="63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В базовой воронке не показывать все открытые уроки как свободный каталог. Отдельный вход должен фокусировать на конкретном уроке.</w:t>
            </w:r>
          </w:p>
        </w:tc>
      </w:tr>
      <w:tr>
        <w:trPr>
          <w:cantSplit/>
        </w:trPr>
        <w:tc>
          <w:tcPr>
            <w:tcW w:type="dxa" w:w="300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Уроки 2–4 содержат почти одинаковый промоблок «Вайбкодим с инженерным подходом».</w:t>
            </w:r>
          </w:p>
        </w:tc>
        <w:tc>
          <w:tcPr>
            <w:tcW w:type="dxa" w:w="636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Заменить на индивидуальные блоки, логически продолжающие тему каждого видео.</w:t>
            </w:r>
          </w:p>
        </w:tc>
      </w:tr>
      <w:tr>
        <w:trPr>
          <w:cantSplit/>
        </w:trPr>
        <w:tc>
          <w:tcPr>
            <w:tcW w:type="dxa" w:w="3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CTA ведёт на start.gelato.education; на первом уроке промоблока нет.</w:t>
            </w:r>
          </w:p>
        </w:tc>
        <w:tc>
          <w:tcPr>
            <w:tcW w:type="dxa" w:w="63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Все четыре страницы вести на актуальный основной лендинг vibe.gelato.education с UTM/lesson_id.</w:t>
            </w:r>
          </w:p>
        </w:tc>
      </w:tr>
      <w:tr>
        <w:trPr>
          <w:cantSplit/>
        </w:trPr>
        <w:tc>
          <w:tcPr>
            <w:tcW w:type="dxa" w:w="300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Title и meta description одинаковы у разных уроков; canonical и JSON-LD отсутствуют.</w:t>
            </w:r>
          </w:p>
        </w:tc>
        <w:tc>
          <w:tcPr>
            <w:tcW w:type="dxa" w:w="636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Сделать уникальные SEO-метаданные, canonical, VideoObject/Course разметку и индексируемый конспект.</w:t>
            </w:r>
          </w:p>
        </w:tc>
      </w:tr>
      <w:tr>
        <w:trPr>
          <w:cantSplit/>
        </w:trPr>
        <w:tc>
          <w:tcPr>
            <w:tcW w:type="dxa" w:w="3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На мобильном видео и материалы отображаются корректно.</w:t>
            </w:r>
          </w:p>
        </w:tc>
        <w:tc>
          <w:tcPr>
            <w:tcW w:type="dxa" w:w="63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Сохранить адаптивность, добавить CTA и смысловые блоки без чрезмерного удлинения страницы.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/>
          <w:pgMar w:top="1123" w:right="1440" w:bottom="1037" w:left="1440" w:header="605" w:footer="576" w:gutter="0"/>
          <w:cols w:space="720"/>
          <w:docGrid w:linePitch="360"/>
        </w:sectPr>
      </w:pPr>
    </w:p>
    <w:p>
      <w:pPr>
        <w:pStyle w:val="Heading2"/>
        <w:keepNext/>
      </w:pPr>
      <w:r>
        <w:t>Четыре бесплатных урока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700"/>
        <w:gridCol w:w="5960"/>
      </w:tblGrid>
      <w:tr>
        <w:trPr>
          <w:cantSplit/>
          <w:tblHeader w:val="true"/>
        </w:trPr>
        <w:tc>
          <w:tcPr>
            <w:tcW w:type="dxa" w:w="700"/>
            <w:shd w:fill="17233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700"/>
            <w:shd w:fill="17233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Тема</w:t>
            </w:r>
          </w:p>
        </w:tc>
        <w:tc>
          <w:tcPr>
            <w:tcW w:type="dxa" w:w="5960"/>
            <w:shd w:fill="17233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Роль в воронке</w:t>
            </w:r>
          </w:p>
        </w:tc>
      </w:tr>
      <w:tr>
        <w:trPr>
          <w:cantSplit/>
        </w:trPr>
        <w:tc>
          <w:tcPr>
            <w:tcW w:type="dxa" w:w="7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01</w:t>
            </w:r>
          </w:p>
        </w:tc>
        <w:tc>
          <w:tcPr>
            <w:tcW w:type="dxa" w:w="27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Вступление: продуктивная и экономная работа с AI</w:t>
            </w:r>
          </w:p>
        </w:tc>
        <w:tc>
          <w:tcPr>
            <w:tcW w:type="dxa" w:w="59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Задать новый стандарт: дело не в волшебном инструменте, а в способе работы.</w:t>
            </w:r>
          </w:p>
        </w:tc>
      </w:tr>
      <w:tr>
        <w:trPr>
          <w:cantSplit/>
        </w:trPr>
        <w:tc>
          <w:tcPr>
            <w:tcW w:type="dxa" w:w="70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02</w:t>
            </w:r>
          </w:p>
        </w:tc>
        <w:tc>
          <w:tcPr>
            <w:tcW w:type="dxa" w:w="270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Промпт-инжиниринг</w:t>
            </w:r>
          </w:p>
        </w:tc>
        <w:tc>
          <w:tcPr>
            <w:tcW w:type="dxa" w:w="596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Показать, что качество зависит от контекста и постановки задачи, а не от «секретного промпта».</w:t>
            </w:r>
          </w:p>
        </w:tc>
      </w:tr>
      <w:tr>
        <w:trPr>
          <w:cantSplit/>
        </w:trPr>
        <w:tc>
          <w:tcPr>
            <w:tcW w:type="dxa" w:w="7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03</w:t>
            </w:r>
          </w:p>
        </w:tc>
        <w:tc>
          <w:tcPr>
            <w:tcW w:type="dxa" w:w="27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Токены и лимиты</w:t>
            </w:r>
          </w:p>
        </w:tc>
        <w:tc>
          <w:tcPr>
            <w:tcW w:type="dxa" w:w="59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Показать цену хаотичного workflow и необходимость системно управлять контекстом.</w:t>
            </w:r>
          </w:p>
        </w:tc>
      </w:tr>
      <w:tr>
        <w:trPr>
          <w:cantSplit/>
        </w:trPr>
        <w:tc>
          <w:tcPr>
            <w:tcW w:type="dxa" w:w="70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04</w:t>
            </w:r>
          </w:p>
        </w:tc>
        <w:tc>
          <w:tcPr>
            <w:tcW w:type="dxa" w:w="270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Галлюцинации</w:t>
            </w:r>
          </w:p>
        </w:tc>
        <w:tc>
          <w:tcPr>
            <w:tcW w:type="dxa" w:w="596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Показать, что надёжность создают правила, специализация и проверки, а не вера в ответ модели.</w:t>
            </w:r>
          </w:p>
        </w:tc>
      </w:tr>
    </w:tbl>
    <w:p>
      <w:pPr>
        <w:sectPr>
          <w:pgSz w:w="12240" w:h="15840"/>
          <w:pgMar w:top="1123" w:right="1440" w:bottom="1037" w:left="1440" w:header="605" w:footer="576" w:gutter="0"/>
          <w:cols w:space="720"/>
          <w:docGrid w:linePitch="360"/>
        </w:sectPr>
      </w:pPr>
    </w:p>
    <w:p>
      <w:pPr>
        <w:pStyle w:val="Heading1"/>
        <w:keepNext/>
      </w:pPr>
      <w:r>
        <w:t>1. Целевая архитектура страницы урока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2300"/>
        <w:gridCol w:w="6460"/>
      </w:tblGrid>
      <w:tr>
        <w:trPr>
          <w:cantSplit/>
          <w:tblHeader w:val="true"/>
        </w:trPr>
        <w:tc>
          <w:tcPr>
            <w:tcW w:type="dxa" w:w="600"/>
            <w:shd w:fill="17233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tcW w:type="dxa" w:w="2300"/>
            <w:shd w:fill="17233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Блок</w:t>
            </w:r>
          </w:p>
        </w:tc>
        <w:tc>
          <w:tcPr>
            <w:tcW w:type="dxa" w:w="6460"/>
            <w:shd w:fill="17233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6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1</w:t>
            </w:r>
          </w:p>
        </w:tc>
        <w:tc>
          <w:tcPr>
            <w:tcW w:type="dxa" w:w="23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Верхний маркер</w:t>
            </w:r>
          </w:p>
        </w:tc>
        <w:tc>
          <w:tcPr>
            <w:tcW w:type="dxa" w:w="64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«Открытый урок из программы Gelato Dev» + логотип. Ссылка на программу вторична.</w:t>
            </w:r>
          </w:p>
        </w:tc>
      </w:tr>
      <w:tr>
        <w:trPr>
          <w:cantSplit/>
        </w:trPr>
        <w:tc>
          <w:tcPr>
            <w:tcW w:type="dxa" w:w="60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2</w:t>
            </w:r>
          </w:p>
        </w:tc>
        <w:tc>
          <w:tcPr>
            <w:tcW w:type="dxa" w:w="230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Заголовок через результат</w:t>
            </w:r>
          </w:p>
        </w:tc>
        <w:tc>
          <w:tcPr>
            <w:tcW w:type="dxa" w:w="646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Уникальный H1; не только название темы.</w:t>
            </w:r>
          </w:p>
        </w:tc>
      </w:tr>
      <w:tr>
        <w:trPr>
          <w:cantSplit/>
        </w:trPr>
        <w:tc>
          <w:tcPr>
            <w:tcW w:type="dxa" w:w="6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3</w:t>
            </w:r>
          </w:p>
        </w:tc>
        <w:tc>
          <w:tcPr>
            <w:tcW w:type="dxa" w:w="23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Короткая рамка</w:t>
            </w:r>
          </w:p>
        </w:tc>
        <w:tc>
          <w:tcPr>
            <w:tcW w:type="dxa" w:w="64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Для кого урок, что человек поймёт, длительность/уровень.</w:t>
            </w:r>
          </w:p>
        </w:tc>
      </w:tr>
      <w:tr>
        <w:trPr>
          <w:cantSplit/>
        </w:trPr>
        <w:tc>
          <w:tcPr>
            <w:tcW w:type="dxa" w:w="60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4</w:t>
            </w:r>
          </w:p>
        </w:tc>
        <w:tc>
          <w:tcPr>
            <w:tcW w:type="dxa" w:w="230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Видео</w:t>
            </w:r>
          </w:p>
        </w:tc>
        <w:tc>
          <w:tcPr>
            <w:tcW w:type="dxa" w:w="646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Субтитры, скорость, полный экран, poster; без автоперехода в каталог.</w:t>
            </w:r>
          </w:p>
        </w:tc>
      </w:tr>
      <w:tr>
        <w:trPr>
          <w:cantSplit/>
        </w:trPr>
        <w:tc>
          <w:tcPr>
            <w:tcW w:type="dxa" w:w="6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5</w:t>
            </w:r>
          </w:p>
        </w:tc>
        <w:tc>
          <w:tcPr>
            <w:tcW w:type="dxa" w:w="23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Результат урока</w:t>
            </w:r>
          </w:p>
        </w:tc>
        <w:tc>
          <w:tcPr>
            <w:tcW w:type="dxa" w:w="64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3 пункта «теперь вы понимаете / можете / знаете». Индивидуальны для темы.</w:t>
            </w:r>
          </w:p>
        </w:tc>
      </w:tr>
      <w:tr>
        <w:trPr>
          <w:cantSplit/>
        </w:trPr>
        <w:tc>
          <w:tcPr>
            <w:tcW w:type="dxa" w:w="60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6</w:t>
            </w:r>
          </w:p>
        </w:tc>
        <w:tc>
          <w:tcPr>
            <w:tcW w:type="dxa" w:w="230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Материалы</w:t>
            </w:r>
          </w:p>
        </w:tc>
        <w:tc>
          <w:tcPr>
            <w:tcW w:type="dxa" w:w="646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Содержательный конспект, ссылки и примеры. Полезен даже без просмотра.</w:t>
            </w:r>
          </w:p>
        </w:tc>
      </w:tr>
      <w:tr>
        <w:trPr>
          <w:cantSplit/>
        </w:trPr>
        <w:tc>
          <w:tcPr>
            <w:tcW w:type="dxa" w:w="6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7</w:t>
            </w:r>
          </w:p>
        </w:tc>
        <w:tc>
          <w:tcPr>
            <w:tcW w:type="dxa" w:w="23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Разрыв и масштаб</w:t>
            </w:r>
          </w:p>
        </w:tc>
        <w:tc>
          <w:tcPr>
            <w:tcW w:type="dxa" w:w="64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Что не решает один урок; как тема входит в полный workflow.</w:t>
            </w:r>
          </w:p>
        </w:tc>
      </w:tr>
      <w:tr>
        <w:trPr>
          <w:cantSplit/>
        </w:trPr>
        <w:tc>
          <w:tcPr>
            <w:tcW w:type="dxa" w:w="60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8</w:t>
            </w:r>
          </w:p>
        </w:tc>
        <w:tc>
          <w:tcPr>
            <w:tcW w:type="dxa" w:w="230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CTA-блок</w:t>
            </w:r>
          </w:p>
        </w:tc>
        <w:tc>
          <w:tcPr>
            <w:tcW w:type="dxa" w:w="646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«Посмотреть полный путь обучения» → vibe.gelato.education.</w:t>
            </w:r>
          </w:p>
        </w:tc>
      </w:tr>
      <w:tr>
        <w:trPr>
          <w:cantSplit/>
        </w:trPr>
        <w:tc>
          <w:tcPr>
            <w:tcW w:type="dxa" w:w="6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9</w:t>
            </w:r>
          </w:p>
        </w:tc>
        <w:tc>
          <w:tcPr>
            <w:tcW w:type="dxa" w:w="23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Доверие</w:t>
            </w:r>
          </w:p>
        </w:tc>
        <w:tc>
          <w:tcPr>
            <w:tcW w:type="dxa" w:w="64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Коротко: для вайбкодера и программиста; обучение на своих проектах.</w:t>
            </w:r>
          </w:p>
        </w:tc>
      </w:tr>
      <w:tr>
        <w:trPr>
          <w:cantSplit/>
        </w:trPr>
        <w:tc>
          <w:tcPr>
            <w:tcW w:type="dxa" w:w="60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10</w:t>
            </w:r>
          </w:p>
        </w:tc>
        <w:tc>
          <w:tcPr>
            <w:tcW w:type="dxa" w:w="230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Повтор CTA</w:t>
            </w:r>
          </w:p>
        </w:tc>
        <w:tc>
          <w:tcPr>
            <w:tcW w:type="dxa" w:w="646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Та же формулировка и ссылка после FAQ/материалов.</w:t>
            </w:r>
          </w:p>
        </w:tc>
      </w:tr>
      <w:tr>
        <w:trPr>
          <w:cantSplit/>
        </w:trPr>
        <w:tc>
          <w:tcPr>
            <w:tcW w:type="dxa" w:w="6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11</w:t>
            </w:r>
          </w:p>
        </w:tc>
        <w:tc>
          <w:tcPr>
            <w:tcW w:type="dxa" w:w="23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Навигация</w:t>
            </w:r>
          </w:p>
        </w:tc>
        <w:tc>
          <w:tcPr>
            <w:tcW w:type="dxa" w:w="64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В базовом трафике не выводить 4 открытые ссылки как каталог; показать «Открытый урок» и при необходимости закрытый масштаб без активных ссылок.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shd w:fill="EDF8F3"/>
          </w:tcPr>
          <w:p>
            <w:pPr>
              <w:spacing w:after="80"/>
            </w:pPr>
            <w:r>
              <w:rPr>
                <w:rFonts w:ascii="Aptos" w:hAnsi="Aptos" w:eastAsia="Aptos"/>
                <w:b/>
                <w:i w:val="0"/>
                <w:color w:val="14845A"/>
                <w:sz w:val="21"/>
              </w:rPr>
              <w:t>ПОРЯДОК ПОСЛЕ ВИДЕО</w:t>
            </w:r>
          </w:p>
          <w:p>
            <w:pPr>
              <w:spacing w:after="0" w:line="274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20"/>
              </w:rPr>
              <w:t>Результат урока → индивидуальный конспект → «это один элемент системы» → CTA на основной лендинг. Не ставить одинокую кнопку без смыслового моста.</w:t>
            </w:r>
          </w:p>
        </w:tc>
      </w:tr>
    </w:tbl>
    <w:p>
      <w:pPr>
        <w:keepNext w:val="0"/>
        <w:spacing w:before="0" w:after="40" w:line="283" w:lineRule="auto"/>
      </w:pPr>
    </w:p>
    <w:p>
      <w:pPr>
        <w:sectPr>
          <w:pgSz w:w="12240" w:h="15840"/>
          <w:pgMar w:top="1123" w:right="1440" w:bottom="1037" w:left="1440" w:header="605" w:footer="576" w:gutter="0"/>
          <w:cols w:space="720"/>
          <w:docGrid w:linePitch="360"/>
        </w:sectPr>
      </w:pPr>
    </w:p>
    <w:p>
      <w:pPr>
        <w:pStyle w:val="Heading1"/>
        <w:keepNext/>
      </w:pPr>
      <w:r>
        <w:t>2. Общие тексты и CTA</w:t>
      </w:r>
    </w:p>
    <w:p>
      <w:pPr>
        <w:pStyle w:val="Heading2"/>
        <w:keepNext/>
      </w:pPr>
      <w:r>
        <w:t>Маркер и рамка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shd w:fill="E9F2FF"/>
          </w:tcPr>
          <w:p>
            <w:pPr>
              <w:spacing w:after="80"/>
            </w:pPr>
            <w:r>
              <w:rPr>
                <w:rFonts w:ascii="Aptos" w:hAnsi="Aptos" w:eastAsia="Aptos"/>
                <w:b/>
                <w:i w:val="0"/>
                <w:color w:val="246BFD"/>
                <w:sz w:val="21"/>
              </w:rPr>
              <w:t>МАРКЕР</w:t>
            </w:r>
          </w:p>
          <w:p>
            <w:pPr>
              <w:spacing w:after="0" w:line="274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20"/>
              </w:rPr>
              <w:t>Открытый урок из программы Gelato Dev</w:t>
            </w:r>
          </w:p>
        </w:tc>
      </w:tr>
    </w:tbl>
    <w:p>
      <w:pPr>
        <w:keepNext w:val="0"/>
        <w:spacing w:before="0" w:after="40" w:line="283" w:lineRule="auto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shd w:fill="EDF8F3"/>
          </w:tcPr>
          <w:p>
            <w:pPr>
              <w:spacing w:after="80"/>
            </w:pPr>
            <w:r>
              <w:rPr>
                <w:rFonts w:ascii="Aptos" w:hAnsi="Aptos" w:eastAsia="Aptos"/>
                <w:b/>
                <w:i w:val="0"/>
                <w:color w:val="14845A"/>
                <w:sz w:val="21"/>
              </w:rPr>
              <w:t>ОБЩАЯ РАМКА</w:t>
            </w:r>
          </w:p>
          <w:p>
            <w:pPr>
              <w:spacing w:after="0" w:line="274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20"/>
              </w:rPr>
              <w:t>В этом уроке вы разберёте один принцип системной работы с AI. Обратите внимание не только на инструмент, но и на то, как меняется управляемость результата.</w:t>
            </w:r>
          </w:p>
        </w:tc>
      </w:tr>
    </w:tbl>
    <w:p>
      <w:pPr>
        <w:keepNext w:val="0"/>
        <w:spacing w:before="0" w:after="40" w:line="283" w:lineRule="auto"/>
      </w:pPr>
    </w:p>
    <w:p>
      <w:pPr>
        <w:pStyle w:val="Heading2"/>
        <w:keepNext/>
      </w:pPr>
      <w:r>
        <w:t>Основной блок перехода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shd w:fill="E9F2FF"/>
          </w:tcPr>
          <w:p>
            <w:pPr>
              <w:spacing w:after="80"/>
            </w:pPr>
            <w:r>
              <w:rPr>
                <w:rFonts w:ascii="Aptos" w:hAnsi="Aptos" w:eastAsia="Aptos"/>
                <w:b/>
                <w:i w:val="0"/>
                <w:color w:val="246BFD"/>
                <w:sz w:val="21"/>
              </w:rPr>
              <w:t>ЗАГОЛОВОК</w:t>
            </w:r>
          </w:p>
          <w:p>
            <w:pPr>
              <w:spacing w:after="0" w:line="274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20"/>
              </w:rPr>
              <w:t>Вы увидели один элемент системы</w:t>
            </w:r>
          </w:p>
        </w:tc>
      </w:tr>
    </w:tbl>
    <w:p>
      <w:pPr>
        <w:keepNext w:val="0"/>
        <w:spacing w:before="0" w:after="40" w:line="283" w:lineRule="auto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shd w:fill="EDF8F3"/>
          </w:tcPr>
          <w:p>
            <w:pPr>
              <w:spacing w:after="80"/>
            </w:pPr>
            <w:r>
              <w:rPr>
                <w:rFonts w:ascii="Aptos" w:hAnsi="Aptos" w:eastAsia="Aptos"/>
                <w:b/>
                <w:i w:val="0"/>
                <w:color w:val="14845A"/>
                <w:sz w:val="21"/>
              </w:rPr>
              <w:t>ТЕКСТ</w:t>
            </w:r>
          </w:p>
          <w:p>
            <w:pPr>
              <w:spacing w:after="0" w:line="274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20"/>
              </w:rPr>
              <w:t>Надёжная AI-разработка складывается не из одного промпта или инструмента. Проекту нужны контекст, правила, специализированные агенты и автоматические проверки. В Gelato Dev мы связываем эти элементы в полный инженерный workflow — на вашем реальном проекте.</w:t>
            </w:r>
          </w:p>
        </w:tc>
      </w:tr>
    </w:tbl>
    <w:p>
      <w:pPr>
        <w:keepNext w:val="0"/>
        <w:spacing w:before="0" w:after="40" w:line="283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000"/>
        <w:gridCol w:w="3560"/>
      </w:tblGrid>
      <w:tr>
        <w:trPr>
          <w:cantSplit/>
          <w:tblHeader w:val="true"/>
        </w:trPr>
        <w:tc>
          <w:tcPr>
            <w:tcW w:type="dxa" w:w="1800"/>
            <w:shd w:fill="17233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Роль</w:t>
            </w:r>
          </w:p>
        </w:tc>
        <w:tc>
          <w:tcPr>
            <w:tcW w:type="dxa" w:w="4000"/>
            <w:shd w:fill="17233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Формулировка</w:t>
            </w:r>
          </w:p>
        </w:tc>
        <w:tc>
          <w:tcPr>
            <w:tcW w:type="dxa" w:w="3560"/>
            <w:shd w:fill="17233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Куда ведёт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Основная</w:t>
            </w:r>
          </w:p>
        </w:tc>
        <w:tc>
          <w:tcPr>
            <w:tcW w:type="dxa" w:w="4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Посмотреть полный путь обучения</w:t>
            </w:r>
          </w:p>
        </w:tc>
        <w:tc>
          <w:tcPr>
            <w:tcW w:type="dxa" w:w="35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vibe.gelato.education + source=free_lesson + lesson_id.</w:t>
            </w:r>
          </w:p>
        </w:tc>
      </w:tr>
      <w:tr>
        <w:trPr>
          <w:cantSplit/>
        </w:trPr>
        <w:tc>
          <w:tcPr>
            <w:tcW w:type="dxa" w:w="180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Вторичная</w:t>
            </w:r>
          </w:p>
        </w:tc>
        <w:tc>
          <w:tcPr>
            <w:tcW w:type="dxa" w:w="400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Есть вопрос по программе? Написать Эмилю</w:t>
            </w:r>
          </w:p>
        </w:tc>
        <w:tc>
          <w:tcPr>
            <w:tcW w:type="dxa" w:w="356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Telegram; менее заметно, под основной кнопкой.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Не использовать первой</w:t>
            </w:r>
          </w:p>
        </w:tc>
        <w:tc>
          <w:tcPr>
            <w:tcW w:type="dxa" w:w="4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Купить курс / Узнать подробнее / Забрать курс</w:t>
            </w:r>
          </w:p>
        </w:tc>
        <w:tc>
          <w:tcPr>
            <w:tcW w:type="dxa" w:w="35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Слишком резко либо неясно; не сообщает следующий шаг.</w:t>
            </w:r>
          </w:p>
        </w:tc>
      </w:tr>
    </w:tbl>
    <w:p>
      <w:pPr>
        <w:pStyle w:val="Heading2"/>
        <w:keepNext/>
      </w:pPr>
      <w:r>
        <w:t>Поведение ссылок</w:t>
      </w:r>
    </w:p>
    <w:p>
      <w:pPr>
        <w:pStyle w:val="ListBullet"/>
        <w:spacing w:after="80" w:line="283" w:lineRule="auto"/>
      </w:pPr>
      <w:r>
        <w:rPr>
          <w:rFonts w:ascii="Aptos" w:hAnsi="Aptos" w:eastAsia="Aptos"/>
          <w:b w:val="0"/>
          <w:i w:val="0"/>
          <w:color w:val="17233C"/>
          <w:sz w:val="20"/>
        </w:rPr>
        <w:t>Сохранять source, medium, campaign, content/lesson_id при переходе.</w:t>
      </w:r>
    </w:p>
    <w:p>
      <w:pPr>
        <w:pStyle w:val="ListBullet"/>
        <w:spacing w:after="80" w:line="283" w:lineRule="auto"/>
      </w:pPr>
      <w:r>
        <w:rPr>
          <w:rFonts w:ascii="Aptos" w:hAnsi="Aptos" w:eastAsia="Aptos"/>
          <w:b w:val="0"/>
          <w:i w:val="0"/>
          <w:color w:val="17233C"/>
          <w:sz w:val="20"/>
        </w:rPr>
        <w:t>Для посетителя после урока основной лендинг может показать персональную строку о просмотренной теме.</w:t>
      </w:r>
    </w:p>
    <w:p>
      <w:pPr>
        <w:pStyle w:val="ListBullet"/>
        <w:spacing w:after="80" w:line="283" w:lineRule="auto"/>
      </w:pPr>
      <w:r>
        <w:rPr>
          <w:rFonts w:ascii="Aptos" w:hAnsi="Aptos" w:eastAsia="Aptos"/>
          <w:b w:val="0"/>
          <w:i w:val="0"/>
          <w:color w:val="17233C"/>
          <w:sz w:val="20"/>
        </w:rPr>
        <w:t>Не открывать старый start.gelato.education, если продукт продаётся на vibe.gelato.education.</w:t>
      </w:r>
    </w:p>
    <w:p>
      <w:pPr>
        <w:sectPr>
          <w:pgSz w:w="12240" w:h="15840"/>
          <w:pgMar w:top="1123" w:right="1440" w:bottom="1037" w:left="1440" w:header="605" w:footer="576" w:gutter="0"/>
          <w:cols w:space="720"/>
          <w:docGrid w:linePitch="360"/>
        </w:sectPr>
      </w:pPr>
    </w:p>
    <w:p>
      <w:pPr>
        <w:pStyle w:val="Heading1"/>
        <w:keepNext/>
      </w:pPr>
      <w:r>
        <w:t>3. Индивидуальные блоки: уроки 01–02</w:t>
      </w:r>
    </w:p>
    <w:p>
      <w:pPr>
        <w:pStyle w:val="Heading2"/>
        <w:keepNext/>
      </w:pPr>
      <w:r>
        <w:t>Урок 01. Вступление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cantSplit/>
          <w:tblHeader w:val="true"/>
        </w:trPr>
        <w:tc>
          <w:tcPr>
            <w:tcW w:type="dxa" w:w="1900"/>
            <w:shd w:fill="17233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Элемент</w:t>
            </w:r>
          </w:p>
        </w:tc>
        <w:tc>
          <w:tcPr>
            <w:tcW w:type="dxa" w:w="7460"/>
            <w:shd w:fill="17233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Текст</w:t>
            </w:r>
          </w:p>
        </w:tc>
      </w:tr>
      <w:tr>
        <w:trPr>
          <w:cantSplit/>
        </w:trPr>
        <w:tc>
          <w:tcPr>
            <w:tcW w:type="dxa" w:w="19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H1</w:t>
            </w:r>
          </w:p>
        </w:tc>
        <w:tc>
          <w:tcPr>
            <w:tcW w:type="dxa" w:w="74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Как работать с AI быстрее, качественнее и без лишних затрат</w:t>
            </w:r>
          </w:p>
        </w:tc>
      </w:tr>
      <w:tr>
        <w:trPr>
          <w:cantSplit/>
        </w:trPr>
        <w:tc>
          <w:tcPr>
            <w:tcW w:type="dxa" w:w="190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Подводка</w:t>
            </w:r>
          </w:p>
        </w:tc>
        <w:tc>
          <w:tcPr>
            <w:tcW w:type="dxa" w:w="746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Базовый урок о принципах продуктивной работы с Claude Code, ChatGPT и другими моделями — без привязки к одной «волшебной» кнопке.</w:t>
            </w:r>
          </w:p>
        </w:tc>
      </w:tr>
      <w:tr>
        <w:trPr>
          <w:cantSplit/>
        </w:trPr>
        <w:tc>
          <w:tcPr>
            <w:tcW w:type="dxa" w:w="19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Результаты</w:t>
            </w:r>
          </w:p>
        </w:tc>
        <w:tc>
          <w:tcPr>
            <w:tcW w:type="dxa" w:w="74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Понимаете, почему инструмент сам по себе не решает задачу; видите три направления оптимизации — время, качество, стоимость; получаете рамку для следующих уроков.</w:t>
            </w:r>
          </w:p>
        </w:tc>
      </w:tr>
      <w:tr>
        <w:trPr>
          <w:cantSplit/>
        </w:trPr>
        <w:tc>
          <w:tcPr>
            <w:tcW w:type="dxa" w:w="190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Заголовок моста</w:t>
            </w:r>
          </w:p>
        </w:tc>
        <w:tc>
          <w:tcPr>
            <w:tcW w:type="dxa" w:w="746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Экономия начинается не с коротких промптов, а с правильного процесса</w:t>
            </w:r>
          </w:p>
        </w:tc>
      </w:tr>
      <w:tr>
        <w:trPr>
          <w:cantSplit/>
        </w:trPr>
        <w:tc>
          <w:tcPr>
            <w:tcW w:type="dxa" w:w="19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Текст моста</w:t>
            </w:r>
          </w:p>
        </w:tc>
        <w:tc>
          <w:tcPr>
            <w:tcW w:type="dxa" w:w="74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Отдельные советы помогают работать быстрее. Но устойчивый результат появляется, когда проект сам передаёт AI контекст, правила и критерии проверки. В Gelato Dev вы собираете именно такую систему.</w:t>
            </w:r>
          </w:p>
        </w:tc>
      </w:tr>
      <w:tr>
        <w:trPr>
          <w:cantSplit/>
        </w:trPr>
        <w:tc>
          <w:tcPr>
            <w:tcW w:type="dxa" w:w="190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CTA</w:t>
            </w:r>
          </w:p>
        </w:tc>
        <w:tc>
          <w:tcPr>
            <w:tcW w:type="dxa" w:w="746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Посмотреть полный путь обучения</w:t>
            </w:r>
          </w:p>
        </w:tc>
      </w:tr>
    </w:tbl>
    <w:p>
      <w:pPr>
        <w:pStyle w:val="Heading2"/>
        <w:keepNext/>
      </w:pPr>
      <w:r>
        <w:t>Урок 02. Промпт-инжиниринг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cantSplit/>
          <w:tblHeader w:val="true"/>
        </w:trPr>
        <w:tc>
          <w:tcPr>
            <w:tcW w:type="dxa" w:w="1900"/>
            <w:shd w:fill="17233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Элемент</w:t>
            </w:r>
          </w:p>
        </w:tc>
        <w:tc>
          <w:tcPr>
            <w:tcW w:type="dxa" w:w="7460"/>
            <w:shd w:fill="17233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Текст</w:t>
            </w:r>
          </w:p>
        </w:tc>
      </w:tr>
      <w:tr>
        <w:trPr>
          <w:cantSplit/>
        </w:trPr>
        <w:tc>
          <w:tcPr>
            <w:tcW w:type="dxa" w:w="19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H1</w:t>
            </w:r>
          </w:p>
        </w:tc>
        <w:tc>
          <w:tcPr>
            <w:tcW w:type="dxa" w:w="74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Как ставить задачи AI так, чтобы он понимал контекст, а не угадывал</w:t>
            </w:r>
          </w:p>
        </w:tc>
      </w:tr>
      <w:tr>
        <w:trPr>
          <w:cantSplit/>
        </w:trPr>
        <w:tc>
          <w:tcPr>
            <w:tcW w:type="dxa" w:w="190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Подводка</w:t>
            </w:r>
          </w:p>
        </w:tc>
        <w:tc>
          <w:tcPr>
            <w:tcW w:type="dxa" w:w="746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Почему «идеального промпта» не существует и как постановка задачи влияет на качество результата.</w:t>
            </w:r>
          </w:p>
        </w:tc>
      </w:tr>
      <w:tr>
        <w:trPr>
          <w:cantSplit/>
        </w:trPr>
        <w:tc>
          <w:tcPr>
            <w:tcW w:type="dxa" w:w="19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Результаты</w:t>
            </w:r>
          </w:p>
        </w:tc>
        <w:tc>
          <w:tcPr>
            <w:tcW w:type="dxa" w:w="74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Понимаете роль контекста; перестаёте искать секретную формулу промпта; умеете давать конкретную обратную связь и использовать голос для полноты задачи.</w:t>
            </w:r>
          </w:p>
        </w:tc>
      </w:tr>
      <w:tr>
        <w:trPr>
          <w:cantSplit/>
        </w:trPr>
        <w:tc>
          <w:tcPr>
            <w:tcW w:type="dxa" w:w="190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Заголовок моста</w:t>
            </w:r>
          </w:p>
        </w:tc>
        <w:tc>
          <w:tcPr>
            <w:tcW w:type="dxa" w:w="746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Хороший промпт помогает один раз. Система контекста помогает постоянно</w:t>
            </w:r>
          </w:p>
        </w:tc>
      </w:tr>
      <w:tr>
        <w:trPr>
          <w:cantSplit/>
        </w:trPr>
        <w:tc>
          <w:tcPr>
            <w:tcW w:type="dxa" w:w="19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Текст моста</w:t>
            </w:r>
          </w:p>
        </w:tc>
        <w:tc>
          <w:tcPr>
            <w:tcW w:type="dxa" w:w="74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Если каждый раз заново объяснять проект в чате, качество будет зависеть от памяти человека и длины переписки. В полном workflow контекст, правила и навыки хранятся рядом с проектом и работают повторяемо.</w:t>
            </w:r>
          </w:p>
        </w:tc>
      </w:tr>
      <w:tr>
        <w:trPr>
          <w:cantSplit/>
        </w:trPr>
        <w:tc>
          <w:tcPr>
            <w:tcW w:type="dxa" w:w="190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CTA</w:t>
            </w:r>
          </w:p>
        </w:tc>
        <w:tc>
          <w:tcPr>
            <w:tcW w:type="dxa" w:w="746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Посмотреть, как устроен полный AI-workflow</w:t>
            </w:r>
          </w:p>
        </w:tc>
      </w:tr>
    </w:tbl>
    <w:p>
      <w:pPr>
        <w:sectPr>
          <w:pgSz w:w="12240" w:h="15840"/>
          <w:pgMar w:top="1123" w:right="1440" w:bottom="1037" w:left="1440" w:header="605" w:footer="576" w:gutter="0"/>
          <w:cols w:space="720"/>
          <w:docGrid w:linePitch="360"/>
        </w:sectPr>
      </w:pPr>
    </w:p>
    <w:p>
      <w:pPr>
        <w:keepNext w:val="0"/>
        <w:spacing w:before="0" w:after="560" w:line="283" w:lineRule="auto"/>
      </w:pPr>
    </w:p>
    <w:p>
      <w:pPr>
        <w:pStyle w:val="Heading1"/>
        <w:keepNext/>
      </w:pPr>
      <w:r>
        <w:t>4. Индивидуальные блоки: уроки 03–04</w:t>
      </w:r>
    </w:p>
    <w:p>
      <w:pPr>
        <w:pStyle w:val="Heading2"/>
        <w:keepNext/>
      </w:pPr>
      <w:r>
        <w:t>Урок 03. Токены и лимиты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cantSplit/>
          <w:tblHeader w:val="true"/>
        </w:trPr>
        <w:tc>
          <w:tcPr>
            <w:tcW w:type="dxa" w:w="1900"/>
            <w:shd w:fill="17233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Элемент</w:t>
            </w:r>
          </w:p>
        </w:tc>
        <w:tc>
          <w:tcPr>
            <w:tcW w:type="dxa" w:w="7460"/>
            <w:shd w:fill="17233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Текст</w:t>
            </w:r>
          </w:p>
        </w:tc>
      </w:tr>
      <w:tr>
        <w:trPr>
          <w:cantSplit/>
        </w:trPr>
        <w:tc>
          <w:tcPr>
            <w:tcW w:type="dxa" w:w="19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H1</w:t>
            </w:r>
          </w:p>
        </w:tc>
        <w:tc>
          <w:tcPr>
            <w:tcW w:type="dxa" w:w="74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Почему Claude Code быстрее расходует лимиты — и как управлять контекстом</w:t>
            </w:r>
          </w:p>
        </w:tc>
      </w:tr>
      <w:tr>
        <w:trPr>
          <w:cantSplit/>
        </w:trPr>
        <w:tc>
          <w:tcPr>
            <w:tcW w:type="dxa" w:w="190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Подводка</w:t>
            </w:r>
          </w:p>
        </w:tc>
        <w:tc>
          <w:tcPr>
            <w:tcW w:type="dxa" w:w="746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Длинные чаты, раздутый CLAUDE.md, правила, skills и память могут тратить токены. Главный источник потерь часто — расплывчатая задача.</w:t>
            </w:r>
          </w:p>
        </w:tc>
      </w:tr>
      <w:tr>
        <w:trPr>
          <w:cantSplit/>
        </w:trPr>
        <w:tc>
          <w:tcPr>
            <w:tcW w:type="dxa" w:w="19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Результаты</w:t>
            </w:r>
          </w:p>
        </w:tc>
        <w:tc>
          <w:tcPr>
            <w:tcW w:type="dxa" w:w="74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Видите основные причины расхода; понимаете связь между неопределённой задачей и лишним поиском модели; можете начать сокращать не слова, а ненужную работу.</w:t>
            </w:r>
          </w:p>
        </w:tc>
      </w:tr>
      <w:tr>
        <w:trPr>
          <w:cantSplit/>
        </w:trPr>
        <w:tc>
          <w:tcPr>
            <w:tcW w:type="dxa" w:w="190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Заголовок моста</w:t>
            </w:r>
          </w:p>
        </w:tc>
        <w:tc>
          <w:tcPr>
            <w:tcW w:type="dxa" w:w="746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Лимиты экономит не жёсткая экономия текста, а архитектура контекста</w:t>
            </w:r>
          </w:p>
        </w:tc>
      </w:tr>
      <w:tr>
        <w:trPr>
          <w:cantSplit/>
        </w:trPr>
        <w:tc>
          <w:tcPr>
            <w:tcW w:type="dxa" w:w="19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Текст моста</w:t>
            </w:r>
          </w:p>
        </w:tc>
        <w:tc>
          <w:tcPr>
            <w:tcW w:type="dxa" w:w="74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Нужно понимать, что хранить в CLAUDE.md, что вынести в rules и skills, когда использовать память и как ограничивать область задачи. В Gelato Dev эти элементы собираются в управляемую систему.</w:t>
            </w:r>
          </w:p>
        </w:tc>
      </w:tr>
      <w:tr>
        <w:trPr>
          <w:cantSplit/>
        </w:trPr>
        <w:tc>
          <w:tcPr>
            <w:tcW w:type="dxa" w:w="190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CTA</w:t>
            </w:r>
          </w:p>
        </w:tc>
        <w:tc>
          <w:tcPr>
            <w:tcW w:type="dxa" w:w="746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Посмотреть систему работы с контекстом</w:t>
            </w:r>
          </w:p>
        </w:tc>
      </w:tr>
    </w:tbl>
    <w:p>
      <w:pPr>
        <w:pStyle w:val="Heading2"/>
        <w:keepNext/>
      </w:pPr>
      <w:r>
        <w:t>Урок 04. Галлюцинации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cantSplit/>
          <w:tblHeader w:val="true"/>
        </w:trPr>
        <w:tc>
          <w:tcPr>
            <w:tcW w:type="dxa" w:w="1900"/>
            <w:shd w:fill="17233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Элемент</w:t>
            </w:r>
          </w:p>
        </w:tc>
        <w:tc>
          <w:tcPr>
            <w:tcW w:type="dxa" w:w="7460"/>
            <w:shd w:fill="17233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Текст</w:t>
            </w:r>
          </w:p>
        </w:tc>
      </w:tr>
      <w:tr>
        <w:trPr>
          <w:cantSplit/>
        </w:trPr>
        <w:tc>
          <w:tcPr>
            <w:tcW w:type="dxa" w:w="19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H1</w:t>
            </w:r>
          </w:p>
        </w:tc>
        <w:tc>
          <w:tcPr>
            <w:tcW w:type="dxa" w:w="74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Как снизить галлюцинации AI с помощью правил, агентов и проверок</w:t>
            </w:r>
          </w:p>
        </w:tc>
      </w:tr>
      <w:tr>
        <w:trPr>
          <w:cantSplit/>
        </w:trPr>
        <w:tc>
          <w:tcPr>
            <w:tcW w:type="dxa" w:w="190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Подводка</w:t>
            </w:r>
          </w:p>
        </w:tc>
        <w:tc>
          <w:tcPr>
            <w:tcW w:type="dxa" w:w="746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Модель придумывает ответы, когда ей не хватает данных или рамок. Надёжность создаёт конфигурация проекта, а не просьба «не ошибайся».</w:t>
            </w:r>
          </w:p>
        </w:tc>
      </w:tr>
      <w:tr>
        <w:trPr>
          <w:cantSplit/>
        </w:trPr>
        <w:tc>
          <w:tcPr>
            <w:tcW w:type="dxa" w:w="19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Результаты</w:t>
            </w:r>
          </w:p>
        </w:tc>
        <w:tc>
          <w:tcPr>
            <w:tcW w:type="dxa" w:w="74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Понимаете причины галлюцинаций; знаете, как разрешить модели говорить «не знаю»; видите роль rules, skills и специализированных агентов.</w:t>
            </w:r>
          </w:p>
        </w:tc>
      </w:tr>
      <w:tr>
        <w:trPr>
          <w:cantSplit/>
        </w:trPr>
        <w:tc>
          <w:tcPr>
            <w:tcW w:type="dxa" w:w="190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Заголовок моста</w:t>
            </w:r>
          </w:p>
        </w:tc>
        <w:tc>
          <w:tcPr>
            <w:tcW w:type="dxa" w:w="746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Меньше галлюцинаций — ещё не значит проверяемый результат</w:t>
            </w:r>
          </w:p>
        </w:tc>
      </w:tr>
      <w:tr>
        <w:trPr>
          <w:cantSplit/>
        </w:trPr>
        <w:tc>
          <w:tcPr>
            <w:tcW w:type="dxa" w:w="19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Текст моста</w:t>
            </w:r>
          </w:p>
        </w:tc>
        <w:tc>
          <w:tcPr>
            <w:tcW w:type="dxa" w:w="74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Даже хорошо настроенную модель нужно проверять. Полный workflow включает агентов-ревьюеров, типизацию, линтеры и тесты — чтобы качество подтверждалось, а не принималось на веру.</w:t>
            </w:r>
          </w:p>
        </w:tc>
      </w:tr>
      <w:tr>
        <w:trPr>
          <w:cantSplit/>
        </w:trPr>
        <w:tc>
          <w:tcPr>
            <w:tcW w:type="dxa" w:w="190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CTA</w:t>
            </w:r>
          </w:p>
        </w:tc>
        <w:tc>
          <w:tcPr>
            <w:tcW w:type="dxa" w:w="746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Посмотреть полный путь до проверяемого результата</w:t>
            </w:r>
          </w:p>
        </w:tc>
      </w:tr>
    </w:tbl>
    <w:p>
      <w:pPr>
        <w:sectPr>
          <w:pgSz w:w="12240" w:h="15840"/>
          <w:pgMar w:top="1123" w:right="1440" w:bottom="1037" w:left="1440" w:header="605" w:footer="576" w:gutter="0"/>
          <w:cols w:space="720"/>
          <w:docGrid w:linePitch="360"/>
        </w:sectPr>
      </w:pPr>
    </w:p>
    <w:p>
      <w:pPr>
        <w:pStyle w:val="Heading1"/>
        <w:keepNext/>
      </w:pPr>
      <w:r>
        <w:t>5. Навигация, SEO и технические требования</w:t>
      </w:r>
    </w:p>
    <w:p>
      <w:pPr>
        <w:pStyle w:val="Heading2"/>
        <w:keepNext/>
      </w:pPr>
      <w:r>
        <w:t>Логика открытия уроков</w:t>
      </w:r>
    </w:p>
    <w:p>
      <w:pPr>
        <w:pStyle w:val="ListBullet"/>
        <w:spacing w:after="80" w:line="283" w:lineRule="auto"/>
      </w:pPr>
      <w:r>
        <w:rPr>
          <w:rFonts w:ascii="Aptos" w:hAnsi="Aptos" w:eastAsia="Aptos"/>
          <w:b w:val="0"/>
          <w:i w:val="0"/>
          <w:color w:val="17233C"/>
          <w:sz w:val="20"/>
        </w:rPr>
        <w:t>Публикация ведёт на конкретный урок; человек не должен воспринимать страницу как выданный целиком мини-курс.</w:t>
      </w:r>
    </w:p>
    <w:p>
      <w:pPr>
        <w:pStyle w:val="ListBullet"/>
        <w:spacing w:after="80" w:line="283" w:lineRule="auto"/>
      </w:pPr>
      <w:r>
        <w:rPr>
          <w:rFonts w:ascii="Aptos" w:hAnsi="Aptos" w:eastAsia="Aptos"/>
          <w:b w:val="0"/>
          <w:i w:val="0"/>
          <w:color w:val="17233C"/>
          <w:sz w:val="20"/>
        </w:rPr>
        <w:t>На desktop убрать активный каталог из боковой панели для анонимного free-lesson трафика либо оставить только текущий урок и маркировку «1 из 4 открытых материалов» без ссылок.</w:t>
      </w:r>
    </w:p>
    <w:p>
      <w:pPr>
        <w:pStyle w:val="ListBullet"/>
        <w:spacing w:after="80" w:line="283" w:lineRule="auto"/>
      </w:pPr>
      <w:r>
        <w:rPr>
          <w:rFonts w:ascii="Aptos" w:hAnsi="Aptos" w:eastAsia="Aptos"/>
          <w:b w:val="0"/>
          <w:i w:val="0"/>
          <w:color w:val="17233C"/>
          <w:sz w:val="20"/>
        </w:rPr>
        <w:t>На мобильном не переносить полный каталог в конец страницы: после CTA он создаёт конкурирующий выход.</w:t>
      </w:r>
    </w:p>
    <w:p>
      <w:pPr>
        <w:pStyle w:val="ListBullet"/>
        <w:spacing w:after="80" w:line="283" w:lineRule="auto"/>
      </w:pPr>
      <w:r>
        <w:rPr>
          <w:rFonts w:ascii="Aptos" w:hAnsi="Aptos" w:eastAsia="Aptos"/>
          <w:b w:val="0"/>
          <w:i w:val="0"/>
          <w:color w:val="17233C"/>
          <w:sz w:val="20"/>
        </w:rPr>
        <w:t>Закрытый урок «Парсинг соцсетей» не использовать как главный CTA этой воронки; основной переход — программа Gelato Dev.</w:t>
      </w:r>
    </w:p>
    <w:p>
      <w:pPr>
        <w:pStyle w:val="Heading2"/>
        <w:keepNext/>
      </w:pPr>
      <w:r>
        <w:t>SEO для каждого урока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cantSplit/>
          <w:tblHeader w:val="true"/>
        </w:trPr>
        <w:tc>
          <w:tcPr>
            <w:tcW w:type="dxa" w:w="2800"/>
            <w:shd w:fill="17233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Требование</w:t>
            </w:r>
          </w:p>
        </w:tc>
        <w:tc>
          <w:tcPr>
            <w:tcW w:type="dxa" w:w="6560"/>
            <w:shd w:fill="17233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Реализация</w:t>
            </w:r>
          </w:p>
        </w:tc>
      </w:tr>
      <w:tr>
        <w:trPr>
          <w:cantSplit/>
        </w:trPr>
        <w:tc>
          <w:tcPr>
            <w:tcW w:type="dxa" w:w="28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Уникальные title/description</w:t>
            </w:r>
          </w:p>
        </w:tc>
        <w:tc>
          <w:tcPr>
            <w:tcW w:type="dxa" w:w="65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Соответствуют теме конкретного урока, а не общему курсу.</w:t>
            </w:r>
          </w:p>
        </w:tc>
      </w:tr>
      <w:tr>
        <w:trPr>
          <w:cantSplit/>
        </w:trPr>
        <w:tc>
          <w:tcPr>
            <w:tcW w:type="dxa" w:w="280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Canonical</w:t>
            </w:r>
          </w:p>
        </w:tc>
        <w:tc>
          <w:tcPr>
            <w:tcW w:type="dxa" w:w="656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Self-referencing canonical для каждой индексируемой страницы.</w:t>
            </w:r>
          </w:p>
        </w:tc>
      </w:tr>
      <w:tr>
        <w:trPr>
          <w:cantSplit/>
        </w:trPr>
        <w:tc>
          <w:tcPr>
            <w:tcW w:type="dxa" w:w="28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Структура</w:t>
            </w:r>
          </w:p>
        </w:tc>
        <w:tc>
          <w:tcPr>
            <w:tcW w:type="dxa" w:w="65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Один H1; логические H2/H3; индексируемый конспект и FAQ.</w:t>
            </w:r>
          </w:p>
        </w:tc>
      </w:tr>
      <w:tr>
        <w:trPr>
          <w:cantSplit/>
        </w:trPr>
        <w:tc>
          <w:tcPr>
            <w:tcW w:type="dxa" w:w="280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Schema</w:t>
            </w:r>
          </w:p>
        </w:tc>
        <w:tc>
          <w:tcPr>
            <w:tcW w:type="dxa" w:w="656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VideoObject + Course/LearningResource, дата, длительность, thumbnail, описание.</w:t>
            </w:r>
          </w:p>
        </w:tc>
      </w:tr>
      <w:tr>
        <w:trPr>
          <w:cantSplit/>
        </w:trPr>
        <w:tc>
          <w:tcPr>
            <w:tcW w:type="dxa" w:w="28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Внутренние ссылки</w:t>
            </w:r>
          </w:p>
        </w:tc>
        <w:tc>
          <w:tcPr>
            <w:tcW w:type="dxa" w:w="65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Из урока на релевантный блок лендинга и связанные статьи; без конкурирующего каталога в основной воронке.</w:t>
            </w:r>
          </w:p>
        </w:tc>
      </w:tr>
      <w:tr>
        <w:trPr>
          <w:cantSplit/>
        </w:trPr>
        <w:tc>
          <w:tcPr>
            <w:tcW w:type="dxa" w:w="280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Видео</w:t>
            </w:r>
          </w:p>
        </w:tc>
        <w:tc>
          <w:tcPr>
            <w:tcW w:type="dxa" w:w="656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Poster, субтитры, transcript/конспект, lazy-load без ухудшения Core Web Vitals.</w:t>
            </w:r>
          </w:p>
        </w:tc>
      </w:tr>
    </w:tbl>
    <w:p>
      <w:pPr>
        <w:pStyle w:val="Heading2"/>
        <w:keepNext/>
      </w:pPr>
      <w:r>
        <w:t>Рекомендуемые SEO-title</w:t>
      </w:r>
    </w:p>
    <w:p>
      <w:pPr>
        <w:pStyle w:val="ListBullet"/>
        <w:spacing w:after="80" w:line="283" w:lineRule="auto"/>
      </w:pPr>
      <w:r>
        <w:rPr>
          <w:rFonts w:ascii="Aptos" w:hAnsi="Aptos" w:eastAsia="Aptos"/>
          <w:b w:val="0"/>
          <w:i w:val="0"/>
          <w:color w:val="17233C"/>
          <w:sz w:val="20"/>
        </w:rPr>
        <w:t>01: Как эффективно работать с AI и экономить токены — Gelato Dev.</w:t>
      </w:r>
    </w:p>
    <w:p>
      <w:pPr>
        <w:pStyle w:val="ListBullet"/>
        <w:spacing w:after="80" w:line="283" w:lineRule="auto"/>
      </w:pPr>
      <w:r>
        <w:rPr>
          <w:rFonts w:ascii="Aptos" w:hAnsi="Aptos" w:eastAsia="Aptos"/>
          <w:b w:val="0"/>
          <w:i w:val="0"/>
          <w:color w:val="17233C"/>
          <w:sz w:val="20"/>
        </w:rPr>
        <w:t>02: Промпт-инжиниринг: как давать AI контекст — Gelato Dev.</w:t>
      </w:r>
    </w:p>
    <w:p>
      <w:pPr>
        <w:pStyle w:val="ListBullet"/>
        <w:spacing w:after="80" w:line="283" w:lineRule="auto"/>
      </w:pPr>
      <w:r>
        <w:rPr>
          <w:rFonts w:ascii="Aptos" w:hAnsi="Aptos" w:eastAsia="Aptos"/>
          <w:b w:val="0"/>
          <w:i w:val="0"/>
          <w:color w:val="17233C"/>
          <w:sz w:val="20"/>
        </w:rPr>
        <w:t>03: Токены и лимиты Claude Code: причины расхода — Gelato Dev.</w:t>
      </w:r>
    </w:p>
    <w:p>
      <w:pPr>
        <w:pStyle w:val="ListBullet"/>
        <w:spacing w:after="80" w:line="283" w:lineRule="auto"/>
      </w:pPr>
      <w:r>
        <w:rPr>
          <w:rFonts w:ascii="Aptos" w:hAnsi="Aptos" w:eastAsia="Aptos"/>
          <w:b w:val="0"/>
          <w:i w:val="0"/>
          <w:color w:val="17233C"/>
          <w:sz w:val="20"/>
        </w:rPr>
        <w:t>04: Галлюцинации AI: rules, skills и агенты — Gelato Dev.</w:t>
      </w:r>
    </w:p>
    <w:p>
      <w:pPr>
        <w:sectPr>
          <w:pgSz w:w="12240" w:h="15840"/>
          <w:pgMar w:top="1123" w:right="1440" w:bottom="1037" w:left="1440" w:header="605" w:footer="576" w:gutter="0"/>
          <w:cols w:space="720"/>
          <w:docGrid w:linePitch="360"/>
        </w:sectPr>
      </w:pPr>
    </w:p>
    <w:p>
      <w:pPr>
        <w:pStyle w:val="Heading1"/>
        <w:keepNext/>
      </w:pPr>
      <w:r>
        <w:t>6. Аналитика и критерии приёмки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6460"/>
      </w:tblGrid>
      <w:tr>
        <w:trPr>
          <w:cantSplit/>
          <w:tblHeader w:val="true"/>
        </w:trPr>
        <w:tc>
          <w:tcPr>
            <w:tcW w:type="dxa" w:w="2900"/>
            <w:shd w:fill="17233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Событие</w:t>
            </w:r>
          </w:p>
        </w:tc>
        <w:tc>
          <w:tcPr>
            <w:tcW w:type="dxa" w:w="6460"/>
            <w:shd w:fill="17233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Параметры</w:t>
            </w:r>
          </w:p>
        </w:tc>
      </w:tr>
      <w:tr>
        <w:trPr>
          <w:cantSplit/>
        </w:trPr>
        <w:tc>
          <w:tcPr>
            <w:tcW w:type="dxa" w:w="29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lesson_view</w:t>
            </w:r>
          </w:p>
        </w:tc>
        <w:tc>
          <w:tcPr>
            <w:tcW w:type="dxa" w:w="64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lesson_id, source, campaign, device.</w:t>
            </w:r>
          </w:p>
        </w:tc>
      </w:tr>
      <w:tr>
        <w:trPr>
          <w:cantSplit/>
        </w:trPr>
        <w:tc>
          <w:tcPr>
            <w:tcW w:type="dxa" w:w="290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video_start</w:t>
            </w:r>
          </w:p>
        </w:tc>
        <w:tc>
          <w:tcPr>
            <w:tcW w:type="dxa" w:w="646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lesson_id.</w:t>
            </w:r>
          </w:p>
        </w:tc>
      </w:tr>
      <w:tr>
        <w:trPr>
          <w:cantSplit/>
        </w:trPr>
        <w:tc>
          <w:tcPr>
            <w:tcW w:type="dxa" w:w="29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video_25/50/75/90</w:t>
            </w:r>
          </w:p>
        </w:tc>
        <w:tc>
          <w:tcPr>
            <w:tcW w:type="dxa" w:w="64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lesson_id, progress.</w:t>
            </w:r>
          </w:p>
        </w:tc>
      </w:tr>
      <w:tr>
        <w:trPr>
          <w:cantSplit/>
        </w:trPr>
        <w:tc>
          <w:tcPr>
            <w:tcW w:type="dxa" w:w="290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video_complete</w:t>
            </w:r>
          </w:p>
        </w:tc>
        <w:tc>
          <w:tcPr>
            <w:tcW w:type="dxa" w:w="646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lesson_id.</w:t>
            </w:r>
          </w:p>
        </w:tc>
      </w:tr>
      <w:tr>
        <w:trPr>
          <w:cantSplit/>
        </w:trPr>
        <w:tc>
          <w:tcPr>
            <w:tcW w:type="dxa" w:w="29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lesson_cta_click</w:t>
            </w:r>
          </w:p>
        </w:tc>
        <w:tc>
          <w:tcPr>
            <w:tcW w:type="dxa" w:w="64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lesson_id, cta_position, destination.</w:t>
            </w:r>
          </w:p>
        </w:tc>
      </w:tr>
      <w:tr>
        <w:trPr>
          <w:cantSplit/>
        </w:trPr>
        <w:tc>
          <w:tcPr>
            <w:tcW w:type="dxa" w:w="290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landing_view</w:t>
            </w:r>
          </w:p>
        </w:tc>
        <w:tc>
          <w:tcPr>
            <w:tcW w:type="dxa" w:w="646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source=free_lesson, lesson_id.</w:t>
            </w:r>
          </w:p>
        </w:tc>
      </w:tr>
      <w:tr>
        <w:trPr>
          <w:cantSplit/>
        </w:trPr>
        <w:tc>
          <w:tcPr>
            <w:tcW w:type="dxa" w:w="29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telegram_click</w:t>
            </w:r>
          </w:p>
        </w:tc>
        <w:tc>
          <w:tcPr>
            <w:tcW w:type="dxa" w:w="64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lesson_id, cta_position.</w:t>
            </w:r>
          </w:p>
        </w:tc>
      </w:tr>
      <w:tr>
        <w:trPr>
          <w:cantSplit/>
        </w:trPr>
        <w:tc>
          <w:tcPr>
            <w:tcW w:type="dxa" w:w="290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lead / checkout / purchase</w:t>
            </w:r>
          </w:p>
        </w:tc>
        <w:tc>
          <w:tcPr>
            <w:tcW w:type="dxa" w:w="646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7233C"/>
                <w:sz w:val="17"/>
              </w:rPr>
              <w:t>lesson_id/source при сохранении атрибуции.</w:t>
            </w:r>
          </w:p>
        </w:tc>
      </w:tr>
    </w:tbl>
    <w:p>
      <w:pPr>
        <w:pStyle w:val="Heading2"/>
        <w:keepNext/>
      </w:pPr>
      <w:r>
        <w:t>Критерии приёмки</w:t>
      </w:r>
    </w:p>
    <w:p>
      <w:pPr>
        <w:pStyle w:val="ListBullet"/>
        <w:spacing w:after="80" w:line="283" w:lineRule="auto"/>
      </w:pPr>
      <w:r>
        <w:rPr>
          <w:rFonts w:ascii="Aptos" w:hAnsi="Aptos" w:eastAsia="Aptos"/>
          <w:b w:val="0"/>
          <w:i w:val="0"/>
          <w:color w:val="17233C"/>
          <w:sz w:val="20"/>
        </w:rPr>
        <w:t>☐ Каждый из 4 уроков имеет уникальный H1, подводку, результаты, мост и CTA.</w:t>
      </w:r>
    </w:p>
    <w:p>
      <w:pPr>
        <w:pStyle w:val="ListBullet"/>
        <w:spacing w:after="80" w:line="283" w:lineRule="auto"/>
      </w:pPr>
      <w:r>
        <w:rPr>
          <w:rFonts w:ascii="Aptos" w:hAnsi="Aptos" w:eastAsia="Aptos"/>
          <w:b w:val="0"/>
          <w:i w:val="0"/>
          <w:color w:val="17233C"/>
          <w:sz w:val="20"/>
        </w:rPr>
        <w:t>☐ Все основные CTA ведут на актуальный лендинг vibe.gelato.education с lesson_id.</w:t>
      </w:r>
    </w:p>
    <w:p>
      <w:pPr>
        <w:pStyle w:val="ListBullet"/>
        <w:spacing w:after="80" w:line="283" w:lineRule="auto"/>
      </w:pPr>
      <w:r>
        <w:rPr>
          <w:rFonts w:ascii="Aptos" w:hAnsi="Aptos" w:eastAsia="Aptos"/>
          <w:b w:val="0"/>
          <w:i w:val="0"/>
          <w:color w:val="17233C"/>
          <w:sz w:val="20"/>
        </w:rPr>
        <w:t>☐ На странице нет конкурирующего каталога всех открытых уроков в базовом сценарии.</w:t>
      </w:r>
    </w:p>
    <w:p>
      <w:pPr>
        <w:pStyle w:val="ListBullet"/>
        <w:spacing w:after="80" w:line="283" w:lineRule="auto"/>
      </w:pPr>
      <w:r>
        <w:rPr>
          <w:rFonts w:ascii="Aptos" w:hAnsi="Aptos" w:eastAsia="Aptos"/>
          <w:b w:val="0"/>
          <w:i w:val="0"/>
          <w:color w:val="17233C"/>
          <w:sz w:val="20"/>
        </w:rPr>
        <w:t>☐ Тексты под видео соответствуют теме конкретного видео.</w:t>
      </w:r>
    </w:p>
    <w:p>
      <w:pPr>
        <w:pStyle w:val="ListBullet"/>
        <w:spacing w:after="80" w:line="283" w:lineRule="auto"/>
      </w:pPr>
      <w:r>
        <w:rPr>
          <w:rFonts w:ascii="Aptos" w:hAnsi="Aptos" w:eastAsia="Aptos"/>
          <w:b w:val="0"/>
          <w:i w:val="0"/>
          <w:color w:val="17233C"/>
          <w:sz w:val="20"/>
        </w:rPr>
        <w:t>☐ После видео есть понятный следующий шаг; нет тупика.</w:t>
      </w:r>
    </w:p>
    <w:p>
      <w:pPr>
        <w:pStyle w:val="ListBullet"/>
        <w:spacing w:after="80" w:line="283" w:lineRule="auto"/>
      </w:pPr>
      <w:r>
        <w:rPr>
          <w:rFonts w:ascii="Aptos" w:hAnsi="Aptos" w:eastAsia="Aptos"/>
          <w:b w:val="0"/>
          <w:i w:val="0"/>
          <w:color w:val="17233C"/>
          <w:sz w:val="20"/>
        </w:rPr>
        <w:t>☐ Title, description, canonical и schema уникальны/валидны.</w:t>
      </w:r>
    </w:p>
    <w:p>
      <w:pPr>
        <w:pStyle w:val="ListBullet"/>
        <w:spacing w:after="80" w:line="283" w:lineRule="auto"/>
      </w:pPr>
      <w:r>
        <w:rPr>
          <w:rFonts w:ascii="Aptos" w:hAnsi="Aptos" w:eastAsia="Aptos"/>
          <w:b w:val="0"/>
          <w:i w:val="0"/>
          <w:color w:val="17233C"/>
          <w:sz w:val="20"/>
        </w:rPr>
        <w:t>☐ Видео удобно смотреть на мобильном; субтитры и скорость доступны.</w:t>
      </w:r>
    </w:p>
    <w:p>
      <w:pPr>
        <w:pStyle w:val="ListBullet"/>
        <w:spacing w:after="80" w:line="283" w:lineRule="auto"/>
      </w:pPr>
      <w:r>
        <w:rPr>
          <w:rFonts w:ascii="Aptos" w:hAnsi="Aptos" w:eastAsia="Aptos"/>
          <w:b w:val="0"/>
          <w:i w:val="0"/>
          <w:color w:val="17233C"/>
          <w:sz w:val="20"/>
        </w:rPr>
        <w:t>☐ События просмотра и переходов отправляются без дублей.</w:t>
      </w:r>
    </w:p>
    <w:p>
      <w:pPr>
        <w:pStyle w:val="ListBullet"/>
        <w:spacing w:after="80" w:line="283" w:lineRule="auto"/>
      </w:pPr>
      <w:r>
        <w:rPr>
          <w:rFonts w:ascii="Aptos" w:hAnsi="Aptos" w:eastAsia="Aptos"/>
          <w:b w:val="0"/>
          <w:i w:val="0"/>
          <w:color w:val="17233C"/>
          <w:sz w:val="20"/>
        </w:rPr>
        <w:t>☐ Закрытый урок не перехватывает основной CTA на продукт.</w:t>
      </w:r>
    </w:p>
    <w:p>
      <w:pPr>
        <w:pStyle w:val="ListBullet"/>
        <w:spacing w:after="80" w:line="283" w:lineRule="auto"/>
      </w:pPr>
      <w:r>
        <w:rPr>
          <w:rFonts w:ascii="Aptos" w:hAnsi="Aptos" w:eastAsia="Aptos"/>
          <w:b w:val="0"/>
          <w:i w:val="0"/>
          <w:color w:val="17233C"/>
          <w:sz w:val="20"/>
        </w:rPr>
        <w:t>☐ Полный путь проверен на iOS, Android и desktop.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shd w:fill="17233C"/>
          </w:tcPr>
          <w:p>
            <w:pPr>
              <w:spacing w:after="8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ИТОГ</w:t>
            </w:r>
          </w:p>
          <w:p>
            <w:pPr>
              <w:spacing w:after="0" w:line="274" w:lineRule="auto"/>
            </w:pPr>
            <w:r>
              <w:rPr>
                <w:rFonts w:ascii="Aptos" w:hAnsi="Aptos" w:eastAsia="Aptos"/>
                <w:b w:val="0"/>
                <w:i w:val="0"/>
                <w:color w:val="FFFFFF"/>
                <w:sz w:val="20"/>
              </w:rPr>
              <w:t>Страница бесплатного урока не должна становиться вторым длинным лендингом. Её работа — доказать качество обучения, показать место темы в большой системе и одним ясным действием перевести человека на продающий сайт.</w:t>
            </w:r>
          </w:p>
        </w:tc>
      </w:tr>
    </w:tbl>
    <w:p>
      <w:pPr>
        <w:keepNext w:val="0"/>
        <w:spacing w:before="0" w:after="40" w:line="283" w:lineRule="auto"/>
      </w:pPr>
    </w:p>
    <w:sectPr w:rsidR="00FC693F" w:rsidRPr="0006063C" w:rsidSect="00034616">
      <w:pgSz w:w="12240" w:h="15840"/>
      <w:pgMar w:top="1123" w:right="1440" w:bottom="1037" w:left="1440" w:header="605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i w:val="0"/>
        <w:color w:val="5F6B7A"/>
        <w:sz w:val="16"/>
      </w:rPr>
      <w:t>Страницы бесплатных уроков  •  ТЗ для сайта  •  август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b/>
        <w:i w:val="0"/>
        <w:color w:val="5F6B7A"/>
        <w:sz w:val="16"/>
      </w:rPr>
      <w:t>GELATO DEV  /  FREE LESSON PAGES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ptos" w:hAnsi="Aptos"/>
      <w:color w:val="1723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ptos" w:hAnsi="Aptos"/>
      <w:b/>
      <w:bCs/>
      <w:color w:val="17233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tos" w:hAnsi="Aptos"/>
      <w:b/>
      <w:bCs/>
      <w:color w:val="246BF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233C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Aptos" w:hAnsi="Aptos"/>
      <w:b w:val="0"/>
      <w:i/>
      <w:iCs/>
      <w:color w:val="5F6B7A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 на усиление страниц бесплатных уроков</dc:title>
  <dc:subject/>
  <dc:creator>Gelato Dev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