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color w:val="1F4E79"/>
          <w:sz w:val="36"/>
        </w:rPr>
        <w:t>Web服务扫描专利PPT汇报文案</w:t>
      </w:r>
    </w:p>
    <w:p>
      <w:r>
        <w:rPr>
          <w:rFonts w:ascii="SimSun" w:hAnsi="SimSun" w:eastAsia="SimSun"/>
          <w:b w:val="0"/>
          <w:sz w:val="22"/>
        </w:rPr>
        <w:t>说明：本文件按照“汇报提纲—背景—摘要—系统方法说明—新颖性说明—创造性说明—实用性说明”的PPT逻辑组织，可直接复制到PPT页面。</w:t>
      </w:r>
    </w:p>
    <w:p>
      <w:r>
        <w:rPr>
          <w:rFonts w:ascii="SimHei" w:hAnsi="SimHei" w:eastAsia="SimHei"/>
          <w:b/>
          <w:color w:val="C55A11"/>
          <w:sz w:val="30"/>
        </w:rPr>
        <w:t>第1页：汇报提纲</w:t>
      </w:r>
    </w:p>
    <w:p>
      <w:r>
        <w:rPr>
          <w:rFonts w:ascii="SimSun" w:hAnsi="SimSun" w:eastAsia="SimSun"/>
          <w:b w:val="0"/>
          <w:color w:val="555555"/>
          <w:sz w:val="22"/>
        </w:rPr>
        <w:t>页面定位：围绕“背景、摘要、系统方法、新颖性、创造性、实用性”六部分展开</w:t>
      </w:r>
    </w:p>
    <w:p>
      <w:pPr>
        <w:ind w:left="397"/>
      </w:pPr>
      <w:r>
        <w:rPr>
          <w:rFonts w:ascii="SimSun" w:hAnsi="SimSun" w:eastAsia="SimSun"/>
          <w:b/>
          <w:color w:val="1F3A93"/>
          <w:sz w:val="24"/>
        </w:rPr>
        <w:t>• 1. 专利背景</w:t>
      </w:r>
    </w:p>
    <w:p>
      <w:pPr>
        <w:ind w:left="397"/>
      </w:pPr>
      <w:r>
        <w:rPr>
          <w:rFonts w:ascii="SimSun" w:hAnsi="SimSun" w:eastAsia="SimSun"/>
          <w:b/>
          <w:color w:val="1F3A93"/>
          <w:sz w:val="24"/>
        </w:rPr>
        <w:t>• 2. 专利摘要</w:t>
      </w:r>
    </w:p>
    <w:p>
      <w:pPr>
        <w:ind w:left="397"/>
      </w:pPr>
      <w:r>
        <w:rPr>
          <w:rFonts w:ascii="SimSun" w:hAnsi="SimSun" w:eastAsia="SimSun"/>
          <w:b/>
          <w:color w:val="1F3A93"/>
          <w:sz w:val="24"/>
        </w:rPr>
        <w:t>• 3. 系统方法说明</w:t>
      </w:r>
    </w:p>
    <w:p>
      <w:pPr>
        <w:ind w:left="397"/>
      </w:pPr>
      <w:r>
        <w:rPr>
          <w:rFonts w:ascii="SimSun" w:hAnsi="SimSun" w:eastAsia="SimSun"/>
          <w:b/>
          <w:color w:val="1F3A93"/>
          <w:sz w:val="24"/>
        </w:rPr>
        <w:t>• 4. 新颖性说明</w:t>
      </w:r>
    </w:p>
    <w:p>
      <w:pPr>
        <w:ind w:left="397"/>
      </w:pPr>
      <w:r>
        <w:rPr>
          <w:rFonts w:ascii="SimSun" w:hAnsi="SimSun" w:eastAsia="SimSun"/>
          <w:b/>
          <w:color w:val="1F3A93"/>
          <w:sz w:val="24"/>
        </w:rPr>
        <w:t>• 5. 创造性说明</w:t>
      </w:r>
    </w:p>
    <w:p>
      <w:pPr>
        <w:ind w:left="397"/>
      </w:pPr>
      <w:r>
        <w:rPr>
          <w:rFonts w:ascii="SimSun" w:hAnsi="SimSun" w:eastAsia="SimSun"/>
          <w:b/>
          <w:color w:val="1F3A93"/>
          <w:sz w:val="24"/>
        </w:rPr>
        <w:t>• 6. 实用性说明</w:t>
      </w:r>
    </w:p>
    <w:p>
      <w:r>
        <w:rPr>
          <w:rFonts w:ascii="SimHei" w:hAnsi="SimHei" w:eastAsia="SimHei"/>
          <w:b/>
          <w:color w:val="00838F"/>
          <w:sz w:val="24"/>
        </w:rPr>
        <w:t>【讲解提示】</w:t>
      </w:r>
    </w:p>
    <w:p>
      <w:pPr>
        <w:ind w:left="454"/>
      </w:pPr>
      <w:r>
        <w:rPr>
          <w:rFonts w:ascii="SimSun" w:hAnsi="SimSun" w:eastAsia="SimSun"/>
          <w:b w:val="0"/>
          <w:color w:val="444444"/>
          <w:sz w:val="22"/>
        </w:rPr>
        <w:t>• 本次汇报基于《一种面向Web服务的自适应闭环安全扫描方法及系统》展开。</w:t>
      </w:r>
    </w:p>
    <w:p>
      <w:pPr>
        <w:ind w:left="454"/>
      </w:pPr>
      <w:r>
        <w:rPr>
          <w:rFonts w:ascii="SimSun" w:hAnsi="SimSun" w:eastAsia="SimSun"/>
          <w:b w:val="0"/>
          <w:color w:val="444444"/>
          <w:sz w:val="22"/>
        </w:rPr>
        <w:t>• 重点突出方案的技术闭环、创新点以及在企业安全运营中的落地价值。</w:t>
      </w:r>
    </w:p>
    <w:p/>
    <w:p>
      <w:r>
        <w:rPr>
          <w:rFonts w:ascii="SimHei" w:hAnsi="SimHei" w:eastAsia="SimHei"/>
          <w:b/>
          <w:color w:val="C55A11"/>
          <w:sz w:val="30"/>
        </w:rPr>
        <w:t>第2页：背景</w:t>
      </w:r>
    </w:p>
    <w:p>
      <w:r>
        <w:rPr>
          <w:rFonts w:ascii="SimHei" w:hAnsi="SimHei" w:eastAsia="SimHei"/>
          <w:b/>
          <w:color w:val="1F3A93"/>
          <w:sz w:val="26"/>
        </w:rPr>
        <w:t>【项目来源】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来源于企业级Web服务安全治理、攻防演练和持续漏洞运营场景。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面向门户网站、管理后台、微服务接口、单页应用和SaaS平台的自动化扫描需求。</w:t>
      </w:r>
    </w:p>
    <w:p>
      <w:r>
        <w:rPr>
          <w:rFonts w:ascii="SimHei" w:hAnsi="SimHei" w:eastAsia="SimHei"/>
          <w:b/>
          <w:color w:val="1F3A93"/>
          <w:sz w:val="26"/>
        </w:rPr>
        <w:t>【技术领域】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网络安全检测、Web应用安全、自动化漏洞挖掘与安全运维。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尤其适用于复杂业务流、强状态依赖和多角色鉴权的Web服务环境。</w:t>
      </w:r>
    </w:p>
    <w:p>
      <w:r>
        <w:rPr>
          <w:rFonts w:ascii="SimHei" w:hAnsi="SimHei" w:eastAsia="SimHei"/>
          <w:b/>
          <w:color w:val="1F3A93"/>
          <w:sz w:val="26"/>
        </w:rPr>
        <w:t>【应用场景】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日常漏洞巡检、重大活动前专项排查、上线前安全验收、修复后回归验证。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可与漏洞管理平台、CI/CD流水线、安全运营中心联动使用。</w:t>
      </w:r>
    </w:p>
    <w:p>
      <w:r>
        <w:rPr>
          <w:rFonts w:ascii="SimHei" w:hAnsi="SimHei" w:eastAsia="SimHei"/>
          <w:b/>
          <w:color w:val="1F3A93"/>
          <w:sz w:val="26"/>
        </w:rPr>
        <w:t>【解决的问题】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传统扫描器对现代Web服务业务链理解不足，容易漏扫越权、逻辑缺陷等深层漏洞。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仅依赖单次回显或状态码判断，误报较多，且缺少修复后自动复测机制。</w:t>
      </w:r>
    </w:p>
    <w:p/>
    <w:p>
      <w:r>
        <w:rPr>
          <w:rFonts w:ascii="SimHei" w:hAnsi="SimHei" w:eastAsia="SimHei"/>
          <w:b/>
          <w:color w:val="C55A11"/>
          <w:sz w:val="30"/>
        </w:rPr>
        <w:t>第3页：摘要</w:t>
      </w:r>
    </w:p>
    <w:p>
      <w:r>
        <w:rPr>
          <w:rFonts w:ascii="SimHei" w:hAnsi="SimHei" w:eastAsia="SimHei"/>
          <w:b/>
          <w:color w:val="1F3A93"/>
          <w:sz w:val="26"/>
        </w:rPr>
        <w:t>【核心思想】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先理解目标Web服务，再决定如何扫描、如何确认以及如何验证修复。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通过“语义建模 + 自适应扫描 + 回放验证”形成完整技术闭环。</w:t>
      </w:r>
    </w:p>
    <w:p>
      <w:r>
        <w:rPr>
          <w:rFonts w:ascii="SimHei" w:hAnsi="SimHei" w:eastAsia="SimHei"/>
          <w:b/>
          <w:color w:val="1F3A93"/>
          <w:sz w:val="26"/>
        </w:rPr>
        <w:t>【方案摘要】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系统首先采集页面、接口、脚本、鉴权和业务流信息，构建资产语义指纹。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随后自动生成令牌化交互沙箱和漏洞触发链，对复杂业务路径实施分层自适应扫描。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最后通过多源证据融合输出高置信结论，并在修复后自动回放验证，实现持续学习。</w:t>
      </w:r>
    </w:p>
    <w:p>
      <w:r>
        <w:rPr>
          <w:rFonts w:ascii="SimHei" w:hAnsi="SimHei" w:eastAsia="SimHei"/>
          <w:b/>
          <w:color w:val="1F3A93"/>
          <w:sz w:val="26"/>
        </w:rPr>
        <w:t>【预期效果】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提高复杂业务漏洞发现能力，降低误报漏报。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将漏洞发现、修复确认和知识沉淀统一到同一平台流程中。</w:t>
      </w:r>
    </w:p>
    <w:p/>
    <w:p>
      <w:r>
        <w:rPr>
          <w:rFonts w:ascii="SimHei" w:hAnsi="SimHei" w:eastAsia="SimHei"/>
          <w:b/>
          <w:color w:val="C55A11"/>
          <w:sz w:val="30"/>
        </w:rPr>
        <w:t>第4页：系统方法说明</w:t>
      </w:r>
    </w:p>
    <w:p>
      <w:r>
        <w:rPr>
          <w:rFonts w:ascii="SimHei" w:hAnsi="SimHei" w:eastAsia="SimHei"/>
          <w:b/>
          <w:color w:val="1F3A93"/>
          <w:sz w:val="26"/>
        </w:rPr>
        <w:t>【系统主要包括】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资产语义指纹构建模块：采集页面、接口、脚本、鉴权及组件特征并生成服务画像。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令牌化交互沙箱模块：构建受控会话、测试令牌和可追踪业务数据。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扫描策略编排模块：根据目标画像和历史结果动态选择扫描路径与探针强度。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分层自适应扫描执行模块：对高风险页面、接口和对象执行差异化扫描。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多源证据融合模块：综合请求响应、DOM变化、日志和一致性结果判定漏洞。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风险知识图谱模块：维护资产、组件、漏洞类型及攻击路径之间的关联。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修复回放验证模块：在补丁上线后重放历史触发链，确认漏洞是否真正消除。</w:t>
      </w:r>
    </w:p>
    <w:p>
      <w:r>
        <w:rPr>
          <w:rFonts w:ascii="SimHei" w:hAnsi="SimHei" w:eastAsia="SimHei"/>
          <w:b/>
          <w:color w:val="1F3A93"/>
          <w:sz w:val="26"/>
        </w:rPr>
        <w:t>【系统输出】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输出漏洞名称、影响范围、复现请求、证据链、修复建议和复测结论。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支持向漏洞管理平台、工单系统和持续交付平台同步结果。</w:t>
      </w:r>
    </w:p>
    <w:p/>
    <w:p>
      <w:r>
        <w:rPr>
          <w:rFonts w:ascii="SimHei" w:hAnsi="SimHei" w:eastAsia="SimHei"/>
          <w:b/>
          <w:color w:val="C55A11"/>
          <w:sz w:val="30"/>
        </w:rPr>
        <w:t>第5页：系统方法说明（流程）</w:t>
      </w:r>
    </w:p>
    <w:p>
      <w:r>
        <w:rPr>
          <w:rFonts w:ascii="SimHei" w:hAnsi="SimHei" w:eastAsia="SimHei"/>
          <w:b/>
          <w:color w:val="1F3A93"/>
          <w:sz w:val="26"/>
        </w:rPr>
        <w:t>【系统分析流程】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步骤1：采集目标Web服务的页面、接口、路由、鉴权和组件信息，生成资产语义指纹。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步骤2：构造令牌化交互沙箱与漏洞触发链，执行分层自适应扫描并完成多源证据确认。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步骤3：在修复后自动回放历史触发链，输出修复成功/不彻底/存在回归风险的结论。</w:t>
      </w:r>
    </w:p>
    <w:p>
      <w:r>
        <w:rPr>
          <w:rFonts w:ascii="SimHei" w:hAnsi="SimHei" w:eastAsia="SimHei"/>
          <w:b/>
          <w:color w:val="1F3A93"/>
          <w:sz w:val="26"/>
        </w:rPr>
        <w:t>【流程关键点A】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理解业务上下文，不再只对URL和参数做静态探测。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对越权、逻辑缺陷、状态切换类问题可实施更精准检测。</w:t>
      </w:r>
    </w:p>
    <w:p>
      <w:r>
        <w:rPr>
          <w:rFonts w:ascii="SimHei" w:hAnsi="SimHei" w:eastAsia="SimHei"/>
          <w:b/>
          <w:color w:val="1F3A93"/>
          <w:sz w:val="26"/>
        </w:rPr>
        <w:t>【流程关键点B】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扫描结果可以反向更新知识图谱和策略库，实现越用越准。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形成“识别—扫描—验证—学习”的闭环安全运营体系。</w:t>
      </w:r>
    </w:p>
    <w:p/>
    <w:p>
      <w:r>
        <w:rPr>
          <w:rFonts w:ascii="SimHei" w:hAnsi="SimHei" w:eastAsia="SimHei"/>
          <w:b/>
          <w:color w:val="C55A11"/>
          <w:sz w:val="30"/>
        </w:rPr>
        <w:t>第6页：新颖性说明</w:t>
      </w:r>
    </w:p>
    <w:p>
      <w:r>
        <w:rPr>
          <w:rFonts w:ascii="SimHei" w:hAnsi="SimHei" w:eastAsia="SimHei"/>
          <w:b/>
          <w:color w:val="1F3A93"/>
          <w:sz w:val="26"/>
        </w:rPr>
        <w:t>【检索与对比思路】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可与传统规则扫描、爬虫式扫描、人工渗透辅助方案进行对比。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重点关注现有技术是否具备对业务语义理解、动态策略编排和修复回放闭环的统一实现。</w:t>
      </w:r>
    </w:p>
    <w:p>
      <w:r>
        <w:rPr>
          <w:rFonts w:ascii="SimHei" w:hAnsi="SimHei" w:eastAsia="SimHei"/>
          <w:b/>
          <w:color w:val="1F3A93"/>
          <w:sz w:val="26"/>
        </w:rPr>
        <w:t>【本方案的新颖点】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提出资产语义指纹，将页面结构、接口关系、鉴权状态和业务流特征联合建模。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提出令牌化交互沙箱，用受控方式模拟真实用户操作与多角色切换流程。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提出修复回放验证机制，使扫描系统具备漏洞修复后的自动复测和知识反哺能力。</w:t>
      </w:r>
    </w:p>
    <w:p>
      <w:r>
        <w:rPr>
          <w:rFonts w:ascii="SimHei" w:hAnsi="SimHei" w:eastAsia="SimHei"/>
          <w:b/>
          <w:color w:val="1F3A93"/>
          <w:sz w:val="26"/>
        </w:rPr>
        <w:t>【相对现有技术区别】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现有技术通常止步于漏洞发现，本方案进一步覆盖漏洞确认和修复验证。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现有技术多基于静态规则，本方案可根据目标反馈实时调整扫描强度和路径。</w:t>
      </w:r>
    </w:p>
    <w:p/>
    <w:p>
      <w:r>
        <w:rPr>
          <w:rFonts w:ascii="SimHei" w:hAnsi="SimHei" w:eastAsia="SimHei"/>
          <w:b/>
          <w:color w:val="C55A11"/>
          <w:sz w:val="30"/>
        </w:rPr>
        <w:t>第7页：创造性说明</w:t>
      </w:r>
    </w:p>
    <w:p>
      <w:r>
        <w:rPr>
          <w:rFonts w:ascii="SimHei" w:hAnsi="SimHei" w:eastAsia="SimHei"/>
          <w:b/>
          <w:color w:val="1F3A93"/>
          <w:sz w:val="26"/>
        </w:rPr>
        <w:t>【相对现有技术的优势】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把目标理解、路径构造、漏洞确认和修复验证连接为一体，不是简单的插件堆叠。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能够覆盖多步骤、强状态依赖、跨角色切换的复杂业务漏洞场景。</w:t>
      </w:r>
    </w:p>
    <w:p>
      <w:r>
        <w:rPr>
          <w:rFonts w:ascii="SimHei" w:hAnsi="SimHei" w:eastAsia="SimHei"/>
          <w:b/>
          <w:color w:val="1F3A93"/>
          <w:sz w:val="26"/>
        </w:rPr>
        <w:t>【主要创造性体现】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创造性一：将“资产语义指纹”作为扫描策略输入，使扫描行为具备上下文感知能力。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创造性二：将“令牌化交互沙箱”与“漏洞触发链”结合，使复杂业务动作可控、可追踪、可回放。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创造性三：将“多源证据融合”与“修复回放验证”并入同一技术链路，形成持续学习闭环。</w:t>
      </w:r>
    </w:p>
    <w:p>
      <w:r>
        <w:rPr>
          <w:rFonts w:ascii="SimHei" w:hAnsi="SimHei" w:eastAsia="SimHei"/>
          <w:b/>
          <w:color w:val="1F3A93"/>
          <w:sz w:val="26"/>
        </w:rPr>
        <w:t>【技术效果】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提高深层漏洞发现能力，降低误报，提升结果可解释性。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使系统不仅能发现问题，还能验证修复是否有效，具备显著的实质性特点和进步。</w:t>
      </w:r>
    </w:p>
    <w:p/>
    <w:p>
      <w:r>
        <w:rPr>
          <w:rFonts w:ascii="SimHei" w:hAnsi="SimHei" w:eastAsia="SimHei"/>
          <w:b/>
          <w:color w:val="C55A11"/>
          <w:sz w:val="30"/>
        </w:rPr>
        <w:t>第8页：实用性说明</w:t>
      </w:r>
    </w:p>
    <w:p>
      <w:r>
        <w:rPr>
          <w:rFonts w:ascii="SimHei" w:hAnsi="SimHei" w:eastAsia="SimHei"/>
          <w:b/>
          <w:color w:val="1F3A93"/>
          <w:sz w:val="26"/>
        </w:rPr>
        <w:t>【可应用场景】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企业门户、运维后台、客户服务平台、政企SaaS系统、API网关、移动端后端服务。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适合日常巡检、等保整改、重大保障、上线前安全验收、修复后回归测试等场景。</w:t>
      </w:r>
    </w:p>
    <w:p>
      <w:r>
        <w:rPr>
          <w:rFonts w:ascii="SimHei" w:hAnsi="SimHei" w:eastAsia="SimHei"/>
          <w:b/>
          <w:color w:val="1F3A93"/>
          <w:sz w:val="26"/>
        </w:rPr>
        <w:t>【落地方式】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可独立部署为Web安全扫描平台，也可与现有漏洞管理、工单和CI/CD系统集成。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支持按租户、按项目、按环境进行策略隔离和分级扫描。</w:t>
      </w:r>
    </w:p>
    <w:p>
      <w:r>
        <w:rPr>
          <w:rFonts w:ascii="SimHei" w:hAnsi="SimHei" w:eastAsia="SimHei"/>
          <w:b/>
          <w:color w:val="1F3A93"/>
          <w:sz w:val="26"/>
        </w:rPr>
        <w:t>【可能价值】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提升安全团队对复杂Web资产的自动化治理能力，降低人工渗透成本。</w:t>
      </w:r>
    </w:p>
    <w:p>
      <w:pPr>
        <w:ind w:left="454"/>
      </w:pPr>
      <w:r>
        <w:rPr>
          <w:rFonts w:ascii="SimSun" w:hAnsi="SimSun" w:eastAsia="SimSun"/>
          <w:b w:val="0"/>
          <w:sz w:val="24"/>
        </w:rPr>
        <w:t>• 缩短漏洞发现到修复确认的周期，为企业持续安全运营提供可量化支撑。</w:t>
      </w:r>
    </w:p>
    <w:p/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