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 w:ascii="微软雅黑" w:hAnsi="微软雅黑" w:eastAsia="微软雅黑" w:cs="微软雅黑"/>
          <w:sz w:val="24"/>
          <w:szCs w:val="24"/>
        </w:rPr>
      </w:pPr>
      <w:bookmarkStart w:id="5" w:name="_GoBack"/>
      <w:r>
        <w:rPr>
          <w:rFonts w:hint="eastAsia" w:ascii="微软雅黑" w:hAnsi="微软雅黑" w:eastAsia="微软雅黑" w:cs="微软雅黑"/>
          <w:sz w:val="24"/>
          <w:szCs w:val="24"/>
        </w:rPr>
        <w:t>工程软件开发竞赛项目验收评分细则（总分：100分）</w:t>
      </w:r>
    </w:p>
    <w:p>
      <w:pPr>
        <w:rPr>
          <w:rFonts w:hint="eastAsia" w:ascii="楷体" w:hAnsi="楷体" w:eastAsia="楷体" w:cs="楷体"/>
        </w:rPr>
      </w:pPr>
    </w:p>
    <w:p>
      <w:pPr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 xml:space="preserve"> 一、 完成时间与运行效率（权重：2</w:t>
      </w:r>
      <w:r>
        <w:rPr>
          <w:rFonts w:hint="eastAsia" w:ascii="楷体" w:hAnsi="楷体" w:eastAsia="楷体" w:cs="楷体"/>
          <w:lang w:val="en-US" w:eastAsia="zh-CN"/>
        </w:rPr>
        <w:t>5</w:t>
      </w:r>
      <w:r>
        <w:rPr>
          <w:rFonts w:hint="eastAsia" w:ascii="楷体" w:hAnsi="楷体" w:eastAsia="楷体" w:cs="楷体"/>
        </w:rPr>
        <w:t>分）</w:t>
      </w:r>
    </w:p>
    <w:p>
      <w:pPr>
        <w:ind w:firstLine="420" w:firstLineChars="200"/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考察点：是否按时交付、计算速度、资源占用率。</w:t>
      </w:r>
    </w:p>
    <w:p>
      <w:pPr>
        <w:rPr>
          <w:rFonts w:hint="eastAsia" w:ascii="楷体" w:hAnsi="楷体" w:eastAsia="楷体" w:cs="楷体"/>
        </w:rPr>
      </w:pPr>
    </w:p>
    <w:tbl>
      <w:tblPr>
        <w:tblStyle w:val="2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shd w:val="clear" w:color="auto" w:fill="auto"/>
        <w:tblLayout w:type="autofit"/>
        <w:tblCellMar>
          <w:top w:w="15" w:type="dxa"/>
          <w:left w:w="15" w:type="dxa"/>
          <w:bottom w:w="15" w:type="dxa"/>
          <w:right w:w="15" w:type="dxa"/>
        </w:tblCellMar>
      </w:tblPr>
      <w:tblGrid>
        <w:gridCol w:w="1293"/>
        <w:gridCol w:w="748"/>
        <w:gridCol w:w="2296"/>
        <w:gridCol w:w="1709"/>
        <w:gridCol w:w="1752"/>
        <w:gridCol w:w="748"/>
      </w:tblGrid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Header/>
        </w:trPr>
        <w:tc>
          <w:tcPr>
            <w:tcW w:w="0" w:type="auto"/>
            <w:tcBorders>
              <w:top w:val="nil"/>
            </w:tcBorders>
            <w:shd w:val="clear" w:color="auto" w:fill="auto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kern w:val="0"/>
                <w:sz w:val="18"/>
                <w:szCs w:val="18"/>
                <w:lang w:val="en-US" w:eastAsia="zh-CN" w:bidi="ar"/>
              </w:rPr>
              <w:t>评分项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auto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kern w:val="0"/>
                <w:sz w:val="18"/>
                <w:szCs w:val="18"/>
                <w:lang w:val="en-US" w:eastAsia="zh-CN" w:bidi="ar"/>
              </w:rPr>
              <w:t>分值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auto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kern w:val="0"/>
                <w:sz w:val="18"/>
                <w:szCs w:val="18"/>
                <w:lang w:val="en-US" w:eastAsia="zh-CN" w:bidi="ar"/>
              </w:rPr>
              <w:t>优秀 (100%)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auto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kern w:val="0"/>
                <w:sz w:val="18"/>
                <w:szCs w:val="18"/>
                <w:lang w:val="en-US" w:eastAsia="zh-CN" w:bidi="ar"/>
              </w:rPr>
              <w:t>合格 (60%)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auto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kern w:val="0"/>
                <w:sz w:val="18"/>
                <w:szCs w:val="18"/>
                <w:lang w:val="en-US" w:eastAsia="zh-CN" w:bidi="ar"/>
              </w:rPr>
              <w:t>待改进 (20%)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auto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kern w:val="0"/>
                <w:sz w:val="18"/>
                <w:szCs w:val="18"/>
                <w:lang w:val="en-US" w:eastAsia="zh-CN" w:bidi="ar"/>
              </w:rPr>
              <w:t>得分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shd w:val="clear" w:color="auto" w:fill="auto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kern w:val="0"/>
                <w:sz w:val="18"/>
                <w:szCs w:val="18"/>
                <w:lang w:val="en-US" w:eastAsia="zh-CN" w:bidi="ar"/>
              </w:rPr>
              <w:t>1.1 交付时效性</w:t>
            </w:r>
          </w:p>
        </w:tc>
        <w:tc>
          <w:tcPr>
            <w:tcW w:w="0" w:type="auto"/>
            <w:shd w:val="clear" w:color="auto" w:fill="auto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楷体" w:hAnsi="楷体" w:eastAsia="楷体" w:cs="楷体"/>
                <w:sz w:val="18"/>
                <w:szCs w:val="18"/>
                <w:lang w:val="en-US"/>
              </w:rPr>
            </w:pPr>
            <w:r>
              <w:rPr>
                <w:rFonts w:hint="eastAsia" w:ascii="楷体" w:hAnsi="楷体" w:eastAsia="楷体" w:cs="楷体"/>
                <w:kern w:val="0"/>
                <w:sz w:val="18"/>
                <w:szCs w:val="18"/>
                <w:lang w:val="en-US" w:eastAsia="zh-CN" w:bidi="ar"/>
              </w:rPr>
              <w:t>10</w:t>
            </w:r>
          </w:p>
        </w:tc>
        <w:tc>
          <w:tcPr>
            <w:tcW w:w="0" w:type="auto"/>
            <w:shd w:val="clear" w:color="auto" w:fill="auto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楷体" w:hAnsi="楷体" w:eastAsia="楷体" w:cs="楷体"/>
                <w:sz w:val="18"/>
                <w:szCs w:val="18"/>
                <w:lang w:val="en-US"/>
              </w:rPr>
            </w:pPr>
            <w:bookmarkStart w:id="0" w:name="OLE_LINK5"/>
            <w:r>
              <w:rPr>
                <w:rFonts w:hint="eastAsia" w:ascii="楷体" w:hAnsi="楷体" w:eastAsia="楷体" w:cs="楷体"/>
                <w:kern w:val="0"/>
                <w:sz w:val="18"/>
                <w:szCs w:val="18"/>
                <w:lang w:val="en-US" w:eastAsia="zh-CN" w:bidi="ar"/>
              </w:rPr>
              <w:t>优先提交≥5个工作日</w:t>
            </w:r>
            <w:bookmarkEnd w:id="0"/>
          </w:p>
        </w:tc>
        <w:tc>
          <w:tcPr>
            <w:tcW w:w="0" w:type="auto"/>
            <w:shd w:val="clear" w:color="auto" w:fill="auto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kern w:val="0"/>
                <w:sz w:val="18"/>
                <w:szCs w:val="18"/>
                <w:lang w:val="en-US" w:eastAsia="zh-CN" w:bidi="ar"/>
              </w:rPr>
              <w:t>优先提交≥3个工作日</w:t>
            </w:r>
          </w:p>
        </w:tc>
        <w:tc>
          <w:tcPr>
            <w:tcW w:w="0" w:type="auto"/>
            <w:shd w:val="clear" w:color="auto" w:fill="auto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kern w:val="0"/>
                <w:sz w:val="18"/>
                <w:szCs w:val="18"/>
                <w:lang w:val="en-US" w:eastAsia="zh-CN" w:bidi="ar"/>
              </w:rPr>
              <w:t>优先提交≥1个工作日</w:t>
            </w:r>
          </w:p>
        </w:tc>
        <w:tc>
          <w:tcPr>
            <w:tcW w:w="0" w:type="auto"/>
            <w:shd w:val="clear" w:color="auto" w:fill="auto"/>
            <w:tcMar>
              <w:top w:w="150" w:type="dxa"/>
              <w:left w:w="240" w:type="dxa"/>
              <w:bottom w:w="150" w:type="dxa"/>
              <w:right w:w="0" w:type="dxa"/>
            </w:tcMar>
            <w:vAlign w:val="center"/>
          </w:tcPr>
          <w:p>
            <w:pPr>
              <w:rPr>
                <w:rFonts w:hint="eastAsia" w:ascii="楷体" w:hAnsi="楷体" w:eastAsia="楷体" w:cs="楷体"/>
                <w:sz w:val="18"/>
                <w:szCs w:val="18"/>
              </w:rPr>
            </w:pP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shd w:val="clear" w:color="auto" w:fill="auto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kern w:val="0"/>
                <w:sz w:val="18"/>
                <w:szCs w:val="18"/>
                <w:lang w:val="en-US" w:eastAsia="zh-CN" w:bidi="ar"/>
              </w:rPr>
              <w:t>1.2 核心算法/计算速度</w:t>
            </w:r>
          </w:p>
        </w:tc>
        <w:tc>
          <w:tcPr>
            <w:tcW w:w="0" w:type="auto"/>
            <w:shd w:val="clear" w:color="auto" w:fill="auto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kern w:val="0"/>
                <w:sz w:val="18"/>
                <w:szCs w:val="18"/>
                <w:lang w:val="en-US" w:eastAsia="zh-CN" w:bidi="ar"/>
              </w:rPr>
              <w:t>10</w:t>
            </w:r>
          </w:p>
        </w:tc>
        <w:tc>
          <w:tcPr>
            <w:tcW w:w="0" w:type="auto"/>
            <w:shd w:val="clear" w:color="auto" w:fill="auto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kern w:val="0"/>
                <w:sz w:val="18"/>
                <w:szCs w:val="18"/>
                <w:lang w:val="en-US" w:eastAsia="zh-CN" w:bidi="ar"/>
              </w:rPr>
              <w:t>处理标准测试集耗时低于基准值30%以上</w:t>
            </w:r>
          </w:p>
        </w:tc>
        <w:tc>
          <w:tcPr>
            <w:tcW w:w="0" w:type="auto"/>
            <w:shd w:val="clear" w:color="auto" w:fill="auto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kern w:val="0"/>
                <w:sz w:val="18"/>
                <w:szCs w:val="18"/>
                <w:lang w:val="en-US" w:eastAsia="zh-CN" w:bidi="ar"/>
              </w:rPr>
              <w:t>耗时在基准值 ± 10%以内</w:t>
            </w:r>
          </w:p>
        </w:tc>
        <w:tc>
          <w:tcPr>
            <w:tcW w:w="0" w:type="auto"/>
            <w:shd w:val="clear" w:color="auto" w:fill="auto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kern w:val="0"/>
                <w:sz w:val="18"/>
                <w:szCs w:val="18"/>
                <w:lang w:val="en-US" w:eastAsia="zh-CN" w:bidi="ar"/>
              </w:rPr>
              <w:t>耗时超过基准值50%以上</w:t>
            </w:r>
          </w:p>
        </w:tc>
        <w:tc>
          <w:tcPr>
            <w:tcW w:w="0" w:type="auto"/>
            <w:shd w:val="clear" w:color="auto" w:fill="auto"/>
            <w:tcMar>
              <w:top w:w="150" w:type="dxa"/>
              <w:left w:w="240" w:type="dxa"/>
              <w:bottom w:w="150" w:type="dxa"/>
              <w:right w:w="0" w:type="dxa"/>
            </w:tcMar>
            <w:vAlign w:val="center"/>
          </w:tcPr>
          <w:p>
            <w:pPr>
              <w:rPr>
                <w:rFonts w:hint="eastAsia" w:ascii="楷体" w:hAnsi="楷体" w:eastAsia="楷体" w:cs="楷体"/>
                <w:sz w:val="18"/>
                <w:szCs w:val="18"/>
              </w:rPr>
            </w:pP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shd w:val="clear" w:color="auto" w:fill="FFFFFF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ind w:left="0" w:firstLine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1.3 资源占用效率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ind w:left="0" w:firstLine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5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ind w:left="0" w:firstLine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CPU/内存占用优化极佳，无卡顿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ind w:left="0" w:firstLine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占用合理，偶尔卡顿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ind w:left="0" w:firstLine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  <w:t>占用过高导致系统明显延迟</w:t>
            </w:r>
            <w:r>
              <w:rPr>
                <w:rFonts w:hint="eastAsia" w:ascii="楷体" w:hAnsi="楷体" w:eastAsia="楷体" w:cs="楷体"/>
                <w:kern w:val="0"/>
                <w:sz w:val="18"/>
                <w:szCs w:val="18"/>
                <w:lang w:val="en-US" w:eastAsia="zh-CN" w:bidi="ar"/>
              </w:rPr>
              <w:br w:type="textWrapping"/>
            </w:r>
          </w:p>
        </w:tc>
        <w:tc>
          <w:tcPr>
            <w:tcW w:w="0" w:type="auto"/>
            <w:shd w:val="clear" w:color="auto" w:fill="auto"/>
            <w:vAlign w:val="center"/>
          </w:tcPr>
          <w:p>
            <w:pPr>
              <w:rPr>
                <w:rFonts w:hint="eastAsia" w:ascii="楷体" w:hAnsi="楷体" w:eastAsia="楷体" w:cs="楷体"/>
                <w:sz w:val="18"/>
                <w:szCs w:val="18"/>
              </w:rPr>
            </w:pPr>
          </w:p>
        </w:tc>
      </w:tr>
    </w:tbl>
    <w:p>
      <w:pPr>
        <w:rPr>
          <w:rFonts w:hint="eastAsia" w:ascii="楷体" w:hAnsi="楷体" w:eastAsia="楷体" w:cs="楷体"/>
        </w:rPr>
      </w:pPr>
    </w:p>
    <w:p>
      <w:pPr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---</w:t>
      </w:r>
    </w:p>
    <w:p>
      <w:pPr>
        <w:rPr>
          <w:rFonts w:hint="eastAsia" w:ascii="楷体" w:hAnsi="楷体" w:eastAsia="楷体" w:cs="楷体"/>
        </w:rPr>
      </w:pPr>
    </w:p>
    <w:p>
      <w:pPr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二、 功能完整性与设计符合度（权重：</w:t>
      </w:r>
      <w:r>
        <w:rPr>
          <w:rFonts w:hint="eastAsia" w:ascii="楷体" w:hAnsi="楷体" w:eastAsia="楷体" w:cs="楷体"/>
          <w:lang w:val="en-US" w:eastAsia="zh-CN"/>
        </w:rPr>
        <w:t>45</w:t>
      </w:r>
      <w:r>
        <w:rPr>
          <w:rFonts w:hint="eastAsia" w:ascii="楷体" w:hAnsi="楷体" w:eastAsia="楷体" w:cs="楷体"/>
        </w:rPr>
        <w:t>分）</w:t>
      </w:r>
    </w:p>
    <w:p>
      <w:pPr>
        <w:ind w:firstLine="420" w:firstLineChars="200"/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考察点：是否跑通了核心流程、边界条件处理、物理/数学建模的正确性。</w:t>
      </w:r>
    </w:p>
    <w:p>
      <w:pPr>
        <w:rPr>
          <w:rFonts w:hint="eastAsia" w:ascii="楷体" w:hAnsi="楷体" w:eastAsia="楷体" w:cs="楷体"/>
        </w:rPr>
      </w:pPr>
    </w:p>
    <w:tbl>
      <w:tblPr>
        <w:tblStyle w:val="2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shd w:val="clear" w:color="auto" w:fill="FFFFFF"/>
        <w:tblLayout w:type="autofit"/>
        <w:tblCellMar>
          <w:top w:w="15" w:type="dxa"/>
          <w:left w:w="15" w:type="dxa"/>
          <w:bottom w:w="15" w:type="dxa"/>
          <w:right w:w="15" w:type="dxa"/>
        </w:tblCellMar>
      </w:tblPr>
      <w:tblGrid>
        <w:gridCol w:w="1119"/>
        <w:gridCol w:w="728"/>
        <w:gridCol w:w="2193"/>
        <w:gridCol w:w="2006"/>
        <w:gridCol w:w="1771"/>
        <w:gridCol w:w="729"/>
      </w:tblGrid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Header/>
        </w:trPr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评分项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分值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优秀 (100%)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合格 (60%)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待改进 (20%)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得分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shd w:val="clear" w:color="auto" w:fill="FFFFFF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2.1 核心功能完成度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  <w:lang w:val="en-US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25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实现了需求文档中</w:t>
            </w: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100%</w:t>
            </w: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 的核心功能点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实现了</w:t>
            </w: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80%</w:t>
            </w: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 的核心功能，关键路径可运行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核心功能缺失严重，无法正常运行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0" w:type="dxa"/>
            </w:tcMar>
            <w:vAlign w:val="center"/>
          </w:tcPr>
          <w:p>
            <w:pP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shd w:val="clear" w:color="auto" w:fill="FFFFFF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2.2 计算精度/设计误差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12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输出结果与理论值/标准答案误差 &lt; 1%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误差在 1% ~ 5% 之间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误差 &gt; 10% 或结果明显不合理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0" w:type="dxa"/>
            </w:tcMar>
            <w:vAlign w:val="center"/>
          </w:tcPr>
          <w:p>
            <w:pP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shd w:val="clear" w:color="auto" w:fill="FFFFFF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2.3 异常与边界处理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8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对非法输入、空值、极端数据有完善报错机制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有基本校验，但遇到极端值会闪退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无任何异常捕获，极易崩溃</w:t>
            </w:r>
          </w:p>
        </w:tc>
        <w:tc>
          <w:tcPr>
            <w:tcW w:w="0" w:type="auto"/>
            <w:shd w:val="clear" w:color="auto" w:fill="FFFFFF"/>
            <w:vAlign w:val="center"/>
          </w:tcPr>
          <w:p>
            <w:pP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</w:p>
        </w:tc>
      </w:tr>
    </w:tbl>
    <w:p>
      <w:pPr>
        <w:rPr>
          <w:rFonts w:hint="eastAsia" w:ascii="楷体" w:hAnsi="楷体" w:eastAsia="楷体" w:cs="楷体"/>
        </w:rPr>
      </w:pPr>
    </w:p>
    <w:p>
      <w:pPr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---</w:t>
      </w:r>
    </w:p>
    <w:p>
      <w:pPr>
        <w:rPr>
          <w:rFonts w:hint="eastAsia" w:ascii="楷体" w:hAnsi="楷体" w:eastAsia="楷体" w:cs="楷体"/>
        </w:rPr>
      </w:pPr>
    </w:p>
    <w:p>
      <w:pPr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三、 实用性与便捷性（权重：</w:t>
      </w:r>
      <w:r>
        <w:rPr>
          <w:rFonts w:hint="eastAsia" w:ascii="楷体" w:hAnsi="楷体" w:eastAsia="楷体" w:cs="楷体"/>
          <w:lang w:val="en-US" w:eastAsia="zh-CN"/>
        </w:rPr>
        <w:t>1</w:t>
      </w:r>
      <w:r>
        <w:rPr>
          <w:rFonts w:hint="eastAsia" w:ascii="楷体" w:hAnsi="楷体" w:eastAsia="楷体" w:cs="楷体"/>
        </w:rPr>
        <w:t>5分）</w:t>
      </w:r>
    </w:p>
    <w:p>
      <w:pPr>
        <w:ind w:firstLine="420" w:firstLineChars="200"/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考察点：用户体验、操作流畅度、安装部署难度。</w:t>
      </w:r>
    </w:p>
    <w:p>
      <w:pPr>
        <w:rPr>
          <w:rFonts w:hint="eastAsia" w:ascii="楷体" w:hAnsi="楷体" w:eastAsia="楷体" w:cs="楷体"/>
        </w:rPr>
      </w:pPr>
    </w:p>
    <w:tbl>
      <w:tblPr>
        <w:tblStyle w:val="2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shd w:val="clear" w:color="auto" w:fill="FFFFFF"/>
        <w:tblLayout w:type="autofit"/>
        <w:tblCellMar>
          <w:top w:w="15" w:type="dxa"/>
          <w:left w:w="15" w:type="dxa"/>
          <w:bottom w:w="15" w:type="dxa"/>
          <w:right w:w="15" w:type="dxa"/>
        </w:tblCellMar>
      </w:tblPr>
      <w:tblGrid>
        <w:gridCol w:w="980"/>
        <w:gridCol w:w="708"/>
        <w:gridCol w:w="3028"/>
        <w:gridCol w:w="1561"/>
        <w:gridCol w:w="1561"/>
        <w:gridCol w:w="708"/>
      </w:tblGrid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Header/>
        </w:trPr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评分项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分值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优秀 (100%)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合格 (60%)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待改进 (20%)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得分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shd w:val="clear" w:color="auto" w:fill="FFFFFF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3.1 操作交互体验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6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界面简洁直观，</w:t>
            </w: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三步以内</w:t>
            </w: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可完成主要任务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界面布局合理，但需5步以上操作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界面杂乱，依赖命令行输入复杂参数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0" w:type="dxa"/>
            </w:tcMar>
            <w:vAlign w:val="center"/>
          </w:tcPr>
          <w:p>
            <w:pP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shd w:val="clear" w:color="auto" w:fill="FFFFFF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3.2 数据导入/导出便捷性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5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支持拖拽上传、批量导入，导出格式多样(.xlsx, .csv, .png)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仅支持特定路径导入，导出格式单一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需要手动修改配置文件才能导入数据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0" w:type="dxa"/>
            </w:tcMar>
            <w:vAlign w:val="center"/>
          </w:tcPr>
          <w:p>
            <w:pP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shd w:val="clear" w:color="auto" w:fill="FFFFFF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3.3 环境部署与依赖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4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绿色免安装</w:t>
            </w: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或一键式安装脚本，无环境变量冲突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需手动安装3个以内依赖库/软件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依赖库超过5个，且版本冲突严重</w:t>
            </w:r>
          </w:p>
        </w:tc>
        <w:tc>
          <w:tcPr>
            <w:tcW w:w="0" w:type="auto"/>
            <w:shd w:val="clear" w:color="auto" w:fill="FFFFFF"/>
            <w:vAlign w:val="center"/>
          </w:tcPr>
          <w:p>
            <w:pP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</w:p>
        </w:tc>
      </w:tr>
    </w:tbl>
    <w:p>
      <w:pPr>
        <w:rPr>
          <w:rFonts w:hint="eastAsia" w:ascii="楷体" w:hAnsi="楷体" w:eastAsia="楷体" w:cs="楷体"/>
        </w:rPr>
      </w:pPr>
    </w:p>
    <w:p>
      <w:pPr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---</w:t>
      </w:r>
    </w:p>
    <w:p>
      <w:pPr>
        <w:rPr>
          <w:rFonts w:hint="eastAsia" w:ascii="楷体" w:hAnsi="楷体" w:eastAsia="楷体" w:cs="楷体"/>
        </w:rPr>
      </w:pPr>
    </w:p>
    <w:p>
      <w:pPr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四、 可拓展性与架构设计（权重：15分）</w:t>
      </w:r>
    </w:p>
    <w:p>
      <w:pPr>
        <w:ind w:firstLine="420" w:firstLineChars="200"/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考察点：代码耦合度、接口规范性、二次开发难度。</w:t>
      </w:r>
    </w:p>
    <w:p>
      <w:pPr>
        <w:rPr>
          <w:rFonts w:hint="eastAsia" w:ascii="楷体" w:hAnsi="楷体" w:eastAsia="楷体" w:cs="楷体"/>
        </w:rPr>
      </w:pPr>
    </w:p>
    <w:tbl>
      <w:tblPr>
        <w:tblStyle w:val="2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shd w:val="clear" w:color="auto" w:fill="FFFFFF"/>
        <w:tblLayout w:type="autofit"/>
        <w:tblCellMar>
          <w:top w:w="15" w:type="dxa"/>
          <w:left w:w="15" w:type="dxa"/>
          <w:bottom w:w="15" w:type="dxa"/>
          <w:right w:w="15" w:type="dxa"/>
        </w:tblCellMar>
      </w:tblPr>
      <w:tblGrid>
        <w:gridCol w:w="976"/>
        <w:gridCol w:w="716"/>
        <w:gridCol w:w="2588"/>
        <w:gridCol w:w="1965"/>
        <w:gridCol w:w="1585"/>
        <w:gridCol w:w="716"/>
      </w:tblGrid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Header/>
        </w:trPr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评分项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分值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优秀 (100%)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合格 (60%)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待改进 (20%)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得分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shd w:val="clear" w:color="auto" w:fill="FFFFFF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4.1 模块化与解耦程度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6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采用工厂/策略模式，更换算法无需修改主程序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核心算法封装在独立类中，但UI与逻辑轻度耦合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所有代码杂糅在同一个文件/类中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0" w:type="dxa"/>
            </w:tcMar>
            <w:vAlign w:val="center"/>
          </w:tcPr>
          <w:p>
            <w:pP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shd w:val="clear" w:color="auto" w:fill="FFFFFF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4.2 标准化API接口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5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提供清晰的</w:t>
            </w: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RESTful API</w:t>
            </w: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或</w:t>
            </w: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SDK</w:t>
            </w: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，参数说明详细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有API但文档不全，或仅限内部调用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无API，只能通过界面操作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0" w:type="dxa"/>
            </w:tcMar>
            <w:vAlign w:val="center"/>
          </w:tcPr>
          <w:p>
            <w:pP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shd w:val="clear" w:color="auto" w:fill="FFFFFF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4.3 配置文件与参数化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4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所有核心参数通过外部</w:t>
            </w:r>
            <w:r>
              <w:rPr>
                <w:rStyle w:val="4"/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.json</w:t>
            </w: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/</w:t>
            </w:r>
            <w:r>
              <w:rPr>
                <w:rStyle w:val="4"/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.yaml</w:t>
            </w: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配置，无需改源码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部分硬编码，需简单修改源码才能调参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参数完全写死，无法调整</w:t>
            </w:r>
          </w:p>
        </w:tc>
        <w:tc>
          <w:tcPr>
            <w:tcW w:w="0" w:type="auto"/>
            <w:shd w:val="clear" w:color="auto" w:fill="FFFFFF"/>
            <w:vAlign w:val="center"/>
          </w:tcPr>
          <w:p>
            <w:pP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</w:p>
        </w:tc>
      </w:tr>
    </w:tbl>
    <w:p>
      <w:pPr>
        <w:rPr>
          <w:rFonts w:hint="eastAsia" w:ascii="楷体" w:hAnsi="楷体" w:eastAsia="楷体" w:cs="楷体"/>
        </w:rPr>
      </w:pPr>
    </w:p>
    <w:p>
      <w:pPr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总分汇总与评级建议</w:t>
      </w:r>
    </w:p>
    <w:tbl>
      <w:tblPr>
        <w:tblStyle w:val="2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shd w:val="clear" w:color="auto" w:fill="FFFFFF"/>
        <w:tblLayout w:type="autofit"/>
        <w:tblCellMar>
          <w:top w:w="15" w:type="dxa"/>
          <w:left w:w="15" w:type="dxa"/>
          <w:bottom w:w="15" w:type="dxa"/>
          <w:right w:w="15" w:type="dxa"/>
        </w:tblCellMar>
      </w:tblPr>
      <w:tblGrid>
        <w:gridCol w:w="1145"/>
        <w:gridCol w:w="1203"/>
        <w:gridCol w:w="4380"/>
      </w:tblGrid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Header/>
        </w:trPr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等级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分数区间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评价标准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shd w:val="clear" w:color="auto" w:fill="FFFFFF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卓越 (A)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90 - 100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具备商业级软件的雏形，可直接应用于生产环境。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shd w:val="clear" w:color="auto" w:fill="FFFFFF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优秀 (B)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75 - 89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功能完备，性能良好，稍加优化即可落地。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shd w:val="clear" w:color="auto" w:fill="FFFFFF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合格 (C)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60 - 74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勉强达到设计要求，但稳定性或用户体验有待提高。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shd w:val="clear" w:color="auto" w:fill="FFFFFF"/>
            <w:tcMar>
              <w:top w:w="150" w:type="dxa"/>
              <w:left w:w="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b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待改进 (D)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24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&lt; 60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240" w:type="dxa"/>
              <w:bottom w:w="150" w:type="dxa"/>
              <w:right w:w="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sz w:val="18"/>
                <w:szCs w:val="18"/>
              </w:rPr>
            </w:pPr>
            <w:r>
              <w:rPr>
                <w:rFonts w:hint="eastAsia" w:ascii="楷体" w:hAnsi="楷体" w:eastAsia="楷体" w:cs="楷体"/>
                <w:i w:val="0"/>
                <w:caps w:val="0"/>
                <w:color w:val="0F1115"/>
                <w:spacing w:val="0"/>
                <w:kern w:val="0"/>
                <w:sz w:val="18"/>
                <w:szCs w:val="18"/>
                <w:lang w:val="en-US" w:eastAsia="zh-CN" w:bidi="ar"/>
              </w:rPr>
              <w:t>未达到竞赛基本要求，需重构核心逻辑。</w:t>
            </w:r>
          </w:p>
        </w:tc>
      </w:tr>
    </w:tbl>
    <w:p>
      <w:pPr>
        <w:rPr>
          <w:rFonts w:hint="eastAsia" w:ascii="楷体" w:hAnsi="楷体" w:eastAsia="楷体" w:cs="楷体"/>
        </w:rPr>
      </w:pPr>
    </w:p>
    <w:p>
      <w:pPr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---</w:t>
      </w:r>
    </w:p>
    <w:p>
      <w:pPr>
        <w:rPr>
          <w:rFonts w:hint="eastAsia" w:ascii="楷体" w:hAnsi="楷体" w:eastAsia="楷体" w:cs="楷体"/>
        </w:rPr>
      </w:pPr>
    </w:p>
    <w:p>
      <w:pPr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给评委/组织方的建议（针对您的四项要求）：</w:t>
      </w:r>
    </w:p>
    <w:p>
      <w:pPr>
        <w:rPr>
          <w:rFonts w:hint="eastAsia" w:ascii="楷体" w:hAnsi="楷体" w:eastAsia="楷体" w:cs="楷体"/>
        </w:rPr>
      </w:pPr>
    </w:p>
    <w:p>
      <w:pPr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1.  关于“</w:t>
      </w:r>
      <w:bookmarkStart w:id="1" w:name="OLE_LINK1"/>
      <w:r>
        <w:rPr>
          <w:rFonts w:hint="eastAsia" w:ascii="楷体" w:hAnsi="楷体" w:eastAsia="楷体" w:cs="楷体"/>
        </w:rPr>
        <w:t>完成时间/速度</w:t>
      </w:r>
      <w:bookmarkEnd w:id="1"/>
      <w:r>
        <w:rPr>
          <w:rFonts w:hint="eastAsia" w:ascii="楷体" w:hAnsi="楷体" w:eastAsia="楷体" w:cs="楷体"/>
        </w:rPr>
        <w:t>”：建议提前准备一份标准化的测试数据集（规模不宜太小，以模拟真实工业场景为准），并在竞赛现场统一计时跑分，避免主观臆断。</w:t>
      </w:r>
    </w:p>
    <w:p>
      <w:pPr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2.  关于“</w:t>
      </w:r>
      <w:bookmarkStart w:id="2" w:name="OLE_LINK2"/>
      <w:r>
        <w:rPr>
          <w:rFonts w:hint="eastAsia" w:ascii="楷体" w:hAnsi="楷体" w:eastAsia="楷体" w:cs="楷体"/>
        </w:rPr>
        <w:t>满足设计要求</w:t>
      </w:r>
      <w:bookmarkEnd w:id="2"/>
      <w:r>
        <w:rPr>
          <w:rFonts w:hint="eastAsia" w:ascii="楷体" w:hAnsi="楷体" w:eastAsia="楷体" w:cs="楷体"/>
        </w:rPr>
        <w:t>”：除了看最终结果，建议随机抽取 3组非常规边界数据 现场让软件运行，看是否会出现数组越界或死循环，这才是检验“设计鲁棒性”的关键。</w:t>
      </w:r>
    </w:p>
    <w:p>
      <w:pPr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3.  关于“</w:t>
      </w:r>
      <w:bookmarkStart w:id="3" w:name="OLE_LINK4"/>
      <w:r>
        <w:rPr>
          <w:rFonts w:hint="eastAsia" w:ascii="楷体" w:hAnsi="楷体" w:eastAsia="楷体" w:cs="楷体"/>
        </w:rPr>
        <w:t>实用便捷</w:t>
      </w:r>
      <w:bookmarkEnd w:id="3"/>
      <w:r>
        <w:rPr>
          <w:rFonts w:hint="eastAsia" w:ascii="楷体" w:hAnsi="楷体" w:eastAsia="楷体" w:cs="楷体"/>
        </w:rPr>
        <w:t>”：如果该软件涉及CAD或仿真，务必检验 撤销(Undo)/重做(Redo)功能，这是工程软件易用性的“金标准”。</w:t>
      </w:r>
    </w:p>
    <w:p>
      <w:pPr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4. 关于“</w:t>
      </w:r>
      <w:bookmarkStart w:id="4" w:name="OLE_LINK3"/>
      <w:r>
        <w:rPr>
          <w:rFonts w:hint="eastAsia" w:ascii="楷体" w:hAnsi="楷体" w:eastAsia="楷体" w:cs="楷体"/>
        </w:rPr>
        <w:t>可拓展性</w:t>
      </w:r>
      <w:bookmarkEnd w:id="4"/>
      <w:r>
        <w:rPr>
          <w:rFonts w:hint="eastAsia" w:ascii="楷体" w:hAnsi="楷体" w:eastAsia="楷体" w:cs="楷体"/>
        </w:rPr>
        <w:t>”：请参赛队伍提交 UML类图，重点看抽象接口（Interface）的设计，而非只看注释多不多。</w:t>
      </w:r>
    </w:p>
    <w:p>
      <w:pPr>
        <w:rPr>
          <w:rFonts w:hint="eastAsia" w:ascii="楷体" w:hAnsi="楷体" w:eastAsia="楷体" w:cs="楷体"/>
        </w:rPr>
      </w:pPr>
    </w:p>
    <w:bookmarkEnd w:id="5"/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楷体">
    <w:panose1 w:val="02010609060101010101"/>
    <w:charset w:val="86"/>
    <w:family w:val="auto"/>
    <w:pitch w:val="default"/>
    <w:sig w:usb0="800002BF" w:usb1="38CF7CFA" w:usb2="00000016" w:usb3="00000000" w:csb0="0004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C17472E"/>
    <w:rsid w:val="3B321244"/>
    <w:rsid w:val="47031EB7"/>
    <w:rsid w:val="6C1747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qFormat="1"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4">
    <w:name w:val="HTML Code"/>
    <w:basedOn w:val="3"/>
    <w:qFormat/>
    <w:uiPriority w:val="0"/>
    <w:rPr>
      <w:rFonts w:ascii="Courier New" w:hAnsi="Courier New"/>
      <w:sz w:val="20"/>
    </w:r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Company>省水利厅</Company>
  <Pages>1</Pages>
  <Words>0</Words>
  <Characters>0</Characters>
  <Lines>0</Lines>
  <Paragraphs>0</Paragraphs>
  <TotalTime>3</TotalTime>
  <ScaleCrop>false</ScaleCrop>
  <LinksUpToDate>false</LinksUpToDate>
  <CharactersWithSpaces>0</CharactersWithSpaces>
  <Application>WPS Office_11.8.2.9022_F1E327BC-269C-435d-A152-05C5408002CA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2026-08-15T02:30:00Z</dcterms:created>
  <dc:creator>Linmh</dc:creator>
  <cp:lastModifiedBy>Linmh</cp:lastModifiedBy>
  <dcterms:modified xsi:type="dcterms:W3CDTF">2026-08-30T23:58:43Z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2052-11.8.2.9022</vt:lpwstr>
  </property>
</Properties>
</file>