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lang w:val="en-US" w:eastAsia="zh-CN"/>
        </w:rPr>
        <w:t>招标文件与</w:t>
      </w:r>
      <w:bookmarkStart w:id="0" w:name="_GoBack"/>
      <w:bookmarkEnd w:id="0"/>
      <w:r>
        <w:rPr>
          <w:rFonts w:hint="eastAsia" w:ascii="楷体" w:hAnsi="楷体" w:eastAsia="楷体" w:cs="楷体"/>
          <w:i w:val="0"/>
          <w:caps w:val="0"/>
          <w:spacing w:val="0"/>
          <w:shd w:val="clear" w:fill="FFFFFF"/>
        </w:rPr>
        <w:t>招标文件一致性审查报告</w:t>
      </w:r>
    </w:p>
    <w:p>
      <w:pPr>
        <w:pStyle w:val="3"/>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审查说明</w:t>
      </w: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r>
        <w:rPr>
          <w:rFonts w:hint="eastAsia" w:ascii="楷体" w:hAnsi="楷体" w:eastAsia="楷体" w:cs="楷体"/>
          <w:b/>
          <w:i w:val="0"/>
          <w:caps w:val="0"/>
          <w:spacing w:val="0"/>
          <w:shd w:val="clear" w:fill="FFFFFF"/>
        </w:rPr>
        <w:t>审查依据</w:t>
      </w:r>
      <w:r>
        <w:rPr>
          <w:rFonts w:hint="eastAsia" w:ascii="楷体" w:hAnsi="楷体" w:eastAsia="楷体" w:cs="楷体"/>
          <w:i w:val="0"/>
          <w:caps w:val="0"/>
          <w:spacing w:val="0"/>
          <w:shd w:val="clear" w:fill="FFFFFF"/>
        </w:rPr>
        <w:t>：《招标文件大纲》（以下简称"大纲"）</w:t>
      </w: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r>
        <w:rPr>
          <w:rFonts w:hint="eastAsia" w:ascii="楷体" w:hAnsi="楷体" w:eastAsia="楷体" w:cs="楷体"/>
          <w:b/>
          <w:i w:val="0"/>
          <w:caps w:val="0"/>
          <w:spacing w:val="0"/>
          <w:shd w:val="clear" w:fill="FFFFFF"/>
        </w:rPr>
        <w:t>审查对象</w:t>
      </w:r>
      <w:r>
        <w:rPr>
          <w:rFonts w:hint="eastAsia" w:ascii="楷体" w:hAnsi="楷体" w:eastAsia="楷体" w:cs="楷体"/>
          <w:i w:val="0"/>
          <w:caps w:val="0"/>
          <w:spacing w:val="0"/>
          <w:shd w:val="clear" w:fill="FFFFFF"/>
        </w:rPr>
        <w:t>：《网上竞价系统采购招标文件》（以下简称"招标文件"）</w:t>
      </w: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r>
        <w:rPr>
          <w:rFonts w:hint="eastAsia" w:ascii="楷体" w:hAnsi="楷体" w:eastAsia="楷体" w:cs="楷体"/>
          <w:b/>
          <w:i w:val="0"/>
          <w:caps w:val="0"/>
          <w:spacing w:val="0"/>
          <w:shd w:val="clear" w:fill="FFFFFF"/>
        </w:rPr>
        <w:t>审查方法</w:t>
      </w:r>
      <w:r>
        <w:rPr>
          <w:rFonts w:hint="eastAsia" w:ascii="楷体" w:hAnsi="楷体" w:eastAsia="楷体" w:cs="楷体"/>
          <w:i w:val="0"/>
          <w:caps w:val="0"/>
          <w:spacing w:val="0"/>
          <w:shd w:val="clear" w:fill="FFFFFF"/>
        </w:rPr>
        <w:t>：逐条对照法</w:t>
      </w:r>
    </w:p>
    <w:p>
      <w:pPr>
        <w:pStyle w:val="5"/>
        <w:keepNext w:val="0"/>
        <w:keepLines w:val="0"/>
        <w:widowControl/>
        <w:suppressLineNumbers w:val="0"/>
        <w:spacing w:before="0" w:beforeAutospacing="0" w:after="0" w:afterAutospacing="0"/>
        <w:ind w:left="0" w:right="0"/>
        <w:rPr>
          <w:rFonts w:hint="eastAsia" w:ascii="楷体" w:hAnsi="楷体" w:eastAsia="楷体" w:cs="楷体"/>
          <w:i w:val="0"/>
          <w:caps w:val="0"/>
          <w:spacing w:val="0"/>
          <w:shd w:val="clear" w:fill="FFFFFF"/>
        </w:rPr>
      </w:pP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rPr>
        <w:t>审查范围</w:t>
      </w:r>
      <w:r>
        <w:rPr>
          <w:rFonts w:hint="eastAsia" w:ascii="楷体" w:hAnsi="楷体" w:eastAsia="楷体" w:cs="楷体"/>
          <w:i w:val="0"/>
          <w:caps w:val="0"/>
          <w:spacing w:val="0"/>
          <w:shd w:val="clear" w:fill="FFFFFF"/>
        </w:rPr>
        <w:t>：资格条件、实质性条款、技术方案、商务条件、评标办法、格式规范</w:t>
      </w:r>
    </w:p>
    <w:p>
      <w:pPr>
        <w:keepNext w:val="0"/>
        <w:keepLines w:val="0"/>
        <w:widowControl/>
        <w:numPr>
          <w:ilvl w:val="0"/>
          <w:numId w:val="1"/>
        </w:numPr>
        <w:suppressLineNumbers w:val="0"/>
        <w:spacing w:before="90" w:beforeAutospacing="0" w:after="0" w:afterAutospacing="1"/>
        <w:ind w:left="0" w:hanging="360"/>
        <w:rPr>
          <w:rFonts w:hint="eastAsia" w:ascii="楷体" w:hAnsi="楷体" w:eastAsia="楷体" w:cs="楷体"/>
        </w:rPr>
      </w:pPr>
    </w:p>
    <w:p>
      <w:pPr>
        <w:pStyle w:val="3"/>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一、逐项审查对照表</w:t>
      </w:r>
    </w:p>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（一）资格条件审查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9"/>
        <w:gridCol w:w="1029"/>
        <w:gridCol w:w="2809"/>
        <w:gridCol w:w="2183"/>
        <w:gridCol w:w="876"/>
        <w:gridCol w:w="10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营业执照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法人或者其他组织的营业执照等证明文件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第六章附件1（实为资格审查内容）列明需提供营业执照（招标文件第6章）</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财务状况</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上一年度的财务状况报告（成立不满一年无需提供）</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纳税社保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提交投标截止时间前一年内至少一个月依法缴纳税收及缴纳社会保障资金的证明材料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设备和专业技术能力</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具备履行合同所必需的设备和专业技术能力的书面声明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附件5提供了书面声明格式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无重大违法记录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参加政府采购活动前3年内在经营活动中没有重大违法记录的书面声明</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附件6提供了书面声明格式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信用记录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在"信用中国"网站查询，无被列入失信被执行人、重大税收违法案件当事人名单、政府采购严重失信行为记录名单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政府采购政策</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落实政府采购政策需满足的资格要求：无</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不接受联合体投标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特定资格要求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同大纲要求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（二）实质性条款审查（★条款）</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877"/>
        <w:gridCol w:w="2476"/>
        <w:gridCol w:w="2142"/>
        <w:gridCol w:w="811"/>
        <w:gridCol w:w="1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交货期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第一章：合同签订后90日内部署完成并交付使用；第三章：合同签订后90个日历日内完成部署并交付使用；第四章：同大纲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无偏差。注：第三章表述略有不同（"日历日"vs"日"），但实质含义一致。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★初始服务期1年，初始服务期结束后经采购人考核合格，可续签下一年度服务协议</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第四章商务要求中列为★要求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质保期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★服务期内免费维护升级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第四章商务要求中列为★要求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使用手册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★投入运行前10日内，向招标人及相关管理提供使用手册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第四章商务要求中列为★要求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现场培训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★投入运行前10日前，完成招标人及相关管理人员现场培训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第四章商务要求中列为★要求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报价及付款方式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★按费率报价，由参与学校项目竞价的成交供应商支付服务费用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第四章商务要求中列为★要求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系统登录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★采购人可通过学校统一身份认证登录；支持供应商、评审专家等多个不同参与主体注册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★支持采购人在线填报采购申请，填写采购需求及上传相关附件材料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采购申请审核</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★1.支持采购管理部门对采购申请及相应附件材料在线审核；2.支持采购人按学校内控要求对审核岗自行配置</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供应商报价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★1.支持供应商按要求在线报价；2.报价截止前可修改，截止后不得修改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采购人选标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★1.竞价截止后按报价由低到高排序；2.可查看供应商报价材料；3.按排序选择成交供应商；4.选非最低价需填写原因；5.不满足三家可延长/废标/转用户选择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成交公告</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★1.系统具备自动生成成交公告功能；2.具备自动推送到门户网站相应栏目功能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合同下载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★成交结果公告发布后，系统自动生成电子合同，采购人可直接下载采购合同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内控管理系统接口</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★支持统一登录、统一申请、合同签订、信息统计等功能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第四章功能表中列为★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（三）技术方案审查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840"/>
        <w:gridCol w:w="2697"/>
        <w:gridCol w:w="2036"/>
        <w:gridCol w:w="785"/>
        <w:gridCol w:w="14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合法性要求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投标产品应符合《中华人民共和国政府采购法》《中华人民共和国政府采购法实施条例》《电子招标投标办法》及相关法律法规</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第四章总体要求第1条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知识产权要求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投标产品不得侵犯其他单位或个人的知识产权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第四章总体要求第2条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标准化要求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投标产品应属于标准化、成熟化产品，满足本项目要求的核心功能（标注"★"的功能）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第四章总体要求第3条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独立部署要求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投标产品应按招标人信息化管理部门要求在指定的网络环境中独立部署。不得收取招标人任何费用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第四章总体要求第4条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安全性要求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投标产品的安全性、稳定性和可靠性应符合国家和招标人的有关规定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第四章总体要求第5条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浏览器兼容性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投标产品应兼容主流浏览器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第四章总体要求第6条：具体列举了Chrome、Firefox、Edge、360极速模式等</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大纲为概括性要求，招标文件在第四章第6条中予以具体化，属合理细化。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架构设计要求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产品应采用框架及模块化结构设计，具有高度弹性及扩展特性，后期能实现与招标人相关内控管理系统免费对接（包括但不限于OA、采购管理系统、财务系统、资产管理系统、数据中台等），实现互联互通、数据共享</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第四章总体要求第7条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可靠性要求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在高负荷状态下能不间断、可靠、稳定运行。容量达到规定标准或超出规定的极限时，系统不得因崩溃、异常退出等原因而导致数据错误或丢失</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第四章总体要求第8条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容错性要求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提供数据有效性检验功能、数据一致性校验机制，能识别和屏蔽可能引起系统崩溃、异常退出的用户输入或用户误操作</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第四章总体要求第9条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易用性要求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系统设计人性化、易于理解、操作简便</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第四章总体要求第10条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安全审计协助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投标人应配合招标人或第三方机构提供安全审计协助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第四章总体要求第11条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功能完整性</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系统应实现采购申请、采购审批、信息发布、网上选标、合同签审等全流程的过程管理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第四章系统功能概述部分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模块数量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系统功能及技术要求共22项未标注"★"的技术要求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第五章评标标准：满足全部22项技术要求得22分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供应商管理第3条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供应商评价：支持采购人对供应商进行评价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第四章功能表"供应商管理"功能中第3条（大纲中编号为"4."）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大纲编号为"4."存在笔误（缺第3条），招标文件已修正为"3."，属合理修正。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辅助功能-价格参考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采购人在选标时，系统可提供同类产品历史成交价等价格信息作为参考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第四章辅助功能表"价格参考"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辅助功能-诚信评价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可对竞价项目成交供应商进行满意度评价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第四章辅助功能表"诚信评价"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辅助功能-异常预警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1.对采购人非最低价成交等异常交易行为预警；2.对供应商的整体信誉等级评价预警；3.报价与历史成交参考价或市场参考价的参照预警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第四章辅助功能表"异常预警"</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辅助功能-交易记录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可保存交易时点的价格及商品页面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第四章辅助功能表"交易记录"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辅助功能-统计分析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1.可按成交金额、节约率、交易年度等统计分析；2.可按申购单、申购项目等维度统计查询；3.支持上述报表导出生成Excel或PDF文件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第四章辅助功能表"统计分析"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验收标准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系统运行无故障，按采购需求逐项验收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第四章商务要求"验收标准"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服务标准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5项服务标准（在线答疑、技术指导、免费培训、7×24小时技术支持、需求变更）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第四章商务要求"服务标准"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演示要求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腾讯会议投屏演示，7项演示内容，每项2分，共14分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第五章评标标准及第四章演示要求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核心产品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核心产品：网上竞价系统软件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第四章核心产品表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进口产品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不接受进口产品投标</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第四章进口产品投标表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（四）商务条件审查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1116"/>
        <w:gridCol w:w="2226"/>
        <w:gridCol w:w="2566"/>
        <w:gridCol w:w="880"/>
        <w:gridCol w:w="10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预算金额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50.00万元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第一章：50.00万元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最高限价</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50.00万元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第一章：50.00万元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合同履行期限</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合同签订后90日内部署完成并交付使用</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投标有效期</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六十（60）天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第二章第16.1条：六十（60）天</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投标保证金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不收取投标保证金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第一章第3条：本次招标不收取投标保证金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履约保证金金额</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20000元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第三章第6.1条：20,000.00元</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履约保证金形式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银行转账或银行、担保机构出具的履约保函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第四章商务要求：银行转账或银行、担保机构出具的履约保函</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履约保证金缴纳时间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签订合同之前缴纳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第四章商务要求：签订合同之前缴纳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履约保证金退还时间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履约完成后6个月之内无质量服务问题无息退还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第三章第6.2.2条：履约完成后6个月之内无质量服务问题无息退还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履约保证金不予退还情形</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中标人不与招标人订立合同，或者不履行与招标人订立的合同内容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第三章第6.2.4条：同大纲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预付款比例</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合同金额的30%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第三章第8.1.1条：合同金额的30%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预付款支付时间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合同签订后15日内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第三章第8.1.1条：合同签订后15日内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尾款支付比例</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合同金额的70%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第三章第8.1.2条：合同金额的70%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尾款支付时间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产品验收通过，采购人收到发票后15日内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第三章第8.1.2条：同大纲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转包/分包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不得转包，不得分包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第三章第7.1、7.2条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违约责任-逾期交付</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按逾期交货总额每日千分之六支付违约金</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第三章第13.3条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违约责任-解除合同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逾期超过约定日期10个工作日，甲方可解除合同</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第三章第13.3条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争议解决</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甲方住所地人民法院管辖</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第三章第15.1条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追加采购</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不超过原合同金额10%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第二章第32.1条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（五）评标办法审查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0"/>
        <w:gridCol w:w="1060"/>
        <w:gridCol w:w="2423"/>
        <w:gridCol w:w="1258"/>
        <w:gridCol w:w="830"/>
        <w:gridCol w:w="22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评标方法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综合评分法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第五章：采用综合评分法</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中标候选人数量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第五章：选取1名中标候选人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中标候选人选取原则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满足招标文件全部实质性要求，且按照评审因素的量化指标评审得分最高的投标人为中标候选人</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价格部分分值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价格评议标准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满足招标文件要求且投标价格最低的投标报价为评标基准价，其价格分为满分。其他投标人的价格分统一按照公式计算</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第五章价格部分评分标准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技术部分总分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第五章：70分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技术响应评分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未标注"★"号的技术参数要求，满足全部22项技术要求，得22分，不满足不得分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技术响应证明材料要求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对重要指标，投标人应完整真实地填写技术偏离表，并提供承诺书或系统截图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产品演示分值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产品演示内容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7项内容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第五章：7项内容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产品演示评分标准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每项完全符合得2分，部分满足得1分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总体实施方案分值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总体实施方案内容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系统架构、核心功能、关键技术、部署策略、风险防控五项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总体实施方案评审标准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完整性、针对性，每项满足1项评审标准得1分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培训方案分值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第五章：6分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培训方案内容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项目培训计划、培训目标、项目培训评估机制三项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响应时间分值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第五章：3分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响应时间评分细则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7×24小时技术支持得1.5分；故障响应不超过2小时得1.5分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售后服务分值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售后服务内容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整体售后服务计划、售后服务程序、服务内容及响应及时性、定期提供平台使用培训、数据维护及功能优化服务五项</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其他平台辅助功能分值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第五章：5分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商务部分总分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第五章：20分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类似业绩分值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类似业绩证明材料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提供合同关键页复印件、对应业绩系统的截图及链接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软件著作权分值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第五章：3分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软件著作权证明材料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有效软件著作权证书复印件及中国版权登记查询服务平台查询截图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项目团队分值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5.28</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项目团队证明材料</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项目团队一览表、身份证复印件及劳动合同复印件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5.29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企业认证</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删除此项（大纲中已划去）</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第五章：本项目不适用，0分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大纲中"企业认证"已被划去（标注为~~企业认证~~），招标文件将其明确为"本项目不适用，0分"，处理方式合理。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价格扣除-小微企业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10%价格扣除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价格扣除-残疾人福利单位</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10%价格扣除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价格扣除-监狱企业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10%价格扣除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价格扣除-联合体/分包</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小微企业合同份额占30%以上，给予4%价格扣除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价格扣除-联合体均为小微企业</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10%价格扣除</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信用评价扣分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三星扣2分，二星扣3分，一星扣4分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第五章：同大纲</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5.36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总分值</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第五章：100分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（六）格式规范审查</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4"/>
        <w:gridCol w:w="1056"/>
        <w:gridCol w:w="3022"/>
        <w:gridCol w:w="1823"/>
        <w:gridCol w:w="914"/>
        <w:gridCol w:w="11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大纲/数据文件要求</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招标文件对应内容</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一致性判断</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偏差说明及修改建议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6.1</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章节结构</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六章结构：投标邀请、投标人须知、合同条款及格式、采购需求、评标方法与评标标准、投标文件格式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六章结构一致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6.2</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合同章节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第三章：合同条款及格式（含十六项条款）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第三章：合同条款及格式（含十六项条款）</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6.3</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采购需求章节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第四章：采购需求（含技术规格与商务要求）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第四章：采购需求（含技术规格与商务要求）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评标办法章节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第五章：评标方法与评标标准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第五章：评标方法与评标标准</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6.5</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投标文件格式章节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第六章：投标文件格式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第六章：投标文件格式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附件格式</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13个附件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13个附件</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6.7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质疑函范本</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含质疑供应商基本信息、质疑项目基本情况、质疑事项具体内容、质疑请求</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附件13：质疑函范本内容完整</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一致</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无偏差</w:t>
            </w:r>
          </w:p>
        </w:tc>
      </w:tr>
    </w:tbl>
    <w:p>
      <w:pPr>
        <w:pStyle w:val="3"/>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二、一致性检验结论汇总表</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2"/>
        <w:gridCol w:w="1644"/>
        <w:gridCol w:w="1288"/>
        <w:gridCol w:w="1078"/>
        <w:gridCol w:w="1256"/>
        <w:gridCol w:w="10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审查类别</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审查条目总数</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完全一致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不一致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部分一致</w:t>
            </w:r>
          </w:p>
        </w:tc>
        <w:tc>
          <w:tcPr>
            <w:tcW w:w="0" w:type="auto"/>
            <w:tcBorders>
              <w:top w:val="nil"/>
            </w:tcBorders>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b/>
              </w:rPr>
            </w:pPr>
            <w:r>
              <w:rPr>
                <w:rFonts w:hint="eastAsia" w:ascii="楷体" w:hAnsi="楷体" w:eastAsia="楷体" w:cs="楷体"/>
                <w:b/>
                <w:kern w:val="0"/>
                <w:sz w:val="24"/>
                <w:szCs w:val="24"/>
                <w:bdr w:val="none" w:color="auto" w:sz="0" w:space="0"/>
                <w:lang w:val="en-US" w:eastAsia="zh-CN" w:bidi="ar"/>
              </w:rPr>
              <w:t>一致率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资格条件审查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实质性条款审查（★）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技术方案审查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24</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商务条件审查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评标办法审查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36</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格式规范审查</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7</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kern w:val="0"/>
                <w:sz w:val="24"/>
                <w:szCs w:val="24"/>
                <w:bdr w:val="none" w:color="auto" w:sz="0" w:space="0"/>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合 计</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109</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0</w:t>
            </w:r>
          </w:p>
        </w:tc>
        <w:tc>
          <w:tcPr>
            <w:tcW w:w="0" w:type="auto"/>
            <w:shd w:val="clear"/>
            <w:tcMar>
              <w:top w:w="150" w:type="dxa"/>
              <w:left w:w="240" w:type="dxa"/>
              <w:bottom w:w="150" w:type="dxa"/>
              <w:right w:w="24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0</w:t>
            </w:r>
          </w:p>
        </w:tc>
        <w:tc>
          <w:tcPr>
            <w:tcW w:w="0" w:type="auto"/>
            <w:shd w:val="clear"/>
            <w:tcMar>
              <w:top w:w="150" w:type="dxa"/>
              <w:left w:w="240" w:type="dxa"/>
              <w:bottom w:w="150" w:type="dxa"/>
              <w:right w:w="0" w:type="dxa"/>
            </w:tcMar>
            <w:vAlign w:val="center"/>
          </w:tcPr>
          <w:p>
            <w:pPr>
              <w:keepNext w:val="0"/>
              <w:keepLines w:val="0"/>
              <w:widowControl/>
              <w:suppressLineNumbers w:val="0"/>
              <w:jc w:val="left"/>
              <w:rPr>
                <w:rFonts w:hint="eastAsia" w:ascii="楷体" w:hAnsi="楷体" w:eastAsia="楷体" w:cs="楷体"/>
              </w:rPr>
            </w:pPr>
            <w:r>
              <w:rPr>
                <w:rFonts w:hint="eastAsia" w:ascii="楷体" w:hAnsi="楷体" w:eastAsia="楷体" w:cs="楷体"/>
                <w:b/>
                <w:kern w:val="0"/>
                <w:sz w:val="24"/>
                <w:szCs w:val="24"/>
                <w:bdr w:val="none" w:color="auto" w:sz="0" w:space="0"/>
                <w:lang w:val="en-US" w:eastAsia="zh-CN" w:bidi="ar"/>
              </w:rPr>
              <w:t>100%</w:t>
            </w:r>
          </w:p>
        </w:tc>
      </w:tr>
    </w:tbl>
    <w:p>
      <w:pPr>
        <w:pStyle w:val="3"/>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三、总体评价</w:t>
      </w:r>
    </w:p>
    <w:p>
      <w:pPr>
        <w:pStyle w:val="5"/>
        <w:keepNext w:val="0"/>
        <w:keepLines w:val="0"/>
        <w:widowControl/>
        <w:suppressLineNumbers w:val="0"/>
        <w:spacing w:before="240" w:beforeAutospacing="0" w:after="240" w:afterAutospacing="0"/>
        <w:ind w:left="0" w:right="0" w:firstLine="480" w:firstLineChars="200"/>
        <w:rPr>
          <w:rFonts w:hint="eastAsia" w:ascii="楷体" w:hAnsi="楷体" w:eastAsia="楷体" w:cs="楷体"/>
        </w:rPr>
      </w:pPr>
      <w:r>
        <w:rPr>
          <w:rFonts w:hint="eastAsia" w:ascii="楷体" w:hAnsi="楷体" w:eastAsia="楷体" w:cs="楷体"/>
          <w:i w:val="0"/>
          <w:caps w:val="0"/>
          <w:spacing w:val="0"/>
          <w:shd w:val="clear" w:fill="FFFFFF"/>
        </w:rPr>
        <w:t>经逐条对照审查，本次提交的《网上竞价系统采购招标文件》与《招标文件大纲》</w:t>
      </w:r>
      <w:r>
        <w:rPr>
          <w:rFonts w:hint="eastAsia" w:ascii="楷体" w:hAnsi="楷体" w:eastAsia="楷体" w:cs="楷体"/>
          <w:b/>
          <w:i w:val="0"/>
          <w:caps w:val="0"/>
          <w:spacing w:val="0"/>
          <w:shd w:val="clear" w:fill="FFFFFF"/>
        </w:rPr>
        <w:t>完全一致</w:t>
      </w:r>
      <w:r>
        <w:rPr>
          <w:rFonts w:hint="eastAsia" w:ascii="楷体" w:hAnsi="楷体" w:eastAsia="楷体" w:cs="楷体"/>
          <w:i w:val="0"/>
          <w:caps w:val="0"/>
          <w:spacing w:val="0"/>
          <w:shd w:val="clear" w:fill="FFFFFF"/>
        </w:rPr>
        <w:t>，109项审查条目全部通过一致性检验，一致率达到100%。具体情况如下：</w:t>
      </w:r>
    </w:p>
    <w:p>
      <w:pPr>
        <w:pStyle w:val="4"/>
        <w:keepNext w:val="0"/>
        <w:keepLines w:val="0"/>
        <w:widowControl/>
        <w:suppressLineNumbers w:val="0"/>
        <w:spacing w:before="480" w:beforeAutospacing="0" w:after="240" w:afterAutospacing="0"/>
        <w:ind w:left="0" w:right="0"/>
        <w:rPr>
          <w:rFonts w:hint="eastAsia" w:ascii="楷体" w:hAnsi="楷体" w:eastAsia="楷体" w:cs="楷体"/>
          <w:lang w:val="en-US" w:eastAsia="zh-CN"/>
        </w:rPr>
      </w:pPr>
      <w:r>
        <w:rPr>
          <w:rFonts w:hint="eastAsia" w:ascii="楷体" w:hAnsi="楷体" w:eastAsia="楷体" w:cs="楷体"/>
          <w:i w:val="0"/>
          <w:caps w:val="0"/>
          <w:spacing w:val="0"/>
          <w:shd w:val="clear" w:fill="FFFFFF"/>
        </w:rPr>
        <w:t>（一）审查通过要点</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1、</w:t>
      </w:r>
      <w:r>
        <w:rPr>
          <w:rFonts w:hint="eastAsia" w:ascii="楷体" w:hAnsi="楷体" w:eastAsia="楷体" w:cs="楷体"/>
          <w:b/>
          <w:i w:val="0"/>
          <w:caps w:val="0"/>
          <w:spacing w:val="0"/>
          <w:shd w:val="clear" w:fill="FFFFFF"/>
        </w:rPr>
        <w:t>资格条件方面</w:t>
      </w:r>
      <w:r>
        <w:rPr>
          <w:rFonts w:hint="eastAsia" w:ascii="楷体" w:hAnsi="楷体" w:eastAsia="楷体" w:cs="楷体"/>
          <w:i w:val="0"/>
          <w:caps w:val="0"/>
          <w:spacing w:val="0"/>
          <w:shd w:val="clear" w:fill="FFFFFF"/>
        </w:rPr>
        <w:t>：招标文件完整覆盖了大纲中所有资格要求条款，未发现遗漏或额外增设条件的情形。</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2、</w:t>
      </w:r>
      <w:r>
        <w:rPr>
          <w:rFonts w:hint="eastAsia" w:ascii="楷体" w:hAnsi="楷体" w:eastAsia="楷体" w:cs="楷体"/>
          <w:b/>
          <w:i w:val="0"/>
          <w:caps w:val="0"/>
          <w:spacing w:val="0"/>
          <w:shd w:val="clear" w:fill="FFFFFF"/>
        </w:rPr>
        <w:t>实质性条款方面</w:t>
      </w:r>
      <w:r>
        <w:rPr>
          <w:rFonts w:hint="eastAsia" w:ascii="楷体" w:hAnsi="楷体" w:eastAsia="楷体" w:cs="楷体"/>
          <w:i w:val="0"/>
          <w:caps w:val="0"/>
          <w:spacing w:val="0"/>
          <w:shd w:val="clear" w:fill="FFFFFF"/>
        </w:rPr>
        <w:t>：大纲中全部14项标注"★"的实质性要求均在招标文件中准确体现，内容、数值、要求完全一致。</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3、</w:t>
      </w:r>
      <w:r>
        <w:rPr>
          <w:rFonts w:hint="eastAsia" w:ascii="楷体" w:hAnsi="楷体" w:eastAsia="楷体" w:cs="楷体"/>
          <w:b/>
          <w:i w:val="0"/>
          <w:caps w:val="0"/>
          <w:spacing w:val="0"/>
          <w:shd w:val="clear" w:fill="FFFFFF"/>
        </w:rPr>
        <w:t>技术方案方面</w:t>
      </w:r>
      <w:r>
        <w:rPr>
          <w:rFonts w:hint="eastAsia" w:ascii="楷体" w:hAnsi="楷体" w:eastAsia="楷体" w:cs="楷体"/>
          <w:i w:val="0"/>
          <w:caps w:val="0"/>
          <w:spacing w:val="0"/>
          <w:shd w:val="clear" w:fill="FFFFFF"/>
        </w:rPr>
        <w:t>：全部24项技术内容与大纲要求一致，其中浏览器兼容性等概括性要求在大纲基础上进行了合理细化补充（列举了Chrome、Firefox等具体浏览器类型），属于合规的细化完善；供应商管理功能编号（大纲第"4."条）存在的笔误已在招标文件中修正为"3."，属合理修正。</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4、</w:t>
      </w:r>
      <w:r>
        <w:rPr>
          <w:rFonts w:hint="eastAsia" w:ascii="楷体" w:hAnsi="楷体" w:eastAsia="楷体" w:cs="楷体"/>
          <w:b/>
          <w:i w:val="0"/>
          <w:caps w:val="0"/>
          <w:spacing w:val="0"/>
          <w:shd w:val="clear" w:fill="FFFFFF"/>
        </w:rPr>
        <w:t>商务条件方面</w:t>
      </w:r>
      <w:r>
        <w:rPr>
          <w:rFonts w:hint="eastAsia" w:ascii="楷体" w:hAnsi="楷体" w:eastAsia="楷体" w:cs="楷体"/>
          <w:i w:val="0"/>
          <w:caps w:val="0"/>
          <w:spacing w:val="0"/>
          <w:shd w:val="clear" w:fill="FFFFFF"/>
        </w:rPr>
        <w:t>：预算金额、最高限价（50.00万元）、履约保证金（20000元）、付款比例（30%/70%）、质保期等19项商务条款与大纲完全一致。</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5、</w:t>
      </w:r>
      <w:r>
        <w:rPr>
          <w:rFonts w:hint="eastAsia" w:ascii="楷体" w:hAnsi="楷体" w:eastAsia="楷体" w:cs="楷体"/>
          <w:b/>
          <w:i w:val="0"/>
          <w:caps w:val="0"/>
          <w:spacing w:val="0"/>
          <w:shd w:val="clear" w:fill="FFFFFF"/>
        </w:rPr>
        <w:t>评标办法方面</w:t>
      </w:r>
      <w:r>
        <w:rPr>
          <w:rFonts w:hint="eastAsia" w:ascii="楷体" w:hAnsi="楷体" w:eastAsia="楷体" w:cs="楷体"/>
          <w:i w:val="0"/>
          <w:caps w:val="0"/>
          <w:spacing w:val="0"/>
          <w:shd w:val="clear" w:fill="FFFFFF"/>
        </w:rPr>
        <w:t>：综合评分法总分100分，价格部分10分、技术部分70分、商务部分20分的分值分布与大纲一致；各评分因素（技术响应22分、产品演示14分、总体实施方案10分、培训方案6分、响应时间3分、售后服务10分、其他辅助功能5分、类似业绩10分、软件著作权3分、项目团队4分）的分值及评审标准均与大纲一致；被划去的"企业认证"项已妥善处理（标注为"本项目不适用，0分"）。</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6、</w:t>
      </w:r>
      <w:r>
        <w:rPr>
          <w:rFonts w:hint="eastAsia" w:ascii="楷体" w:hAnsi="楷体" w:eastAsia="楷体" w:cs="楷体"/>
          <w:b/>
          <w:i w:val="0"/>
          <w:caps w:val="0"/>
          <w:spacing w:val="0"/>
          <w:shd w:val="clear" w:fill="FFFFFF"/>
        </w:rPr>
        <w:t>格式规范方面</w:t>
      </w:r>
      <w:r>
        <w:rPr>
          <w:rFonts w:hint="eastAsia" w:ascii="楷体" w:hAnsi="楷体" w:eastAsia="楷体" w:cs="楷体"/>
          <w:i w:val="0"/>
          <w:caps w:val="0"/>
          <w:spacing w:val="0"/>
          <w:shd w:val="clear" w:fill="FFFFFF"/>
        </w:rPr>
        <w:t>：六章结构完整，13个附件齐全，编号规则符合模板要求。</w:t>
      </w:r>
    </w:p>
    <w:p>
      <w:pPr>
        <w:pStyle w:val="4"/>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（二）建议与提示</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1、</w:t>
      </w:r>
      <w:r>
        <w:rPr>
          <w:rFonts w:hint="eastAsia" w:ascii="楷体" w:hAnsi="楷体" w:eastAsia="楷体" w:cs="楷体"/>
          <w:b/>
          <w:i w:val="0"/>
          <w:caps w:val="0"/>
          <w:spacing w:val="0"/>
          <w:shd w:val="clear" w:fill="FFFFFF"/>
        </w:rPr>
        <w:t>表述统一性微调（非强制）</w:t>
      </w:r>
      <w:r>
        <w:rPr>
          <w:rFonts w:hint="eastAsia" w:ascii="楷体" w:hAnsi="楷体" w:eastAsia="楷体" w:cs="楷体"/>
          <w:i w:val="0"/>
          <w:caps w:val="0"/>
          <w:spacing w:val="0"/>
          <w:shd w:val="clear" w:fill="FFFFFF"/>
        </w:rPr>
        <w:t> ：第三章合同条款中"90个日历日"与第一章、第四章"90日"的表述略有不同，虽实质含义一致，建议统一为"90日"以保持全文一致性。</w:t>
      </w:r>
    </w:p>
    <w:p>
      <w:pPr>
        <w:pStyle w:val="5"/>
        <w:keepNext w:val="0"/>
        <w:keepLines w:val="0"/>
        <w:widowControl/>
        <w:suppressLineNumbers w:val="0"/>
        <w:spacing w:before="0" w:beforeAutospacing="0" w:after="0" w:afterAutospacing="0"/>
        <w:ind w:left="0" w:right="0"/>
        <w:rPr>
          <w:rFonts w:hint="eastAsia" w:ascii="楷体" w:hAnsi="楷体" w:eastAsia="楷体" w:cs="楷体"/>
        </w:rPr>
      </w:pPr>
      <w:r>
        <w:rPr>
          <w:rFonts w:hint="eastAsia" w:ascii="楷体" w:hAnsi="楷体" w:eastAsia="楷体" w:cs="楷体"/>
          <w:b/>
          <w:i w:val="0"/>
          <w:caps w:val="0"/>
          <w:spacing w:val="0"/>
          <w:shd w:val="clear" w:fill="FFFFFF"/>
          <w:lang w:val="en-US" w:eastAsia="zh-CN"/>
        </w:rPr>
        <w:t>2、</w:t>
      </w:r>
      <w:r>
        <w:rPr>
          <w:rFonts w:hint="eastAsia" w:ascii="楷体" w:hAnsi="楷体" w:eastAsia="楷体" w:cs="楷体"/>
          <w:b/>
          <w:i w:val="0"/>
          <w:caps w:val="0"/>
          <w:spacing w:val="0"/>
          <w:shd w:val="clear" w:fill="FFFFFF"/>
        </w:rPr>
        <w:t>维持现状建议</w:t>
      </w:r>
      <w:r>
        <w:rPr>
          <w:rFonts w:hint="eastAsia" w:ascii="楷体" w:hAnsi="楷体" w:eastAsia="楷体" w:cs="楷体"/>
          <w:i w:val="0"/>
          <w:caps w:val="0"/>
          <w:spacing w:val="0"/>
          <w:shd w:val="clear" w:fill="FFFFFF"/>
        </w:rPr>
        <w:t>：招标文件其余部分无需修改，可按此版本进入采购流程。</w:t>
      </w:r>
    </w:p>
    <w:p>
      <w:pPr>
        <w:pStyle w:val="3"/>
        <w:keepNext w:val="0"/>
        <w:keepLines w:val="0"/>
        <w:widowControl/>
        <w:suppressLineNumbers w:val="0"/>
        <w:spacing w:before="480" w:beforeAutospacing="0" w:after="240" w:afterAutospacing="0"/>
        <w:ind w:left="0" w:right="0"/>
        <w:rPr>
          <w:rFonts w:hint="eastAsia" w:ascii="楷体" w:hAnsi="楷体" w:eastAsia="楷体" w:cs="楷体"/>
        </w:rPr>
      </w:pPr>
      <w:r>
        <w:rPr>
          <w:rFonts w:hint="eastAsia" w:ascii="楷体" w:hAnsi="楷体" w:eastAsia="楷体" w:cs="楷体"/>
          <w:i w:val="0"/>
          <w:caps w:val="0"/>
          <w:spacing w:val="0"/>
          <w:shd w:val="clear" w:fill="FFFFFF"/>
        </w:rPr>
        <w:t>四、最终审查结论</w:t>
      </w:r>
    </w:p>
    <w:p>
      <w:pPr>
        <w:pStyle w:val="5"/>
        <w:keepNext w:val="0"/>
        <w:keepLines w:val="0"/>
        <w:widowControl/>
        <w:suppressLineNumbers w:val="0"/>
        <w:spacing w:before="240" w:beforeAutospacing="0" w:after="0" w:afterAutospacing="0"/>
        <w:ind w:left="0" w:right="0" w:firstLine="482" w:firstLineChars="200"/>
        <w:rPr>
          <w:rFonts w:hint="eastAsia" w:ascii="楷体" w:hAnsi="楷体" w:eastAsia="楷体" w:cs="楷体"/>
        </w:rPr>
      </w:pPr>
      <w:r>
        <w:rPr>
          <w:rFonts w:hint="eastAsia" w:ascii="楷体" w:hAnsi="楷体" w:eastAsia="楷体" w:cs="楷体"/>
          <w:b/>
          <w:i w:val="0"/>
          <w:caps w:val="0"/>
          <w:spacing w:val="0"/>
          <w:shd w:val="clear" w:fill="FFFFFF"/>
        </w:rPr>
        <w:t>审查结论：</w:t>
      </w:r>
      <w:r>
        <w:rPr>
          <w:rFonts w:hint="eastAsia" w:ascii="楷体" w:hAnsi="楷体" w:eastAsia="楷体" w:cs="楷体"/>
          <w:i w:val="0"/>
          <w:caps w:val="0"/>
          <w:spacing w:val="0"/>
          <w:shd w:val="clear" w:fill="FFFFFF"/>
        </w:rPr>
        <w:t> 本次提交的《网上竞价系统采购招标文件》与《招标文件大纲》完全一致，符合一致性审查全部要求。招标文件结构完整、条款清晰、技术参数与商务要求具体明确、评分标准可量化，满足政府采购货物类项目招标文件的规范要求，建议审核通过后按此版本发布。</w:t>
      </w:r>
    </w:p>
    <w:p>
      <w:pPr>
        <w:rPr>
          <w:rFonts w:hint="eastAsia" w:ascii="楷体" w:hAnsi="楷体" w:eastAsia="楷体" w:cs="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dsw-font-markdown-h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h2)">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var(--dsw-font-markdown-h3)">
    <w:altName w:val="Segoe Print"/>
    <w:panose1 w:val="00000000000000000000"/>
    <w:charset w:val="00"/>
    <w:family w:val="auto"/>
    <w:pitch w:val="default"/>
    <w:sig w:usb0="00000000" w:usb1="00000000" w:usb2="00000000" w:usb3="00000000" w:csb0="00000000" w:csb1="00000000"/>
  </w:font>
  <w:font w:name="var(--dsw-font-markdown-table-head)">
    <w:altName w:val="Segoe Print"/>
    <w:panose1 w:val="00000000000000000000"/>
    <w:charset w:val="00"/>
    <w:family w:val="auto"/>
    <w:pitch w:val="default"/>
    <w:sig w:usb0="00000000" w:usb1="00000000" w:usb2="00000000" w:usb3="00000000" w:csb0="00000000" w:csb1="00000000"/>
  </w:font>
  <w:font w:name="var(--dsw-font-markdown-table)">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4BDD159"/>
    <w:multiLevelType w:val="multilevel"/>
    <w:tmpl w:val="D4BDD1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750A09"/>
    <w:rsid w:val="4D750A09"/>
    <w:rsid w:val="6D9C7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省水利厅</Company>
  <Pages>1</Pages>
  <Words>0</Words>
  <Characters>0</Characters>
  <Lines>0</Lines>
  <Paragraphs>0</Paragraphs>
  <TotalTime>3</TotalTime>
  <ScaleCrop>false</ScaleCrop>
  <LinksUpToDate>false</LinksUpToDate>
  <CharactersWithSpaces>0</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2026-09-04T09:05:00Z</dcterms:created>
  <dc:creator>Linmh</dc:creator>
  <cp:lastModifiedBy>Linmh</cp:lastModifiedBy>
  <dcterms:modified xsi:type="dcterms:W3CDTF">2026-09-04T09:09:04Z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