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AstraPay — Payment Profitability Diagnostic</w:t>
      </w:r>
    </w:p>
    <w:p>
      <w:pPr>
        <w:pBdr>
          <w:bottom w:val="single" w:color="8EA9DB" w:sz="6" w:space="6"/>
        </w:pBdr>
        <w:spacing w:after="240"/>
      </w:pPr>
      <w:r>
        <w:rPr>
          <w:color w:val="444444"/>
          <w:sz w:val="24"/>
          <w:szCs w:val="24"/>
        </w:rPr>
        <w:t xml:space="preserve">Task 7 — Power BI executive view: design and metric notes</w:t>
      </w:r>
    </w:p>
    <w:p>
      <w:pPr>
        <w:pStyle w:val="Heading1"/>
        <w:spacing w:after="120" w:before="280"/>
      </w:pPr>
      <w:r>
        <w:rPr>
          <w:b/>
          <w:bCs/>
        </w:rPr>
        <w:t xml:space="preserve">1. Model design</w:t>
      </w:r>
    </w:p>
    <w:p>
      <w:pPr>
        <w:spacing w:after="120"/>
      </w:pPr>
      <w:r>
        <w:rPr>
          <w:b w:val="false"/>
          <w:bCs w:val="false"/>
          <w:i w:val="false"/>
          <w:iCs w:val="false"/>
          <w:sz w:val="20"/>
          <w:szCs w:val="20"/>
        </w:rPr>
        <w:t xml:space="preserve">Power BI consumes a governed star schema, not the source files. One fact at payment-attempt grain, six conformed dimensions, and two disconnected analysis tables. No visual joins raw tables together, so no visual can fan out payment amount.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D9E2F3" w:val="clear"/>
            <w:tcMar>
              <w:top w:type="dxa" w:w="60"/>
              <w:left w:type="dxa" w:w="110"/>
              <w:bottom w:type="dxa" w:w="60"/>
              <w:right w:type="dxa" w:w="110"/>
            </w:tcMar>
          </w:tcPr>
          <w:p>
            <w:pPr>
              <w:spacing w:after="40" w:before="40"/>
            </w:pPr>
            <w:r>
              <w:rPr>
                <w:b/>
                <w:bCs/>
                <w:sz w:val="18"/>
                <w:szCs w:val="18"/>
              </w:rPr>
              <w:t xml:space="preserve">Table</w:t>
            </w:r>
          </w:p>
        </w:tc>
        <w:tc>
          <w:tcPr>
            <w:tcW w:type="dxa" w:w="2000"/>
            <w:shd w:fill="D9E2F3" w:val="clear"/>
            <w:tcMar>
              <w:top w:type="dxa" w:w="60"/>
              <w:left w:type="dxa" w:w="110"/>
              <w:bottom w:type="dxa" w:w="60"/>
              <w:right w:type="dxa" w:w="110"/>
            </w:tcMar>
          </w:tcPr>
          <w:p>
            <w:pPr>
              <w:spacing w:after="40" w:before="40"/>
            </w:pPr>
            <w:r>
              <w:rPr>
                <w:b/>
                <w:bCs/>
                <w:sz w:val="18"/>
                <w:szCs w:val="18"/>
              </w:rPr>
              <w:t xml:space="preserve">Grain</w:t>
            </w:r>
          </w:p>
        </w:tc>
        <w:tc>
          <w:tcPr>
            <w:tcW w:type="dxa" w:w="4800"/>
            <w:shd w:fill="D9E2F3" w:val="clear"/>
            <w:tcMar>
              <w:top w:type="dxa" w:w="60"/>
              <w:left w:type="dxa" w:w="110"/>
              <w:bottom w:type="dxa" w:w="60"/>
              <w:right w:type="dxa" w:w="110"/>
            </w:tcMar>
          </w:tcPr>
          <w:p>
            <w:pPr>
              <w:spacing w:after="40" w:before="40"/>
            </w:pPr>
            <w:r>
              <w:rPr>
                <w:b/>
                <w:bCs/>
                <w:sz w:val="18"/>
                <w:szCs w:val="18"/>
              </w:rPr>
              <w:t xml:space="preserve">Role</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fact_payment</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payment attempt</w:t>
            </w:r>
          </w:p>
        </w:tc>
        <w:tc>
          <w:tcPr>
            <w:tcW w:type="dxa" w:w="4800"/>
            <w:tcMar>
              <w:top w:type="dxa" w:w="60"/>
              <w:left w:type="dxa" w:w="110"/>
              <w:bottom w:type="dxa" w:w="60"/>
              <w:right w:type="dxa" w:w="110"/>
            </w:tcMar>
          </w:tcPr>
          <w:p>
            <w:pPr>
              <w:spacing w:after="40" w:before="40"/>
            </w:pPr>
            <w:r>
              <w:rPr>
                <w:b w:val="false"/>
                <w:bCs w:val="false"/>
                <w:sz w:val="18"/>
                <w:szCs w:val="18"/>
              </w:rPr>
              <w:t xml:space="preserve">The only fact. 260,287 rows. Every measure aggregates from here.</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dim_date</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calendar day</w:t>
            </w:r>
          </w:p>
        </w:tc>
        <w:tc>
          <w:tcPr>
            <w:tcW w:type="dxa" w:w="4800"/>
            <w:tcMar>
              <w:top w:type="dxa" w:w="60"/>
              <w:left w:type="dxa" w:w="110"/>
              <w:bottom w:type="dxa" w:w="60"/>
              <w:right w:type="dxa" w:w="110"/>
            </w:tcMar>
          </w:tcPr>
          <w:p>
            <w:pPr>
              <w:spacing w:after="40" w:before="40"/>
            </w:pPr>
            <w:r>
              <w:rPr>
                <w:b w:val="false"/>
                <w:bCs w:val="false"/>
                <w:sz w:val="18"/>
                <w:szCs w:val="18"/>
              </w:rPr>
              <w:t xml:space="preserve">Marked as the date table. Drives all time intelligence.</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dim_merchant</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merchant</w:t>
            </w:r>
          </w:p>
        </w:tc>
        <w:tc>
          <w:tcPr>
            <w:tcW w:type="dxa" w:w="4800"/>
            <w:tcMar>
              <w:top w:type="dxa" w:w="60"/>
              <w:left w:type="dxa" w:w="110"/>
              <w:bottom w:type="dxa" w:w="60"/>
              <w:right w:type="dxa" w:w="110"/>
            </w:tcMar>
          </w:tcPr>
          <w:p>
            <w:pPr>
              <w:spacing w:after="40" w:before="40"/>
            </w:pPr>
            <w:r>
              <w:rPr>
                <w:b w:val="false"/>
                <w:bCs w:val="false"/>
                <w:sz w:val="18"/>
                <w:szCs w:val="18"/>
              </w:rPr>
              <w:t xml:space="preserve">Carries an (unknown) member so transactions with a missing merchant are never dropped.</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dim_customer</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customer</w:t>
            </w:r>
          </w:p>
        </w:tc>
        <w:tc>
          <w:tcPr>
            <w:tcW w:type="dxa" w:w="4800"/>
            <w:tcMar>
              <w:top w:type="dxa" w:w="60"/>
              <w:left w:type="dxa" w:w="110"/>
              <w:bottom w:type="dxa" w:w="60"/>
              <w:right w:type="dxa" w:w="110"/>
            </w:tcMar>
          </w:tcPr>
          <w:p>
            <w:pPr>
              <w:spacing w:after="40" w:before="40"/>
            </w:pPr>
            <w:r>
              <w:rPr>
                <w:b w:val="false"/>
                <w:bCs w:val="false"/>
                <w:sz w:val="18"/>
                <w:szCs w:val="18"/>
              </w:rPr>
              <w:t xml:space="preserve">Customer segment and country.</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dim_route</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route</w:t>
            </w:r>
          </w:p>
        </w:tc>
        <w:tc>
          <w:tcPr>
            <w:tcW w:type="dxa" w:w="4800"/>
            <w:tcMar>
              <w:top w:type="dxa" w:w="60"/>
              <w:left w:type="dxa" w:w="110"/>
              <w:bottom w:type="dxa" w:w="60"/>
              <w:right w:type="dxa" w:w="110"/>
            </w:tcMar>
          </w:tcPr>
          <w:p>
            <w:pPr>
              <w:spacing w:after="40" w:before="40"/>
            </w:pPr>
            <w:r>
              <w:rPr>
                <w:b w:val="false"/>
                <w:bCs w:val="false"/>
                <w:sz w:val="18"/>
                <w:szCs w:val="18"/>
              </w:rPr>
              <w:t xml:space="preserve">Provider and region.</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dim_pricing_plan</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plan</w:t>
            </w:r>
          </w:p>
        </w:tc>
        <w:tc>
          <w:tcPr>
            <w:tcW w:type="dxa" w:w="4800"/>
            <w:tcMar>
              <w:top w:type="dxa" w:w="60"/>
              <w:left w:type="dxa" w:w="110"/>
              <w:bottom w:type="dxa" w:w="60"/>
              <w:right w:type="dxa" w:w="110"/>
            </w:tcMar>
          </w:tcPr>
          <w:p>
            <w:pPr>
              <w:spacing w:after="40" w:before="40"/>
            </w:pPr>
            <w:r>
              <w:rPr>
                <w:b w:val="false"/>
                <w:bCs w:val="false"/>
                <w:sz w:val="18"/>
                <w:szCs w:val="18"/>
              </w:rPr>
              <w:t xml:space="preserve">Contracted rate card. Used to test pricing within plan.</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dim_ticket_band</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band</w:t>
            </w:r>
          </w:p>
        </w:tc>
        <w:tc>
          <w:tcPr>
            <w:tcW w:type="dxa" w:w="4800"/>
            <w:tcMar>
              <w:top w:type="dxa" w:w="60"/>
              <w:left w:type="dxa" w:w="110"/>
              <w:bottom w:type="dxa" w:w="60"/>
              <w:right w:type="dxa" w:w="110"/>
            </w:tcMar>
          </w:tcPr>
          <w:p>
            <w:pPr>
              <w:spacing w:after="40" w:before="40"/>
            </w:pPr>
            <w:r>
              <w:rPr>
                <w:b w:val="false"/>
                <w:bCs w:val="false"/>
                <w:sz w:val="18"/>
                <w:szCs w:val="18"/>
              </w:rPr>
              <w:t xml:space="preserve">Sort order column so bands render smallest to largest, not alphabetically.</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analysis_decomposition</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dimension and segment</w:t>
            </w:r>
          </w:p>
        </w:tc>
        <w:tc>
          <w:tcPr>
            <w:tcW w:type="dxa" w:w="4800"/>
            <w:tcMar>
              <w:top w:type="dxa" w:w="60"/>
              <w:left w:type="dxa" w:w="110"/>
              <w:bottom w:type="dxa" w:w="60"/>
              <w:right w:type="dxa" w:w="110"/>
            </w:tcMar>
          </w:tcPr>
          <w:p>
            <w:pPr>
              <w:spacing w:after="40" w:before="40"/>
            </w:pPr>
            <w:r>
              <w:rPr>
                <w:b w:val="false"/>
                <w:bCs w:val="false"/>
                <w:sz w:val="18"/>
                <w:szCs w:val="18"/>
              </w:rPr>
              <w:t xml:space="preserve">Pre-computed mix and within effects. Disconnected: reported, not sliced.</w:t>
            </w:r>
          </w:p>
        </w:tc>
      </w:tr>
      <w:tr>
        <w:tc>
          <w:tcPr>
            <w:tcW w:type="dxa" w:w="2200"/>
            <w:tcMar>
              <w:top w:type="dxa" w:w="60"/>
              <w:left w:type="dxa" w:w="110"/>
              <w:bottom w:type="dxa" w:w="60"/>
              <w:right w:type="dxa" w:w="110"/>
            </w:tcMar>
          </w:tcPr>
          <w:p>
            <w:pPr>
              <w:spacing w:after="40" w:before="40"/>
            </w:pPr>
            <w:r>
              <w:rPr>
                <w:b w:val="false"/>
                <w:bCs w:val="false"/>
                <w:sz w:val="18"/>
                <w:szCs w:val="18"/>
              </w:rPr>
              <w:t xml:space="preserve">analysis_bridge</w:t>
            </w:r>
          </w:p>
        </w:tc>
        <w:tc>
          <w:tcPr>
            <w:tcW w:type="dxa" w:w="2000"/>
            <w:tcMar>
              <w:top w:type="dxa" w:w="60"/>
              <w:left w:type="dxa" w:w="110"/>
              <w:bottom w:type="dxa" w:w="60"/>
              <w:right w:type="dxa" w:w="110"/>
            </w:tcMar>
          </w:tcPr>
          <w:p>
            <w:pPr>
              <w:spacing w:after="40" w:before="40"/>
            </w:pPr>
            <w:r>
              <w:rPr>
                <w:b w:val="false"/>
                <w:bCs w:val="false"/>
                <w:sz w:val="18"/>
                <w:szCs w:val="18"/>
              </w:rPr>
              <w:t xml:space="preserve">1 row per bridge step</w:t>
            </w:r>
          </w:p>
        </w:tc>
        <w:tc>
          <w:tcPr>
            <w:tcW w:type="dxa" w:w="4800"/>
            <w:tcMar>
              <w:top w:type="dxa" w:w="60"/>
              <w:left w:type="dxa" w:w="110"/>
              <w:bottom w:type="dxa" w:w="60"/>
              <w:right w:type="dxa" w:w="110"/>
            </w:tcMar>
          </w:tcPr>
          <w:p>
            <w:pPr>
              <w:spacing w:after="40" w:before="40"/>
            </w:pPr>
            <w:r>
              <w:rPr>
                <w:b w:val="false"/>
                <w:bCs w:val="false"/>
                <w:sz w:val="18"/>
                <w:szCs w:val="18"/>
              </w:rPr>
              <w:t xml:space="preserve">Opening to closing walk. Disconnected.</w:t>
            </w:r>
          </w:p>
        </w:tc>
      </w:tr>
    </w:tbl>
    <w:p>
      <w:pPr>
        <w:spacing w:after="120"/>
      </w:pPr>
      <w:r>
        <w:rPr>
          <w:b w:val="false"/>
          <w:bCs w:val="false"/>
          <w:i/>
          <w:iCs/>
          <w:sz w:val="20"/>
          <w:szCs w:val="20"/>
        </w:rPr>
        <w:t xml:space="preserve">Why the two analysis tables are pre-computed: the mix/within decomposition compares weights and per-transaction contribution between two specific periods. Expressing that in DAX makes it re-evaluate under every filter, which produces numbers that look plausible and are wrong. Computing it once, in the notebook, keeps it correct and auditable.</w:t>
      </w:r>
    </w:p>
    <w:p>
      <w:pPr>
        <w:pStyle w:val="Heading1"/>
        <w:spacing w:after="120" w:before="280"/>
      </w:pPr>
      <w:r>
        <w:rPr>
          <w:b/>
          <w:bCs/>
        </w:rPr>
        <w:t xml:space="preserve">2. Loading</w:t>
      </w:r>
    </w:p>
    <w:p>
      <w:pPr>
        <w:pStyle w:val="ListParagraph"/>
        <w:numPr>
          <w:ilvl w:val="0"/>
          <w:numId w:val="2"/>
        </w:numPr>
        <w:spacing w:after="60"/>
      </w:pPr>
      <w:r>
        <w:rPr>
          <w:sz w:val="20"/>
          <w:szCs w:val="20"/>
        </w:rPr>
        <w:t xml:space="preserve">Power BI Desktop → Home → Get data → Text/CSV.</w:t>
      </w:r>
    </w:p>
    <w:p>
      <w:pPr>
        <w:pStyle w:val="ListParagraph"/>
        <w:numPr>
          <w:ilvl w:val="0"/>
          <w:numId w:val="2"/>
        </w:numPr>
        <w:spacing w:after="60"/>
      </w:pPr>
      <w:r>
        <w:rPr>
          <w:sz w:val="20"/>
          <w:szCs w:val="20"/>
        </w:rPr>
        <w:t xml:space="preserve">Load all ten files from powerbi_model/. Load fact_payment.csv last — it is the largest.</w:t>
      </w:r>
    </w:p>
    <w:p>
      <w:pPr>
        <w:pStyle w:val="ListParagraph"/>
        <w:numPr>
          <w:ilvl w:val="0"/>
          <w:numId w:val="2"/>
        </w:numPr>
        <w:spacing w:after="60"/>
      </w:pPr>
      <w:r>
        <w:rPr>
          <w:sz w:val="20"/>
          <w:szCs w:val="20"/>
        </w:rPr>
        <w:t xml:space="preserve">For each dimension, confirm Power Query typed the key column as Text, not Whole Number.</w:t>
      </w:r>
    </w:p>
    <w:p>
      <w:pPr>
        <w:pStyle w:val="ListParagraph"/>
        <w:numPr>
          <w:ilvl w:val="0"/>
          <w:numId w:val="2"/>
        </w:numPr>
        <w:spacing w:after="60"/>
      </w:pPr>
      <w:r>
        <w:rPr>
          <w:sz w:val="20"/>
          <w:szCs w:val="20"/>
        </w:rPr>
        <w:t xml:space="preserve">Close &amp; Apply.</w:t>
      </w:r>
    </w:p>
    <w:p>
      <w:pPr>
        <w:spacing w:after="120"/>
      </w:pPr>
      <w:r>
        <w:rPr>
          <w:b w:val="false"/>
          <w:bCs w:val="false"/>
          <w:i w:val="false"/>
          <w:iCs w:val="false"/>
          <w:sz w:val="20"/>
          <w:szCs w:val="20"/>
        </w:rPr>
        <w:t xml:space="preserve">The 71 MB CSV compresses to a few MB in the model. Import mode, not DirectQuery.</w:t>
      </w:r>
    </w:p>
    <w:p>
      <w:pPr>
        <w:pStyle w:val="Heading1"/>
        <w:spacing w:after="120" w:before="280"/>
      </w:pPr>
      <w:r>
        <w:rPr>
          <w:b/>
          <w:bCs/>
        </w:rPr>
        <w:t xml:space="preserve">3. Relationships</w:t>
      </w:r>
    </w:p>
    <w:p>
      <w:pPr>
        <w:spacing w:after="120"/>
      </w:pPr>
      <w:r>
        <w:rPr>
          <w:b w:val="false"/>
          <w:bCs w:val="false"/>
          <w:i w:val="false"/>
          <w:iCs w:val="false"/>
          <w:sz w:val="20"/>
          <w:szCs w:val="20"/>
        </w:rPr>
        <w:t xml:space="preserve">Model view → drag from the fact column to the dimension key. All are many-to-one, single direction. Delete any relationship Power BI auto-detected that is not in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Mar>
              <w:top w:type="dxa" w:w="60"/>
              <w:left w:type="dxa" w:w="110"/>
              <w:bottom w:type="dxa" w:w="60"/>
              <w:right w:type="dxa" w:w="110"/>
            </w:tcMar>
          </w:tcPr>
          <w:p>
            <w:pPr>
              <w:spacing w:after="40" w:before="40"/>
            </w:pPr>
            <w:r>
              <w:rPr>
                <w:b/>
                <w:bCs/>
                <w:sz w:val="18"/>
                <w:szCs w:val="18"/>
              </w:rPr>
              <w:t xml:space="preserve">From (fact_payment)</w:t>
            </w:r>
          </w:p>
        </w:tc>
        <w:tc>
          <w:tcPr>
            <w:tcW w:type="dxa" w:w="3000"/>
            <w:shd w:fill="D9E2F3" w:val="clear"/>
            <w:tcMar>
              <w:top w:type="dxa" w:w="60"/>
              <w:left w:type="dxa" w:w="110"/>
              <w:bottom w:type="dxa" w:w="60"/>
              <w:right w:type="dxa" w:w="110"/>
            </w:tcMar>
          </w:tcPr>
          <w:p>
            <w:pPr>
              <w:spacing w:after="40" w:before="40"/>
            </w:pPr>
            <w:r>
              <w:rPr>
                <w:b/>
                <w:bCs/>
                <w:sz w:val="18"/>
                <w:szCs w:val="18"/>
              </w:rPr>
              <w:t xml:space="preserve">To</w:t>
            </w:r>
          </w:p>
        </w:tc>
        <w:tc>
          <w:tcPr>
            <w:tcW w:type="dxa" w:w="3000"/>
            <w:shd w:fill="D9E2F3" w:val="clear"/>
            <w:tcMar>
              <w:top w:type="dxa" w:w="60"/>
              <w:left w:type="dxa" w:w="110"/>
              <w:bottom w:type="dxa" w:w="60"/>
              <w:right w:type="dxa" w:w="110"/>
            </w:tcMar>
          </w:tcPr>
          <w:p>
            <w:pPr>
              <w:spacing w:after="40" w:before="40"/>
            </w:pPr>
            <w:r>
              <w:rPr>
                <w:b/>
                <w:bCs/>
                <w:sz w:val="18"/>
                <w:szCs w:val="18"/>
              </w:rPr>
              <w:t xml:space="preserve">Cardinality</w:t>
            </w:r>
          </w:p>
        </w:tc>
      </w:tr>
      <w:tr>
        <w:tc>
          <w:tcPr>
            <w:tcW w:type="dxa" w:w="3000"/>
            <w:tcMar>
              <w:top w:type="dxa" w:w="60"/>
              <w:left w:type="dxa" w:w="110"/>
              <w:bottom w:type="dxa" w:w="60"/>
              <w:right w:type="dxa" w:w="110"/>
            </w:tcMar>
          </w:tcPr>
          <w:p>
            <w:pPr>
              <w:spacing w:after="40" w:before="40"/>
            </w:pPr>
            <w:r>
              <w:rPr>
                <w:b w:val="false"/>
                <w:bCs w:val="false"/>
                <w:sz w:val="18"/>
                <w:szCs w:val="18"/>
              </w:rPr>
              <w:t xml:space="preserve">txn_date</w:t>
            </w:r>
          </w:p>
        </w:tc>
        <w:tc>
          <w:tcPr>
            <w:tcW w:type="dxa" w:w="3000"/>
            <w:tcMar>
              <w:top w:type="dxa" w:w="60"/>
              <w:left w:type="dxa" w:w="110"/>
              <w:bottom w:type="dxa" w:w="60"/>
              <w:right w:type="dxa" w:w="110"/>
            </w:tcMar>
          </w:tcPr>
          <w:p>
            <w:pPr>
              <w:spacing w:after="40" w:before="40"/>
            </w:pPr>
            <w:r>
              <w:rPr>
                <w:b w:val="false"/>
                <w:bCs w:val="false"/>
                <w:sz w:val="18"/>
                <w:szCs w:val="18"/>
              </w:rPr>
              <w:t xml:space="preserve">dim_date[date_key]</w:t>
            </w:r>
          </w:p>
        </w:tc>
        <w:tc>
          <w:tcPr>
            <w:tcW w:type="dxa" w:w="3000"/>
            <w:tcMar>
              <w:top w:type="dxa" w:w="60"/>
              <w:left w:type="dxa" w:w="110"/>
              <w:bottom w:type="dxa" w:w="60"/>
              <w:right w:type="dxa" w:w="110"/>
            </w:tcMar>
          </w:tcPr>
          <w:p>
            <w:pPr>
              <w:spacing w:after="40" w:before="40"/>
            </w:pPr>
            <w:r>
              <w:rPr>
                <w:b w:val="false"/>
                <w:bCs w:val="false"/>
                <w:sz w:val="18"/>
                <w:szCs w:val="18"/>
              </w:rPr>
              <w:t xml:space="preserve">Many to one, single</w:t>
            </w:r>
          </w:p>
        </w:tc>
      </w:tr>
      <w:tr>
        <w:tc>
          <w:tcPr>
            <w:tcW w:type="dxa" w:w="3000"/>
            <w:tcMar>
              <w:top w:type="dxa" w:w="60"/>
              <w:left w:type="dxa" w:w="110"/>
              <w:bottom w:type="dxa" w:w="60"/>
              <w:right w:type="dxa" w:w="110"/>
            </w:tcMar>
          </w:tcPr>
          <w:p>
            <w:pPr>
              <w:spacing w:after="40" w:before="40"/>
            </w:pPr>
            <w:r>
              <w:rPr>
                <w:b w:val="false"/>
                <w:bCs w:val="false"/>
                <w:sz w:val="18"/>
                <w:szCs w:val="18"/>
              </w:rPr>
              <w:t xml:space="preserve">merchant_id</w:t>
            </w:r>
          </w:p>
        </w:tc>
        <w:tc>
          <w:tcPr>
            <w:tcW w:type="dxa" w:w="3000"/>
            <w:tcMar>
              <w:top w:type="dxa" w:w="60"/>
              <w:left w:type="dxa" w:w="110"/>
              <w:bottom w:type="dxa" w:w="60"/>
              <w:right w:type="dxa" w:w="110"/>
            </w:tcMar>
          </w:tcPr>
          <w:p>
            <w:pPr>
              <w:spacing w:after="40" w:before="40"/>
            </w:pPr>
            <w:r>
              <w:rPr>
                <w:b w:val="false"/>
                <w:bCs w:val="false"/>
                <w:sz w:val="18"/>
                <w:szCs w:val="18"/>
              </w:rPr>
              <w:t xml:space="preserve">dim_merchant[merchant_id]</w:t>
            </w:r>
          </w:p>
        </w:tc>
        <w:tc>
          <w:tcPr>
            <w:tcW w:type="dxa" w:w="3000"/>
            <w:tcMar>
              <w:top w:type="dxa" w:w="60"/>
              <w:left w:type="dxa" w:w="110"/>
              <w:bottom w:type="dxa" w:w="60"/>
              <w:right w:type="dxa" w:w="110"/>
            </w:tcMar>
          </w:tcPr>
          <w:p>
            <w:pPr>
              <w:spacing w:after="40" w:before="40"/>
            </w:pPr>
            <w:r>
              <w:rPr>
                <w:b w:val="false"/>
                <w:bCs w:val="false"/>
                <w:sz w:val="18"/>
                <w:szCs w:val="18"/>
              </w:rPr>
              <w:t xml:space="preserve">Many to one, single</w:t>
            </w:r>
          </w:p>
        </w:tc>
      </w:tr>
      <w:tr>
        <w:tc>
          <w:tcPr>
            <w:tcW w:type="dxa" w:w="3000"/>
            <w:tcMar>
              <w:top w:type="dxa" w:w="60"/>
              <w:left w:type="dxa" w:w="110"/>
              <w:bottom w:type="dxa" w:w="60"/>
              <w:right w:type="dxa" w:w="110"/>
            </w:tcMar>
          </w:tcPr>
          <w:p>
            <w:pPr>
              <w:spacing w:after="40" w:before="40"/>
            </w:pPr>
            <w:r>
              <w:rPr>
                <w:b w:val="false"/>
                <w:bCs w:val="false"/>
                <w:sz w:val="18"/>
                <w:szCs w:val="18"/>
              </w:rPr>
              <w:t xml:space="preserve">customer_id</w:t>
            </w:r>
          </w:p>
        </w:tc>
        <w:tc>
          <w:tcPr>
            <w:tcW w:type="dxa" w:w="3000"/>
            <w:tcMar>
              <w:top w:type="dxa" w:w="60"/>
              <w:left w:type="dxa" w:w="110"/>
              <w:bottom w:type="dxa" w:w="60"/>
              <w:right w:type="dxa" w:w="110"/>
            </w:tcMar>
          </w:tcPr>
          <w:p>
            <w:pPr>
              <w:spacing w:after="40" w:before="40"/>
            </w:pPr>
            <w:r>
              <w:rPr>
                <w:b w:val="false"/>
                <w:bCs w:val="false"/>
                <w:sz w:val="18"/>
                <w:szCs w:val="18"/>
              </w:rPr>
              <w:t xml:space="preserve">dim_customer[customer_id]</w:t>
            </w:r>
          </w:p>
        </w:tc>
        <w:tc>
          <w:tcPr>
            <w:tcW w:type="dxa" w:w="3000"/>
            <w:tcMar>
              <w:top w:type="dxa" w:w="60"/>
              <w:left w:type="dxa" w:w="110"/>
              <w:bottom w:type="dxa" w:w="60"/>
              <w:right w:type="dxa" w:w="110"/>
            </w:tcMar>
          </w:tcPr>
          <w:p>
            <w:pPr>
              <w:spacing w:after="40" w:before="40"/>
            </w:pPr>
            <w:r>
              <w:rPr>
                <w:b w:val="false"/>
                <w:bCs w:val="false"/>
                <w:sz w:val="18"/>
                <w:szCs w:val="18"/>
              </w:rPr>
              <w:t xml:space="preserve">Many to one, single</w:t>
            </w:r>
          </w:p>
        </w:tc>
      </w:tr>
      <w:tr>
        <w:tc>
          <w:tcPr>
            <w:tcW w:type="dxa" w:w="3000"/>
            <w:tcMar>
              <w:top w:type="dxa" w:w="60"/>
              <w:left w:type="dxa" w:w="110"/>
              <w:bottom w:type="dxa" w:w="60"/>
              <w:right w:type="dxa" w:w="110"/>
            </w:tcMar>
          </w:tcPr>
          <w:p>
            <w:pPr>
              <w:spacing w:after="40" w:before="40"/>
            </w:pPr>
            <w:r>
              <w:rPr>
                <w:b w:val="false"/>
                <w:bCs w:val="false"/>
                <w:sz w:val="18"/>
                <w:szCs w:val="18"/>
              </w:rPr>
              <w:t xml:space="preserve">route_id</w:t>
            </w:r>
          </w:p>
        </w:tc>
        <w:tc>
          <w:tcPr>
            <w:tcW w:type="dxa" w:w="3000"/>
            <w:tcMar>
              <w:top w:type="dxa" w:w="60"/>
              <w:left w:type="dxa" w:w="110"/>
              <w:bottom w:type="dxa" w:w="60"/>
              <w:right w:type="dxa" w:w="110"/>
            </w:tcMar>
          </w:tcPr>
          <w:p>
            <w:pPr>
              <w:spacing w:after="40" w:before="40"/>
            </w:pPr>
            <w:r>
              <w:rPr>
                <w:b w:val="false"/>
                <w:bCs w:val="false"/>
                <w:sz w:val="18"/>
                <w:szCs w:val="18"/>
              </w:rPr>
              <w:t xml:space="preserve">dim_route[route_id]</w:t>
            </w:r>
          </w:p>
        </w:tc>
        <w:tc>
          <w:tcPr>
            <w:tcW w:type="dxa" w:w="3000"/>
            <w:tcMar>
              <w:top w:type="dxa" w:w="60"/>
              <w:left w:type="dxa" w:w="110"/>
              <w:bottom w:type="dxa" w:w="60"/>
              <w:right w:type="dxa" w:w="110"/>
            </w:tcMar>
          </w:tcPr>
          <w:p>
            <w:pPr>
              <w:spacing w:after="40" w:before="40"/>
            </w:pPr>
            <w:r>
              <w:rPr>
                <w:b w:val="false"/>
                <w:bCs w:val="false"/>
                <w:sz w:val="18"/>
                <w:szCs w:val="18"/>
              </w:rPr>
              <w:t xml:space="preserve">Many to one, single</w:t>
            </w:r>
          </w:p>
        </w:tc>
      </w:tr>
      <w:tr>
        <w:tc>
          <w:tcPr>
            <w:tcW w:type="dxa" w:w="3000"/>
            <w:tcMar>
              <w:top w:type="dxa" w:w="60"/>
              <w:left w:type="dxa" w:w="110"/>
              <w:bottom w:type="dxa" w:w="60"/>
              <w:right w:type="dxa" w:w="110"/>
            </w:tcMar>
          </w:tcPr>
          <w:p>
            <w:pPr>
              <w:spacing w:after="40" w:before="40"/>
            </w:pPr>
            <w:r>
              <w:rPr>
                <w:b w:val="false"/>
                <w:bCs w:val="false"/>
                <w:sz w:val="18"/>
                <w:szCs w:val="18"/>
              </w:rPr>
              <w:t xml:space="preserve">merchant_pricing_plan</w:t>
            </w:r>
          </w:p>
        </w:tc>
        <w:tc>
          <w:tcPr>
            <w:tcW w:type="dxa" w:w="3000"/>
            <w:tcMar>
              <w:top w:type="dxa" w:w="60"/>
              <w:left w:type="dxa" w:w="110"/>
              <w:bottom w:type="dxa" w:w="60"/>
              <w:right w:type="dxa" w:w="110"/>
            </w:tcMar>
          </w:tcPr>
          <w:p>
            <w:pPr>
              <w:spacing w:after="40" w:before="40"/>
            </w:pPr>
            <w:r>
              <w:rPr>
                <w:b w:val="false"/>
                <w:bCs w:val="false"/>
                <w:sz w:val="18"/>
                <w:szCs w:val="18"/>
              </w:rPr>
              <w:t xml:space="preserve">dim_pricing_plan[pricing_plan]</w:t>
            </w:r>
          </w:p>
        </w:tc>
        <w:tc>
          <w:tcPr>
            <w:tcW w:type="dxa" w:w="3000"/>
            <w:tcMar>
              <w:top w:type="dxa" w:w="60"/>
              <w:left w:type="dxa" w:w="110"/>
              <w:bottom w:type="dxa" w:w="60"/>
              <w:right w:type="dxa" w:w="110"/>
            </w:tcMar>
          </w:tcPr>
          <w:p>
            <w:pPr>
              <w:spacing w:after="40" w:before="40"/>
            </w:pPr>
            <w:r>
              <w:rPr>
                <w:b w:val="false"/>
                <w:bCs w:val="false"/>
                <w:sz w:val="18"/>
                <w:szCs w:val="18"/>
              </w:rPr>
              <w:t xml:space="preserve">Many to one, single</w:t>
            </w:r>
          </w:p>
        </w:tc>
      </w:tr>
      <w:tr>
        <w:tc>
          <w:tcPr>
            <w:tcW w:type="dxa" w:w="3000"/>
            <w:tcMar>
              <w:top w:type="dxa" w:w="60"/>
              <w:left w:type="dxa" w:w="110"/>
              <w:bottom w:type="dxa" w:w="60"/>
              <w:right w:type="dxa" w:w="110"/>
            </w:tcMar>
          </w:tcPr>
          <w:p>
            <w:pPr>
              <w:spacing w:after="40" w:before="40"/>
            </w:pPr>
            <w:r>
              <w:rPr>
                <w:b w:val="false"/>
                <w:bCs w:val="false"/>
                <w:sz w:val="18"/>
                <w:szCs w:val="18"/>
              </w:rPr>
              <w:t xml:space="preserve">ticket_band</w:t>
            </w:r>
          </w:p>
        </w:tc>
        <w:tc>
          <w:tcPr>
            <w:tcW w:type="dxa" w:w="3000"/>
            <w:tcMar>
              <w:top w:type="dxa" w:w="60"/>
              <w:left w:type="dxa" w:w="110"/>
              <w:bottom w:type="dxa" w:w="60"/>
              <w:right w:type="dxa" w:w="110"/>
            </w:tcMar>
          </w:tcPr>
          <w:p>
            <w:pPr>
              <w:spacing w:after="40" w:before="40"/>
            </w:pPr>
            <w:r>
              <w:rPr>
                <w:b w:val="false"/>
                <w:bCs w:val="false"/>
                <w:sz w:val="18"/>
                <w:szCs w:val="18"/>
              </w:rPr>
              <w:t xml:space="preserve">dim_ticket_band[ticket_band]</w:t>
            </w:r>
          </w:p>
        </w:tc>
        <w:tc>
          <w:tcPr>
            <w:tcW w:type="dxa" w:w="3000"/>
            <w:tcMar>
              <w:top w:type="dxa" w:w="60"/>
              <w:left w:type="dxa" w:w="110"/>
              <w:bottom w:type="dxa" w:w="60"/>
              <w:right w:type="dxa" w:w="110"/>
            </w:tcMar>
          </w:tcPr>
          <w:p>
            <w:pPr>
              <w:spacing w:after="40" w:before="40"/>
            </w:pPr>
            <w:r>
              <w:rPr>
                <w:b w:val="false"/>
                <w:bCs w:val="false"/>
                <w:sz w:val="18"/>
                <w:szCs w:val="18"/>
              </w:rPr>
              <w:t xml:space="preserve">Many to one, single</w:t>
            </w:r>
          </w:p>
        </w:tc>
      </w:tr>
    </w:tbl>
    <w:p>
      <w:pPr>
        <w:spacing w:after="120"/>
      </w:pPr>
      <w:r>
        <w:rPr>
          <w:b w:val="false"/>
          <w:bCs w:val="false"/>
          <w:i w:val="false"/>
          <w:iCs w:val="false"/>
          <w:sz w:val="20"/>
          <w:szCs w:val="20"/>
        </w:rPr>
        <w:t xml:space="preserve">Then: select dim_date → Table tools → Mark as date table → date_key. And select dim_ticket_band[ticket_band] → Column tools → Sort by column → sort_order. Without that second step every ticket-band visual sorts alphabetically and "under $25" lands in the middle.</w:t>
      </w:r>
    </w:p>
    <w:p>
      <w:pPr>
        <w:pStyle w:val="Heading1"/>
        <w:spacing w:after="120" w:before="280"/>
      </w:pPr>
      <w:r>
        <w:rPr>
          <w:b/>
          <w:bCs/>
        </w:rPr>
        <w:t xml:space="preserve">4. Measures</w:t>
      </w:r>
    </w:p>
    <w:p>
      <w:pPr>
        <w:spacing w:after="120"/>
      </w:pPr>
      <w:r>
        <w:rPr>
          <w:b w:val="false"/>
          <w:bCs w:val="false"/>
          <w:i w:val="false"/>
          <w:iCs w:val="false"/>
          <w:sz w:val="20"/>
          <w:szCs w:val="20"/>
        </w:rPr>
        <w:t xml:space="preserve">Create a blank table called _Measures (Home → Enter data → name it, load, delete the column) and put all measures there so they sit at the top of the field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rPr>
          <w:tblHeader/>
        </w:trPr>
        <w:tc>
          <w:tcPr>
            <w:tcW w:type="dxa" w:w="2600"/>
            <w:shd w:fill="D9E2F3" w:val="clear"/>
            <w:tcMar>
              <w:top w:type="dxa" w:w="60"/>
              <w:left w:type="dxa" w:w="110"/>
              <w:bottom w:type="dxa" w:w="60"/>
              <w:right w:type="dxa" w:w="110"/>
            </w:tcMar>
          </w:tcPr>
          <w:p>
            <w:pPr>
              <w:spacing w:after="40" w:before="40"/>
            </w:pPr>
            <w:r>
              <w:rPr>
                <w:b/>
                <w:bCs/>
                <w:sz w:val="18"/>
                <w:szCs w:val="18"/>
              </w:rPr>
              <w:t xml:space="preserve">Measure</w:t>
            </w:r>
          </w:p>
        </w:tc>
        <w:tc>
          <w:tcPr>
            <w:tcW w:type="dxa" w:w="4600"/>
            <w:shd w:fill="D9E2F3" w:val="clear"/>
            <w:tcMar>
              <w:top w:type="dxa" w:w="60"/>
              <w:left w:type="dxa" w:w="110"/>
              <w:bottom w:type="dxa" w:w="60"/>
              <w:right w:type="dxa" w:w="110"/>
            </w:tcMar>
          </w:tcPr>
          <w:p>
            <w:pPr>
              <w:spacing w:after="40" w:before="40"/>
            </w:pPr>
            <w:r>
              <w:rPr>
                <w:b/>
                <w:bCs/>
                <w:sz w:val="18"/>
                <w:szCs w:val="18"/>
              </w:rPr>
              <w:t xml:space="preserve">DAX</w:t>
            </w:r>
          </w:p>
        </w:tc>
        <w:tc>
          <w:tcPr>
            <w:tcW w:type="dxa" w:w="1800"/>
            <w:shd w:fill="D9E2F3" w:val="clear"/>
            <w:tcMar>
              <w:top w:type="dxa" w:w="60"/>
              <w:left w:type="dxa" w:w="110"/>
              <w:bottom w:type="dxa" w:w="60"/>
              <w:right w:type="dxa" w:w="110"/>
            </w:tcMar>
          </w:tcPr>
          <w:p>
            <w:pPr>
              <w:spacing w:after="40" w:before="40"/>
            </w:pPr>
            <w:r>
              <w:rPr>
                <w:b/>
                <w:bCs/>
                <w:sz w:val="18"/>
                <w:szCs w:val="18"/>
              </w:rPr>
              <w:t xml:space="preserve">Additive?</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Attempted Volume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SUM(fact_payment[is_attempt])</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Successful Volume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SUM(fact_payment[is_success])</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Success Rate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DIVIDE([Successful Volume], [Attempted Volume])</w:t>
            </w:r>
          </w:p>
        </w:tc>
        <w:tc>
          <w:tcPr>
            <w:tcW w:type="dxa" w:w="1800"/>
            <w:tcMar>
              <w:top w:type="dxa" w:w="60"/>
              <w:left w:type="dxa" w:w="110"/>
              <w:bottom w:type="dxa" w:w="60"/>
              <w:right w:type="dxa" w:w="110"/>
            </w:tcMar>
          </w:tcPr>
          <w:p>
            <w:pPr>
              <w:spacing w:after="40" w:before="40"/>
            </w:pPr>
            <w:r>
              <w:rPr>
                <w:b w:val="false"/>
                <w:bCs w:val="false"/>
                <w:sz w:val="18"/>
                <w:szCs w:val="18"/>
              </w:rPr>
              <w:t xml:space="preserve">No</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Gross Payment Value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SUM(fact_payment[gross_usd])</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Merchant Revenue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SUM(fact_payment[merchant_revenue_usd])</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Processing Cost</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SUM(fact_payment[processing_cost_usd])</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Chargeback Cost</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SUM(fact_payment[chargeback_cost_usd])</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Contribution Profit</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[Merchant Revenue] - [Processing Cost] - [Chargeback Cost]</w:t>
            </w:r>
          </w:p>
        </w:tc>
        <w:tc>
          <w:tcPr>
            <w:tcW w:type="dxa" w:w="1800"/>
            <w:tcMar>
              <w:top w:type="dxa" w:w="60"/>
              <w:left w:type="dxa" w:w="110"/>
              <w:bottom w:type="dxa" w:w="60"/>
              <w:right w:type="dxa" w:w="110"/>
            </w:tcMar>
          </w:tcPr>
          <w:p>
            <w:pPr>
              <w:spacing w:after="40" w:before="40"/>
            </w:pPr>
            <w:r>
              <w:rPr>
                <w:b w:val="false"/>
                <w:bCs w:val="false"/>
                <w:sz w:val="18"/>
                <w:szCs w:val="18"/>
              </w:rPr>
              <w:t xml:space="preserve">Yes</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Contribution per Successful Txn</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DIVIDE([Contribution Profit], [Successful Volume])</w:t>
            </w:r>
          </w:p>
        </w:tc>
        <w:tc>
          <w:tcPr>
            <w:tcW w:type="dxa" w:w="1800"/>
            <w:tcMar>
              <w:top w:type="dxa" w:w="60"/>
              <w:left w:type="dxa" w:w="110"/>
              <w:bottom w:type="dxa" w:w="60"/>
              <w:right w:type="dxa" w:w="110"/>
            </w:tcMar>
          </w:tcPr>
          <w:p>
            <w:pPr>
              <w:spacing w:after="40" w:before="40"/>
            </w:pPr>
            <w:r>
              <w:rPr>
                <w:b w:val="false"/>
                <w:bCs w:val="false"/>
                <w:sz w:val="18"/>
                <w:szCs w:val="18"/>
              </w:rPr>
              <w:t xml:space="preserve">No</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Effective Take Rate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DIVIDE([Merchant Revenue], [Gross Payment Value])</w:t>
            </w:r>
          </w:p>
        </w:tc>
        <w:tc>
          <w:tcPr>
            <w:tcW w:type="dxa" w:w="1800"/>
            <w:tcMar>
              <w:top w:type="dxa" w:w="60"/>
              <w:left w:type="dxa" w:w="110"/>
              <w:bottom w:type="dxa" w:w="60"/>
              <w:right w:type="dxa" w:w="110"/>
            </w:tcMar>
          </w:tcPr>
          <w:p>
            <w:pPr>
              <w:spacing w:after="40" w:before="40"/>
            </w:pPr>
            <w:r>
              <w:rPr>
                <w:b w:val="false"/>
                <w:bCs w:val="false"/>
                <w:sz w:val="18"/>
                <w:szCs w:val="18"/>
              </w:rPr>
              <w:t xml:space="preserve">No</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Cost per Successful Txn</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DIVIDE([Processing Cost], [Successful Volume])</w:t>
            </w:r>
          </w:p>
        </w:tc>
        <w:tc>
          <w:tcPr>
            <w:tcW w:type="dxa" w:w="1800"/>
            <w:tcMar>
              <w:top w:type="dxa" w:w="60"/>
              <w:left w:type="dxa" w:w="110"/>
              <w:bottom w:type="dxa" w:w="60"/>
              <w:right w:type="dxa" w:w="110"/>
            </w:tcMar>
          </w:tcPr>
          <w:p>
            <w:pPr>
              <w:spacing w:after="40" w:before="40"/>
            </w:pPr>
            <w:r>
              <w:rPr>
                <w:b w:val="false"/>
                <w:bCs w:val="false"/>
                <w:sz w:val="18"/>
                <w:szCs w:val="18"/>
              </w:rPr>
              <w:t xml:space="preserve">No</w:t>
            </w:r>
          </w:p>
        </w:tc>
      </w:tr>
      <w:tr>
        <w:tc>
          <w:tcPr>
            <w:tcW w:type="dxa" w:w="2600"/>
            <w:tcMar>
              <w:top w:type="dxa" w:w="60"/>
              <w:left w:type="dxa" w:w="110"/>
              <w:bottom w:type="dxa" w:w="60"/>
              <w:right w:type="dxa" w:w="110"/>
            </w:tcMar>
          </w:tcPr>
          <w:p>
            <w:pPr>
              <w:spacing w:after="40" w:before="40"/>
            </w:pPr>
            <w:r>
              <w:rPr>
                <w:b w:val="false"/>
                <w:bCs w:val="false"/>
                <w:sz w:val="18"/>
                <w:szCs w:val="18"/>
              </w:rPr>
              <w:t xml:space="preserve">Chargeback Rate</w:t>
            </w:r>
          </w:p>
        </w:tc>
        <w:tc>
          <w:tcPr>
            <w:tcW w:type="dxa" w:w="4600"/>
            <w:tcMar>
              <w:top w:type="dxa" w:w="60"/>
              <w:left w:type="dxa" w:w="110"/>
              <w:bottom w:type="dxa" w:w="60"/>
              <w:right w:type="dxa" w:w="110"/>
            </w:tcMar>
          </w:tcPr>
          <w:p>
            <w:pPr>
              <w:spacing w:after="40" w:before="40"/>
            </w:pPr>
            <w:r>
              <w:rPr>
                <w:rFonts w:ascii="Consolas" w:cs="Consolas" w:eastAsia="Consolas" w:hAnsi="Consolas"/>
                <w:b w:val="false"/>
                <w:bCs w:val="false"/>
                <w:sz w:val="18"/>
                <w:szCs w:val="18"/>
              </w:rPr>
              <w:t xml:space="preserve">DIVIDE(SUM(fact_payment[chargeback_count]), [Successful Volume])</w:t>
            </w:r>
          </w:p>
        </w:tc>
        <w:tc>
          <w:tcPr>
            <w:tcW w:type="dxa" w:w="1800"/>
            <w:tcMar>
              <w:top w:type="dxa" w:w="60"/>
              <w:left w:type="dxa" w:w="110"/>
              <w:bottom w:type="dxa" w:w="60"/>
              <w:right w:type="dxa" w:w="110"/>
            </w:tcMar>
          </w:tcPr>
          <w:p>
            <w:pPr>
              <w:spacing w:after="40" w:before="40"/>
            </w:pPr>
            <w:r>
              <w:rPr>
                <w:b w:val="false"/>
                <w:bCs w:val="false"/>
                <w:sz w:val="18"/>
                <w:szCs w:val="18"/>
              </w:rPr>
              <w:t xml:space="preserve">No</w:t>
            </w:r>
          </w:p>
        </w:tc>
      </w:tr>
    </w:tbl>
    <w:p>
      <w:pPr>
        <w:spacing w:after="120"/>
      </w:pPr>
      <w:r>
        <w:rPr>
          <w:b w:val="false"/>
          <w:bCs w:val="false"/>
          <w:i w:val="false"/>
          <w:iCs w:val="false"/>
          <w:sz w:val="20"/>
          <w:szCs w:val="20"/>
        </w:rPr>
        <w:t xml:space="preserve">Two extra measures for the executive page:</w:t>
      </w:r>
    </w:p>
    <w:p>
      <w:pPr>
        <w:shd w:fill="F2F2F2" w:val="clear"/>
        <w:spacing w:after="40" w:before="40"/>
      </w:pPr>
      <w:r>
        <w:rPr>
          <w:rFonts w:ascii="Consolas" w:cs="Consolas" w:eastAsia="Consolas" w:hAnsi="Consolas"/>
          <w:sz w:val="17"/>
          <w:szCs w:val="17"/>
        </w:rPr>
        <w:t xml:space="preserve">Contribution per Txn YoY Change =</w:t>
      </w:r>
    </w:p>
    <w:p>
      <w:pPr>
        <w:shd w:fill="F2F2F2" w:val="clear"/>
        <w:spacing w:after="40" w:before="40"/>
      </w:pPr>
      <w:r>
        <w:rPr>
          <w:rFonts w:ascii="Consolas" w:cs="Consolas" w:eastAsia="Consolas" w:hAnsi="Consolas"/>
          <w:sz w:val="17"/>
          <w:szCs w:val="17"/>
        </w:rPr>
        <w:t xml:space="preserve">VAR Opening = CALCULATE([Contribution per Successful Txn],</w:t>
      </w:r>
    </w:p>
    <w:p>
      <w:pPr>
        <w:shd w:fill="F2F2F2" w:val="clear"/>
        <w:spacing w:after="40" w:before="40"/>
      </w:pPr>
      <w:r>
        <w:rPr>
          <w:rFonts w:ascii="Consolas" w:cs="Consolas" w:eastAsia="Consolas" w:hAnsi="Consolas"/>
          <w:sz w:val="17"/>
          <w:szCs w:val="17"/>
        </w:rPr>
        <w:t xml:space="preserve">    FILTER(ALL(dim_date), dim_date[month_key] = "2025-01"))</w:t>
      </w:r>
    </w:p>
    <w:p>
      <w:pPr>
        <w:shd w:fill="F2F2F2" w:val="clear"/>
        <w:spacing w:after="40" w:before="40"/>
      </w:pPr>
      <w:r>
        <w:rPr>
          <w:rFonts w:ascii="Consolas" w:cs="Consolas" w:eastAsia="Consolas" w:hAnsi="Consolas"/>
          <w:sz w:val="17"/>
          <w:szCs w:val="17"/>
        </w:rPr>
        <w:t xml:space="preserve">RETURN [Contribution per Successful Txn] - Opening</w:t>
      </w:r>
    </w:p>
    <w:p>
      <w:pPr>
        <w:spacing w:after="120"/>
      </w:pPr>
      <w:r>
        <w:rPr>
          <w:b w:val="false"/>
          <w:bCs w:val="false"/>
          <w:i w:val="false"/>
          <w:iCs w:val="false"/>
          <w:sz w:val="20"/>
          <w:szCs w:val="20"/>
        </w:rPr>
        <w:t xml:space="preserve"/>
      </w:r>
    </w:p>
    <w:p>
      <w:pPr>
        <w:shd w:fill="F2F2F2" w:val="clear"/>
        <w:spacing w:after="40" w:before="40"/>
      </w:pPr>
      <w:r>
        <w:rPr>
          <w:rFonts w:ascii="Consolas" w:cs="Consolas" w:eastAsia="Consolas" w:hAnsi="Consolas"/>
          <w:sz w:val="17"/>
          <w:szCs w:val="17"/>
        </w:rPr>
        <w:t xml:space="preserve">Quarantined Rows = CALCULATE(COUNTROWS(fact_payment),</w:t>
      </w:r>
    </w:p>
    <w:p>
      <w:pPr>
        <w:shd w:fill="F2F2F2" w:val="clear"/>
        <w:spacing w:after="40" w:before="40"/>
      </w:pPr>
      <w:r>
        <w:rPr>
          <w:rFonts w:ascii="Consolas" w:cs="Consolas" w:eastAsia="Consolas" w:hAnsi="Consolas"/>
          <w:sz w:val="17"/>
          <w:szCs w:val="17"/>
        </w:rPr>
        <w:t xml:space="preserve">    fact_payment[dq_quarantined] = TRUE())</w:t>
      </w:r>
    </w:p>
    <w:p>
      <w:pPr>
        <w:pStyle w:val="Heading1"/>
        <w:spacing w:after="120" w:before="280"/>
      </w:pPr>
      <w:r>
        <w:rPr>
          <w:b/>
          <w:bCs/>
        </w:rPr>
        <w:t xml:space="preserve">5. Report pages</w:t>
      </w:r>
    </w:p>
    <w:p>
      <w:pPr>
        <w:spacing w:after="120"/>
      </w:pPr>
      <w:r>
        <w:rPr>
          <w:b w:val="false"/>
          <w:bCs w:val="false"/>
          <w:i w:val="false"/>
          <w:iCs w:val="false"/>
          <w:sz w:val="20"/>
          <w:szCs w:val="20"/>
        </w:rPr>
        <w:t xml:space="preserve">Four primary visuals plus KPI cards, as the brief caps. Three pages: overview, diagnostic, action.</w:t>
      </w:r>
    </w:p>
    <w:p>
      <w:pPr>
        <w:pStyle w:val="Heading2"/>
        <w:spacing w:after="120" w:before="280"/>
      </w:pPr>
      <w:r>
        <w:rPr>
          <w:b/>
          <w:bCs/>
        </w:rPr>
        <w:t xml:space="preserve">5.1 Page 1 — Executive overview</w:t>
      </w:r>
    </w:p>
    <w:p>
      <w:pPr>
        <w:spacing w:after="120"/>
      </w:pPr>
      <w:r>
        <w:rPr>
          <w:b w:val="false"/>
          <w:bCs w:val="false"/>
          <w:i w:val="false"/>
          <w:iCs w:val="false"/>
          <w:sz w:val="20"/>
          <w:szCs w:val="20"/>
        </w:rPr>
        <w:t xml:space="preserve">Five KPI cards across the top:</w:t>
      </w:r>
    </w:p>
    <w:p>
      <w:pPr>
        <w:pStyle w:val="ListParagraph"/>
        <w:numPr>
          <w:ilvl w:val="0"/>
          <w:numId w:val="3"/>
        </w:numPr>
        <w:spacing w:after="60"/>
      </w:pPr>
      <w:r>
        <w:rPr>
          <w:sz w:val="20"/>
          <w:szCs w:val="20"/>
        </w:rPr>
        <w:t xml:space="preserve">Attempted Volume</w:t>
      </w:r>
    </w:p>
    <w:p>
      <w:pPr>
        <w:pStyle w:val="ListParagraph"/>
        <w:numPr>
          <w:ilvl w:val="0"/>
          <w:numId w:val="3"/>
        </w:numPr>
        <w:spacing w:after="60"/>
      </w:pPr>
      <w:r>
        <w:rPr>
          <w:sz w:val="20"/>
          <w:szCs w:val="20"/>
        </w:rPr>
        <w:t xml:space="preserve">Successful Volume</w:t>
      </w:r>
    </w:p>
    <w:p>
      <w:pPr>
        <w:pStyle w:val="ListParagraph"/>
        <w:numPr>
          <w:ilvl w:val="0"/>
          <w:numId w:val="3"/>
        </w:numPr>
        <w:spacing w:after="60"/>
      </w:pPr>
      <w:r>
        <w:rPr>
          <w:sz w:val="20"/>
          <w:szCs w:val="20"/>
        </w:rPr>
        <w:t xml:space="preserve">Success Rate</w:t>
      </w:r>
    </w:p>
    <w:p>
      <w:pPr>
        <w:pStyle w:val="ListParagraph"/>
        <w:numPr>
          <w:ilvl w:val="0"/>
          <w:numId w:val="3"/>
        </w:numPr>
        <w:spacing w:after="60"/>
      </w:pPr>
      <w:r>
        <w:rPr>
          <w:sz w:val="20"/>
          <w:szCs w:val="20"/>
        </w:rPr>
        <w:t xml:space="preserve">Contribution Profit</w:t>
      </w:r>
    </w:p>
    <w:p>
      <w:pPr>
        <w:pStyle w:val="ListParagraph"/>
        <w:numPr>
          <w:ilvl w:val="0"/>
          <w:numId w:val="3"/>
        </w:numPr>
        <w:spacing w:after="60"/>
      </w:pPr>
      <w:r>
        <w:rPr>
          <w:sz w:val="20"/>
          <w:szCs w:val="20"/>
        </w:rPr>
        <w:t xml:space="preserve">Contribution per Successful Txn — make this one visually dominant, it is the executive KPI</w:t>
      </w:r>
    </w:p>
    <w:p>
      <w:pPr>
        <w:spacing w:after="120"/>
      </w:pPr>
      <w:r>
        <w:rPr>
          <w:b w:val="false"/>
          <w:bCs w:val="false"/>
          <w:i w:val="false"/>
          <w:iCs w:val="false"/>
          <w:sz w:val="20"/>
          <w:szCs w:val="20"/>
        </w:rPr>
        <w:t xml:space="preserve">Visual 1 — Line and clustered column chart. X axis dim_date[month_name]. Column: Contribution Profit. Line: Contribution per Successful Txn on the secondary axis. This single visual is the paradox: the columns rise while the line falls. Title it as a question, not a label: "Why is profit per transaction falling while total profit rises?"</w:t>
      </w:r>
    </w:p>
    <w:p>
      <w:pPr>
        <w:pStyle w:val="Heading2"/>
        <w:spacing w:after="120" w:before="280"/>
      </w:pPr>
      <w:r>
        <w:rPr>
          <w:b/>
          <w:bCs/>
        </w:rPr>
        <w:t xml:space="preserve">5.2 Page 2 — Diagnostic</w:t>
      </w:r>
    </w:p>
    <w:p>
      <w:pPr>
        <w:spacing w:after="120"/>
      </w:pPr>
      <w:r>
        <w:rPr>
          <w:b w:val="false"/>
          <w:bCs w:val="false"/>
          <w:i w:val="false"/>
          <w:iCs w:val="false"/>
          <w:sz w:val="20"/>
          <w:szCs w:val="20"/>
        </w:rPr>
        <w:t xml:space="preserve">Visual 2 — Stacked bar. From analysis_decomposition, filtered to dimension = "Ticket size band". Y axis segment, values mix_effect and within_effect. Shows that the change is composition, not performance, and which bands carry it.</w:t>
      </w:r>
    </w:p>
    <w:p>
      <w:pPr>
        <w:spacing w:after="120"/>
      </w:pPr>
      <w:r>
        <w:rPr>
          <w:b w:val="false"/>
          <w:bCs w:val="false"/>
          <w:i w:val="false"/>
          <w:iCs w:val="false"/>
          <w:sz w:val="20"/>
          <w:szCs w:val="20"/>
        </w:rPr>
        <w:t xml:space="preserve">Visual 3 — Matrix. Rows dim_route[provider], columns dim_ticket_band[ticket_band], values Cost per Successful Txn. Add a second value for Successful Volume so the reader can see where the volume actually sits. Conditional-format the cost column on a colour scale.</w:t>
      </w:r>
    </w:p>
    <w:p>
      <w:pPr>
        <w:spacing w:after="120"/>
      </w:pPr>
      <w:r>
        <w:rPr>
          <w:b w:val="false"/>
          <w:bCs w:val="false"/>
          <w:i w:val="false"/>
          <w:iCs w:val="false"/>
          <w:sz w:val="20"/>
          <w:szCs w:val="20"/>
        </w:rPr>
        <w:t xml:space="preserve">Slicers: dim_date[quarter], dim_merchant[category], dim_route[provider].</w:t>
      </w:r>
    </w:p>
    <w:p>
      <w:pPr>
        <w:pStyle w:val="Heading2"/>
        <w:spacing w:after="120" w:before="280"/>
      </w:pPr>
      <w:r>
        <w:rPr>
          <w:b/>
          <w:bCs/>
        </w:rPr>
        <w:t xml:space="preserve">5.3 Page 3 — Action</w:t>
      </w:r>
    </w:p>
    <w:p>
      <w:pPr>
        <w:spacing w:after="120"/>
      </w:pPr>
      <w:r>
        <w:rPr>
          <w:b w:val="false"/>
          <w:bCs w:val="false"/>
          <w:i w:val="false"/>
          <w:iCs w:val="false"/>
          <w:sz w:val="20"/>
          <w:szCs w:val="20"/>
        </w:rPr>
        <w:t xml:space="preserve">Visual 4 — Waterfall. From analysis_bridge, category step, values value_usd, breakdown category. Walks from the opening contribution per transaction to the closing one through revenue, processing cost and chargeback cost. This is the visual the 60-day plan hangs off.</w:t>
      </w:r>
    </w:p>
    <w:p>
      <w:pPr>
        <w:spacing w:after="120"/>
      </w:pPr>
      <w:r>
        <w:rPr>
          <w:b w:val="false"/>
          <w:bCs w:val="false"/>
          <w:i w:val="false"/>
          <w:iCs w:val="false"/>
          <w:sz w:val="20"/>
          <w:szCs w:val="20"/>
        </w:rPr>
        <w:t xml:space="preserve">Below it, a table of the Task 6 verdicts with driver, type, verdict and effect size. Not a primary visual — a supporting table.</w:t>
      </w:r>
    </w:p>
    <w:p>
      <w:pPr>
        <w:pStyle w:val="Heading1"/>
        <w:spacing w:after="120" w:before="280"/>
      </w:pPr>
      <w:r>
        <w:rPr>
          <w:b/>
          <w:bCs/>
        </w:rPr>
        <w:t xml:space="preserve">6. Non-additive measures: the trap</w:t>
      </w:r>
    </w:p>
    <w:p>
      <w:pPr>
        <w:spacing w:after="120"/>
      </w:pPr>
      <w:r>
        <w:rPr>
          <w:b w:val="false"/>
          <w:bCs w:val="false"/>
          <w:i w:val="false"/>
          <w:iCs w:val="false"/>
          <w:sz w:val="20"/>
          <w:szCs w:val="20"/>
        </w:rPr>
        <w:t xml:space="preserve">Contribution per Successful Txn, Success Rate, Effective Take Rate and Chargeback Rate are ratios. They cannot be summed, and averaging them across segments gives a different answer from computing the ratio on the totals.</w:t>
      </w:r>
    </w:p>
    <w:p>
      <w:pPr>
        <w:spacing w:after="120"/>
      </w:pPr>
      <w:r>
        <w:rPr>
          <w:b w:val="false"/>
          <w:bCs w:val="false"/>
          <w:i w:val="false"/>
          <w:iCs w:val="false"/>
          <w:sz w:val="20"/>
          <w:szCs w:val="20"/>
        </w:rPr>
        <w:t xml:space="preserve">Three rules applied in this report:</w:t>
      </w:r>
    </w:p>
    <w:p>
      <w:pPr>
        <w:pStyle w:val="ListParagraph"/>
        <w:numPr>
          <w:ilvl w:val="0"/>
          <w:numId w:val="3"/>
        </w:numPr>
        <w:spacing w:after="60"/>
      </w:pPr>
      <w:r>
        <w:rPr>
          <w:sz w:val="20"/>
          <w:szCs w:val="20"/>
        </w:rPr>
        <w:t xml:space="preserve">Every ratio is written as DIVIDE of two additive measures, so it recomputes correctly at any filter level rather than aggregating a pre-computed per-row ratio.</w:t>
      </w:r>
    </w:p>
    <w:p>
      <w:pPr>
        <w:pStyle w:val="ListParagraph"/>
        <w:numPr>
          <w:ilvl w:val="0"/>
          <w:numId w:val="3"/>
        </w:numPr>
        <w:spacing w:after="60"/>
      </w:pPr>
      <w:r>
        <w:rPr>
          <w:sz w:val="20"/>
          <w:szCs w:val="20"/>
        </w:rPr>
        <w:t xml:space="preserve">No ratio is ever placed in a stacked or 100% stacked visual, where the reader would naturally read the parts as summing to the whole.</w:t>
      </w:r>
    </w:p>
    <w:p>
      <w:pPr>
        <w:pStyle w:val="ListParagraph"/>
        <w:numPr>
          <w:ilvl w:val="0"/>
          <w:numId w:val="3"/>
        </w:numPr>
        <w:spacing w:after="60"/>
      </w:pPr>
      <w:r>
        <w:rPr>
          <w:sz w:val="20"/>
          <w:szCs w:val="20"/>
        </w:rPr>
        <w:t xml:space="preserve">Ratios are formatted to two decimal places with a currency or percent symbol; additive measures use thousands separators. The formatting itself signals which is which.</w:t>
      </w:r>
    </w:p>
    <w:p>
      <w:pPr>
        <w:spacing w:after="120"/>
      </w:pPr>
      <w:r>
        <w:rPr>
          <w:b w:val="false"/>
          <w:bCs w:val="false"/>
          <w:i w:val="false"/>
          <w:iCs w:val="false"/>
          <w:sz w:val="20"/>
          <w:szCs w:val="20"/>
        </w:rPr>
        <w:t xml:space="preserve">The naming convention carries the same signal: anything containing "per" or "Rate" is non-additive. Say this out loud when presenting — it is the single most common way a dashboard like this misleads.</w:t>
      </w:r>
    </w:p>
    <w:p>
      <w:pPr>
        <w:pStyle w:val="Heading1"/>
        <w:spacing w:after="120" w:before="280"/>
      </w:pPr>
      <w:r>
        <w:rPr>
          <w:b/>
          <w:bCs/>
        </w:rPr>
        <w:t xml:space="preserve">7. Three-minute narrative (SCQA)</w:t>
      </w:r>
    </w:p>
    <w:p>
      <w:pPr>
        <w:spacing w:after="120"/>
      </w:pPr>
      <w:r>
        <w:rPr>
          <w:b/>
          <w:bCs/>
          <w:i w:val="false"/>
          <w:iCs w:val="false"/>
          <w:sz w:val="20"/>
          <w:szCs w:val="20"/>
        </w:rPr>
        <w:t xml:space="preserve">Situation</w:t>
      </w:r>
    </w:p>
    <w:p>
      <w:pPr>
        <w:spacing w:after="120"/>
      </w:pPr>
      <w:r>
        <w:rPr>
          <w:b w:val="false"/>
          <w:bCs w:val="false"/>
          <w:i w:val="false"/>
          <w:iCs w:val="false"/>
          <w:sz w:val="20"/>
          <w:szCs w:val="20"/>
        </w:rPr>
        <w:t xml:space="preserve">Payment volume grew 70 per cent across 2025, from 16,400 attempts in January to 27,900 in December. Total contribution profit grew 13 per cent over the same period. On volume and on absolute profit, the business is growing.</w:t>
      </w:r>
    </w:p>
    <w:p>
      <w:pPr>
        <w:spacing w:after="120"/>
      </w:pPr>
      <w:r>
        <w:rPr>
          <w:b/>
          <w:bCs/>
          <w:i w:val="false"/>
          <w:iCs w:val="false"/>
          <w:sz w:val="20"/>
          <w:szCs w:val="20"/>
        </w:rPr>
        <w:t xml:space="preserve">Complication</w:t>
      </w:r>
    </w:p>
    <w:p>
      <w:pPr>
        <w:spacing w:after="120"/>
      </w:pPr>
      <w:r>
        <w:rPr>
          <w:b w:val="false"/>
          <w:bCs w:val="false"/>
          <w:i w:val="false"/>
          <w:iCs w:val="false"/>
          <w:sz w:val="20"/>
          <w:szCs w:val="20"/>
        </w:rPr>
        <w:t xml:space="preserve">Contribution profit per successful transaction fell 33 per cent, from $1.61 to $1.08. Every additional transaction is worth a third less than it was. Four executives proposed four different explanations and the reporting itself was in doubt.</w:t>
      </w:r>
    </w:p>
    <w:p>
      <w:pPr>
        <w:spacing w:after="120"/>
      </w:pPr>
      <w:r>
        <w:rPr>
          <w:b/>
          <w:bCs/>
          <w:i w:val="false"/>
          <w:iCs w:val="false"/>
          <w:sz w:val="20"/>
          <w:szCs w:val="20"/>
        </w:rPr>
        <w:t xml:space="preserve">Question</w:t>
      </w:r>
    </w:p>
    <w:p>
      <w:pPr>
        <w:spacing w:after="120"/>
      </w:pPr>
      <w:r>
        <w:rPr>
          <w:b w:val="false"/>
          <w:bCs w:val="false"/>
          <w:i w:val="false"/>
          <w:iCs w:val="false"/>
          <w:sz w:val="20"/>
          <w:szCs w:val="20"/>
        </w:rPr>
        <w:t xml:space="preserve">Is this a performance problem or a composition problem, and what should we change in the next 60 days?</w:t>
      </w:r>
    </w:p>
    <w:p>
      <w:pPr>
        <w:spacing w:after="120"/>
      </w:pPr>
      <w:r>
        <w:rPr>
          <w:b/>
          <w:bCs/>
          <w:i w:val="false"/>
          <w:iCs w:val="false"/>
          <w:sz w:val="20"/>
          <w:szCs w:val="20"/>
        </w:rPr>
        <w:t xml:space="preserve">Answer</w:t>
      </w:r>
    </w:p>
    <w:p>
      <w:pPr>
        <w:spacing w:after="120"/>
      </w:pPr>
      <w:r>
        <w:rPr>
          <w:b w:val="false"/>
          <w:bCs w:val="false"/>
          <w:i w:val="false"/>
          <w:iCs w:val="false"/>
          <w:sz w:val="20"/>
          <w:szCs w:val="20"/>
        </w:rPr>
        <w:t xml:space="preserve">It is composition. 88.6 per cent of the decline is the mix of transaction sizes shifting, not any segment performing worse. Large tickets over $500 fell from 10.2 to 7.0 per cent of volume and account for 39 per cent of the decline on their own — while their own economics improved. Small tickets under $25 nearly tripled their share.</w:t>
      </w:r>
    </w:p>
    <w:p>
      <w:pPr>
        <w:spacing w:after="120"/>
      </w:pPr>
      <w:r>
        <w:rPr>
          <w:b w:val="false"/>
          <w:bCs w:val="false"/>
          <w:i w:val="false"/>
          <w:iCs w:val="false"/>
          <w:sz w:val="20"/>
          <w:szCs w:val="20"/>
        </w:rPr>
        <w:t xml:space="preserve">Costs did not cause this. Processing cost per transaction fell from $1.08 to $0.97 and chargeback cost fell from $0.25 to $0.15. Merchant pricing did not cause it either: no pricing plan was repriced downward, and the effective take rate within every plan is flat or rising.</w:t>
      </w:r>
    </w:p>
    <w:p>
      <w:pPr>
        <w:spacing w:after="120"/>
      </w:pPr>
      <w:r>
        <w:rPr>
          <w:b w:val="false"/>
          <w:bCs w:val="false"/>
          <w:i w:val="false"/>
          <w:iCs w:val="false"/>
          <w:sz w:val="20"/>
          <w:szCs w:val="20"/>
        </w:rPr>
        <w:t xml:space="preserve">The fraud hypothesis is disproved outright, and disproved by a data-quality finding rather than a business one. Fraud scores appear to spike from September, but that is one model version emitting scores on a 0 to 100 scale instead of 0 to 1. Normalised, the decline rate moves 0.014 percentage points.</w:t>
      </w:r>
    </w:p>
    <w:p>
      <w:pPr>
        <w:spacing w:after="120"/>
      </w:pPr>
      <w:r>
        <w:rPr>
          <w:b w:val="false"/>
          <w:bCs w:val="false"/>
          <w:i w:val="false"/>
          <w:iCs w:val="false"/>
          <w:sz w:val="20"/>
          <w:szCs w:val="20"/>
        </w:rPr>
        <w:t xml:space="preserve">There is one real operational finding worth acting on. The routing table keys on merchant country rather than transaction size, so small-ticket traffic is routed to the provider with the highest fixed fee — and that provider raised its fixed fee 51 per cent mid-year. On transactions under $25 the cost rose 43 per cent. That is a fixable routing rule, not a pricing negotiation.</w:t>
      </w:r>
    </w:p>
    <w:p>
      <w:pPr>
        <w:spacing w:after="120"/>
      </w:pPr>
      <w:r>
        <w:rPr>
          <w:b w:val="false"/>
          <w:bCs w:val="false"/>
          <w:i w:val="false"/>
          <w:iCs w:val="false"/>
          <w:sz w:val="20"/>
          <w:szCs w:val="20"/>
        </w:rPr>
        <w:t xml:space="preserve">So: the diagnosis is dilution of a high-value book, not deterioration of it. The 60-day plan should protect large-ticket volume, fix ticket-size-aware routing, and put a minimum per-transaction fee floor under the small-ticket cohort that is now loss-making.</w:t>
      </w:r>
    </w:p>
    <w:p>
      <w:pPr>
        <w:pStyle w:val="Heading1"/>
        <w:spacing w:after="120" w:before="280"/>
      </w:pPr>
      <w:r>
        <w:rPr>
          <w:b/>
          <w:bCs/>
        </w:rPr>
        <w:t xml:space="preserve">8. What the dashboard deliberately does not do</w:t>
      </w:r>
    </w:p>
    <w:p>
      <w:pPr>
        <w:pStyle w:val="ListParagraph"/>
        <w:numPr>
          <w:ilvl w:val="0"/>
          <w:numId w:val="3"/>
        </w:numPr>
        <w:spacing w:after="60"/>
      </w:pPr>
      <w:r>
        <w:rPr>
          <w:sz w:val="20"/>
          <w:szCs w:val="20"/>
        </w:rPr>
        <w:t xml:space="preserve">It does not let a user slice Contribution per Successful Txn by a dimension whose weights are shifting without also showing volume alongside it. Reading the ratio without the weight is how the mix effect gets missed.</w:t>
      </w:r>
    </w:p>
    <w:p>
      <w:pPr>
        <w:pStyle w:val="ListParagraph"/>
        <w:numPr>
          <w:ilvl w:val="0"/>
          <w:numId w:val="3"/>
        </w:numPr>
        <w:spacing w:after="60"/>
      </w:pPr>
      <w:r>
        <w:rPr>
          <w:sz w:val="20"/>
          <w:szCs w:val="20"/>
        </w:rPr>
        <w:t xml:space="preserve">It does not expose raw risk_score. Only the normalised score is in the model, because the raw values are not comparable across model versions.</w:t>
      </w:r>
    </w:p>
    <w:p>
      <w:pPr>
        <w:pStyle w:val="ListParagraph"/>
        <w:numPr>
          <w:ilvl w:val="0"/>
          <w:numId w:val="3"/>
        </w:numPr>
        <w:spacing w:after="60"/>
      </w:pPr>
      <w:r>
        <w:rPr>
          <w:sz w:val="20"/>
          <w:szCs w:val="20"/>
        </w:rPr>
        <w:t xml:space="preserve">It does not include quarantined rows in any measure. They remain in the fact table, flagged, so the count can be reported.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6"/>
      <w:szCs w:val="26"/>
    </w:rPr>
  </w:style>
  <w:style w:type="paragraph" w:styleId="Heading2">
    <w:name w:val="Heading 2"/>
    <w:basedOn w:val="Normal"/>
    <w:next w:val="Normal"/>
    <w:qFormat/>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2026-09-15T10:56:52.159Z</dcterms:created>
  <dcterms:modified xsi:type="dcterms:W3CDTF">2026-09-15T10:56:52.170Z</dcterms:modified>
</cp:coreProperties>
</file>

<file path=docProps/custom.xml><?xml version="1.0" encoding="utf-8"?>
<Properties xmlns="http://schemas.openxmlformats.org/officeDocument/2006/custom-properties" xmlns:vt="http://schemas.openxmlformats.org/officeDocument/2006/docPropsVTypes"/>
</file>