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Login 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l_id int identity(1,1) primary key,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Username varchar(30)  not null,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Password varchar(30) not null,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UserType varchar(30) not null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table UserRegistration(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u_id int identity(1,1) primary key,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FirstName varchar(30) not null,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LastName varchar(30),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Age int,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Gender varchar(10),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Address varchar(max),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PhoneNumber Numeric,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l_id int FOREIGN KEY REFERENCES Login(l_id) ON DELETE CASCADE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create table AssetMaster(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am_id int identity(1,1) primary key,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am_atype_id varchar(40),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am_make_id numeric,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am_ad_id numeric(20),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am_model varchar(40),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am_snumber varchar(20),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am_myyear varchar(10),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am_pdate date,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am_waranty varchar(20),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am_form date,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am_to date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