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DA06" w14:textId="22A2FB02" w:rsidR="00696946" w:rsidRPr="00696946" w:rsidRDefault="00696946" w:rsidP="00696946">
      <w:pPr>
        <w:pStyle w:val="Title"/>
      </w:pPr>
      <w:r w:rsidRPr="00696946">
        <w:t>Design Document: Architecture and Cluster Sizing</w:t>
      </w:r>
    </w:p>
    <w:p w14:paraId="477F6AE1" w14:textId="33A9BF04" w:rsidR="00696946" w:rsidRPr="00696946" w:rsidRDefault="00696946" w:rsidP="00696946">
      <w:pPr>
        <w:pStyle w:val="Heading1"/>
      </w:pPr>
      <w:r w:rsidRPr="00696946">
        <w:t>Table of Contents</w:t>
      </w:r>
    </w:p>
    <w:p w14:paraId="7E340ACF" w14:textId="77777777" w:rsidR="00696946" w:rsidRPr="0017438A" w:rsidRDefault="00696946" w:rsidP="0017438A">
      <w:pPr>
        <w:pStyle w:val="Heading4"/>
        <w:rPr>
          <w:i w:val="0"/>
          <w:iCs w:val="0"/>
        </w:rPr>
      </w:pPr>
      <w:r w:rsidRPr="0017438A">
        <w:rPr>
          <w:i w:val="0"/>
          <w:iCs w:val="0"/>
        </w:rPr>
        <w:t>1. Introduction</w:t>
      </w:r>
    </w:p>
    <w:p w14:paraId="2D8F9592" w14:textId="77777777" w:rsidR="00696946" w:rsidRPr="0017438A" w:rsidRDefault="00696946" w:rsidP="0017438A">
      <w:pPr>
        <w:pStyle w:val="Heading4"/>
        <w:rPr>
          <w:i w:val="0"/>
          <w:iCs w:val="0"/>
        </w:rPr>
      </w:pPr>
      <w:r w:rsidRPr="0017438A">
        <w:rPr>
          <w:i w:val="0"/>
          <w:iCs w:val="0"/>
        </w:rPr>
        <w:t>2. Architecture Overview</w:t>
      </w:r>
    </w:p>
    <w:p w14:paraId="7869CAF1" w14:textId="77777777" w:rsidR="00696946" w:rsidRPr="0017438A" w:rsidRDefault="00696946" w:rsidP="0017438A">
      <w:pPr>
        <w:pStyle w:val="Heading4"/>
        <w:rPr>
          <w:i w:val="0"/>
          <w:iCs w:val="0"/>
        </w:rPr>
      </w:pPr>
      <w:r w:rsidRPr="0017438A">
        <w:rPr>
          <w:i w:val="0"/>
          <w:iCs w:val="0"/>
        </w:rPr>
        <w:t xml:space="preserve">    1. Components</w:t>
      </w:r>
    </w:p>
    <w:p w14:paraId="0D9B75A4" w14:textId="77777777" w:rsidR="00696946" w:rsidRPr="0017438A" w:rsidRDefault="00696946" w:rsidP="0017438A">
      <w:pPr>
        <w:pStyle w:val="Heading4"/>
        <w:rPr>
          <w:i w:val="0"/>
          <w:iCs w:val="0"/>
        </w:rPr>
      </w:pPr>
      <w:r w:rsidRPr="0017438A">
        <w:rPr>
          <w:i w:val="0"/>
          <w:iCs w:val="0"/>
        </w:rPr>
        <w:t xml:space="preserve">    2. Interactions</w:t>
      </w:r>
    </w:p>
    <w:p w14:paraId="1FFCD23F" w14:textId="77777777" w:rsidR="00696946" w:rsidRPr="0017438A" w:rsidRDefault="00696946" w:rsidP="0017438A">
      <w:pPr>
        <w:pStyle w:val="Heading4"/>
        <w:rPr>
          <w:i w:val="0"/>
          <w:iCs w:val="0"/>
        </w:rPr>
      </w:pPr>
      <w:r w:rsidRPr="0017438A">
        <w:rPr>
          <w:i w:val="0"/>
          <w:iCs w:val="0"/>
        </w:rPr>
        <w:t>3. Cluster Sizing</w:t>
      </w:r>
    </w:p>
    <w:p w14:paraId="411A812B" w14:textId="77777777" w:rsidR="00696946" w:rsidRPr="0017438A" w:rsidRDefault="00696946" w:rsidP="0017438A">
      <w:pPr>
        <w:pStyle w:val="Heading4"/>
        <w:rPr>
          <w:i w:val="0"/>
          <w:iCs w:val="0"/>
        </w:rPr>
      </w:pPr>
      <w:r w:rsidRPr="0017438A">
        <w:rPr>
          <w:i w:val="0"/>
          <w:iCs w:val="0"/>
        </w:rPr>
        <w:t xml:space="preserve">    1. Methodology</w:t>
      </w:r>
    </w:p>
    <w:p w14:paraId="30DA36FF" w14:textId="77777777" w:rsidR="00696946" w:rsidRPr="0017438A" w:rsidRDefault="00696946" w:rsidP="0017438A">
      <w:pPr>
        <w:pStyle w:val="Heading4"/>
        <w:rPr>
          <w:i w:val="0"/>
          <w:iCs w:val="0"/>
        </w:rPr>
      </w:pPr>
      <w:r w:rsidRPr="0017438A">
        <w:rPr>
          <w:i w:val="0"/>
          <w:iCs w:val="0"/>
        </w:rPr>
        <w:t xml:space="preserve">    2. Requirements</w:t>
      </w:r>
    </w:p>
    <w:p w14:paraId="3E7CAF73" w14:textId="77777777" w:rsidR="00696946" w:rsidRPr="0017438A" w:rsidRDefault="00696946" w:rsidP="0017438A">
      <w:pPr>
        <w:pStyle w:val="Heading4"/>
        <w:rPr>
          <w:i w:val="0"/>
          <w:iCs w:val="0"/>
        </w:rPr>
      </w:pPr>
      <w:r w:rsidRPr="0017438A">
        <w:rPr>
          <w:i w:val="0"/>
          <w:iCs w:val="0"/>
        </w:rPr>
        <w:t xml:space="preserve">    3. Sizing Considerations</w:t>
      </w:r>
    </w:p>
    <w:p w14:paraId="5063AE4F" w14:textId="77777777" w:rsidR="00696946" w:rsidRPr="0017438A" w:rsidRDefault="00696946" w:rsidP="0017438A">
      <w:pPr>
        <w:pStyle w:val="Heading4"/>
        <w:rPr>
          <w:i w:val="0"/>
          <w:iCs w:val="0"/>
        </w:rPr>
      </w:pPr>
      <w:r w:rsidRPr="0017438A">
        <w:rPr>
          <w:i w:val="0"/>
          <w:iCs w:val="0"/>
        </w:rPr>
        <w:t>4. Deployment Strategy</w:t>
      </w:r>
    </w:p>
    <w:p w14:paraId="1B22FD3E" w14:textId="77777777" w:rsidR="00696946" w:rsidRPr="0017438A" w:rsidRDefault="00696946" w:rsidP="0017438A">
      <w:pPr>
        <w:pStyle w:val="Heading4"/>
        <w:rPr>
          <w:i w:val="0"/>
          <w:iCs w:val="0"/>
        </w:rPr>
      </w:pPr>
      <w:r w:rsidRPr="0017438A">
        <w:rPr>
          <w:i w:val="0"/>
          <w:iCs w:val="0"/>
        </w:rPr>
        <w:t>5. Monitoring and Maintenance</w:t>
      </w:r>
    </w:p>
    <w:p w14:paraId="285A069F" w14:textId="77777777" w:rsidR="00696946" w:rsidRPr="0017438A" w:rsidRDefault="00696946" w:rsidP="0017438A">
      <w:pPr>
        <w:pStyle w:val="Heading4"/>
        <w:rPr>
          <w:i w:val="0"/>
          <w:iCs w:val="0"/>
        </w:rPr>
      </w:pPr>
      <w:r w:rsidRPr="0017438A">
        <w:rPr>
          <w:i w:val="0"/>
          <w:iCs w:val="0"/>
        </w:rPr>
        <w:t xml:space="preserve">    1. Monitoring Tools</w:t>
      </w:r>
    </w:p>
    <w:p w14:paraId="20BCC619" w14:textId="77777777" w:rsidR="00696946" w:rsidRPr="0017438A" w:rsidRDefault="00696946" w:rsidP="0017438A">
      <w:pPr>
        <w:pStyle w:val="Heading4"/>
        <w:rPr>
          <w:i w:val="0"/>
          <w:iCs w:val="0"/>
        </w:rPr>
      </w:pPr>
      <w:r w:rsidRPr="0017438A">
        <w:rPr>
          <w:i w:val="0"/>
          <w:iCs w:val="0"/>
        </w:rPr>
        <w:t xml:space="preserve">    2. Maintenance Processes</w:t>
      </w:r>
    </w:p>
    <w:p w14:paraId="050879BD" w14:textId="77777777" w:rsidR="00696946" w:rsidRPr="0017438A" w:rsidRDefault="00696946" w:rsidP="0017438A">
      <w:pPr>
        <w:pStyle w:val="Heading4"/>
        <w:rPr>
          <w:i w:val="0"/>
          <w:iCs w:val="0"/>
        </w:rPr>
      </w:pPr>
      <w:r w:rsidRPr="0017438A">
        <w:rPr>
          <w:i w:val="0"/>
          <w:iCs w:val="0"/>
        </w:rPr>
        <w:t>6. Security Measures</w:t>
      </w:r>
    </w:p>
    <w:p w14:paraId="3132F42B" w14:textId="77777777" w:rsidR="00696946" w:rsidRPr="0017438A" w:rsidRDefault="00696946" w:rsidP="0017438A">
      <w:pPr>
        <w:pStyle w:val="Heading4"/>
        <w:rPr>
          <w:i w:val="0"/>
          <w:iCs w:val="0"/>
        </w:rPr>
      </w:pPr>
      <w:r w:rsidRPr="0017438A">
        <w:rPr>
          <w:i w:val="0"/>
          <w:iCs w:val="0"/>
        </w:rPr>
        <w:t>7. Conclusion</w:t>
      </w:r>
    </w:p>
    <w:p w14:paraId="0ACDEB6B" w14:textId="77777777" w:rsidR="00696946" w:rsidRPr="00696946" w:rsidRDefault="00696946" w:rsidP="00696946">
      <w:pPr>
        <w:rPr>
          <w:rFonts w:asciiTheme="majorHAnsi" w:eastAsiaTheme="majorEastAsia" w:hAnsiTheme="majorHAnsi" w:cstheme="majorBidi"/>
          <w:spacing w:val="-10"/>
          <w:kern w:val="28"/>
          <w:sz w:val="56"/>
          <w:szCs w:val="56"/>
        </w:rPr>
      </w:pPr>
    </w:p>
    <w:p w14:paraId="3F1E6AC3" w14:textId="77777777" w:rsidR="00696946" w:rsidRDefault="00696946" w:rsidP="00696946">
      <w:pPr>
        <w:pStyle w:val="Heading1"/>
      </w:pPr>
    </w:p>
    <w:p w14:paraId="7D3AA093" w14:textId="77777777" w:rsidR="0017438A" w:rsidRDefault="0017438A" w:rsidP="0017438A"/>
    <w:p w14:paraId="224EF6AB" w14:textId="77777777" w:rsidR="0017438A" w:rsidRDefault="0017438A" w:rsidP="0017438A"/>
    <w:p w14:paraId="6FC257F2" w14:textId="77777777" w:rsidR="0017438A" w:rsidRDefault="0017438A" w:rsidP="0017438A"/>
    <w:p w14:paraId="6F956B6C" w14:textId="77777777" w:rsidR="0017438A" w:rsidRDefault="0017438A" w:rsidP="0017438A"/>
    <w:p w14:paraId="0686C3F7" w14:textId="77777777" w:rsidR="0017438A" w:rsidRDefault="0017438A" w:rsidP="0017438A"/>
    <w:p w14:paraId="773702E1" w14:textId="77777777" w:rsidR="0017438A" w:rsidRPr="0017438A" w:rsidRDefault="0017438A" w:rsidP="0017438A"/>
    <w:p w14:paraId="4F05827D" w14:textId="77777777" w:rsidR="00696946" w:rsidRDefault="00696946" w:rsidP="00696946">
      <w:pPr>
        <w:pStyle w:val="Heading1"/>
      </w:pPr>
    </w:p>
    <w:p w14:paraId="41760ADA" w14:textId="77777777" w:rsidR="00696946" w:rsidRDefault="00696946" w:rsidP="00696946">
      <w:pPr>
        <w:pStyle w:val="Heading1"/>
      </w:pPr>
    </w:p>
    <w:p w14:paraId="0F7F586E" w14:textId="216BD924" w:rsidR="00696946" w:rsidRPr="00696946" w:rsidRDefault="00696946" w:rsidP="00696946">
      <w:pPr>
        <w:pStyle w:val="Heading1"/>
      </w:pPr>
      <w:r w:rsidRPr="00696946">
        <w:t>1. Introduction</w:t>
      </w:r>
    </w:p>
    <w:p w14:paraId="219FDA1C" w14:textId="0C489CEB" w:rsidR="00696946" w:rsidRDefault="00696946" w:rsidP="00696946">
      <w:r w:rsidRPr="00696946">
        <w:t xml:space="preserve">This document outlines the architecture and cluster sizing considerations for the deployment of a </w:t>
      </w:r>
      <w:r w:rsidR="0017438A" w:rsidRPr="0017438A">
        <w:rPr>
          <w:lang w:val="en-US"/>
        </w:rPr>
        <w:t>Streaming platform</w:t>
      </w:r>
      <w:r w:rsidRPr="00696946">
        <w:t xml:space="preserve"> utilizing AWS services in the Stockholm Region. It provides a detailed overview of the components, their interactions, and the methodology used for cluster sizing.</w:t>
      </w:r>
    </w:p>
    <w:p w14:paraId="3CAA4EA8" w14:textId="77777777" w:rsidR="00696946" w:rsidRPr="00696946" w:rsidRDefault="00696946" w:rsidP="00696946"/>
    <w:p w14:paraId="066CC26F" w14:textId="6C9852E7" w:rsidR="00696946" w:rsidRDefault="00696946" w:rsidP="00696946">
      <w:pPr>
        <w:pStyle w:val="Heading2"/>
      </w:pPr>
      <w:r w:rsidRPr="00696946">
        <w:t xml:space="preserve"> 2. Architecture Overview</w:t>
      </w:r>
    </w:p>
    <w:p w14:paraId="70D21794" w14:textId="77777777" w:rsidR="00696946" w:rsidRPr="00696946" w:rsidRDefault="00696946" w:rsidP="00696946"/>
    <w:p w14:paraId="6207748D" w14:textId="46DF78DC" w:rsidR="00696946" w:rsidRDefault="00696946" w:rsidP="00696946">
      <w:r w:rsidRPr="00696946">
        <w:t>The architecture utilizes AWS services, specifically Amazon EKS for Kubernetes deployment, in the Stockholm Region with three Availability Zones (AZs).</w:t>
      </w:r>
    </w:p>
    <w:p w14:paraId="6F5B4119" w14:textId="77777777" w:rsidR="00696946" w:rsidRPr="00696946" w:rsidRDefault="00696946" w:rsidP="00696946"/>
    <w:p w14:paraId="08A2BDE8" w14:textId="0412883D" w:rsidR="00696946" w:rsidRPr="00696946" w:rsidRDefault="00696946" w:rsidP="00696946">
      <w:pPr>
        <w:pStyle w:val="Heading2"/>
      </w:pPr>
      <w:r w:rsidRPr="00696946">
        <w:t>2.1 Components</w:t>
      </w:r>
    </w:p>
    <w:p w14:paraId="665C2A45" w14:textId="58B89832" w:rsidR="00696946" w:rsidRPr="00696946" w:rsidRDefault="00696946" w:rsidP="00696946">
      <w:r w:rsidRPr="0017438A">
        <w:rPr>
          <w:b/>
          <w:bCs/>
        </w:rPr>
        <w:t>EKS Cluster</w:t>
      </w:r>
      <w:r w:rsidRPr="00696946">
        <w:t>: Utilized for Kubernetes deployment.</w:t>
      </w:r>
    </w:p>
    <w:p w14:paraId="78CE93B9" w14:textId="67A78CE3" w:rsidR="00696946" w:rsidRPr="00696946" w:rsidRDefault="00696946" w:rsidP="00696946">
      <w:r w:rsidRPr="0017438A">
        <w:rPr>
          <w:b/>
          <w:bCs/>
        </w:rPr>
        <w:t>Node Pools</w:t>
      </w:r>
      <w:r w:rsidRPr="00696946">
        <w:t>: Three node pools, one for each AZ, consisting of m5.xlarge instances with the following specifications:</w:t>
      </w:r>
    </w:p>
    <w:p w14:paraId="2806074F" w14:textId="77777777" w:rsidR="00696946" w:rsidRPr="00696946" w:rsidRDefault="00696946" w:rsidP="00696946">
      <w:r w:rsidRPr="00696946">
        <w:t xml:space="preserve">    - Min: 3 nodes</w:t>
      </w:r>
    </w:p>
    <w:p w14:paraId="0A533925" w14:textId="77777777" w:rsidR="00696946" w:rsidRPr="00696946" w:rsidRDefault="00696946" w:rsidP="00696946">
      <w:r w:rsidRPr="00696946">
        <w:t xml:space="preserve">    - Desired: 3 nodes</w:t>
      </w:r>
    </w:p>
    <w:p w14:paraId="35C3F2F2" w14:textId="77777777" w:rsidR="00696946" w:rsidRPr="00696946" w:rsidRDefault="00696946" w:rsidP="00696946">
      <w:r w:rsidRPr="00696946">
        <w:t xml:space="preserve">    - Max: 4 nodes</w:t>
      </w:r>
    </w:p>
    <w:p w14:paraId="394BF1BA" w14:textId="0551F224" w:rsidR="00696946" w:rsidRPr="00696946" w:rsidRDefault="00696946" w:rsidP="00696946">
      <w:r w:rsidRPr="0017438A">
        <w:rPr>
          <w:b/>
          <w:bCs/>
        </w:rPr>
        <w:t>Brokers</w:t>
      </w:r>
      <w:r w:rsidRPr="00696946">
        <w:t>: Two brokers per AZ, distributed across different nodes.</w:t>
      </w:r>
    </w:p>
    <w:p w14:paraId="31852ECF" w14:textId="227F4322" w:rsidR="00696946" w:rsidRPr="00696946" w:rsidRDefault="00696946" w:rsidP="00696946">
      <w:r w:rsidRPr="0017438A">
        <w:rPr>
          <w:b/>
          <w:bCs/>
        </w:rPr>
        <w:t>Shared Services</w:t>
      </w:r>
      <w:r w:rsidRPr="00696946">
        <w:t>:</w:t>
      </w:r>
    </w:p>
    <w:p w14:paraId="5D61848D" w14:textId="1E7AF5EB" w:rsidR="00696946" w:rsidRPr="00696946" w:rsidRDefault="00696946" w:rsidP="00696946">
      <w:r w:rsidRPr="00696946">
        <w:t xml:space="preserve">    Zookeeper</w:t>
      </w:r>
    </w:p>
    <w:p w14:paraId="01270EC3" w14:textId="1D0F63B7" w:rsidR="00696946" w:rsidRPr="00696946" w:rsidRDefault="00696946" w:rsidP="00696946">
      <w:r w:rsidRPr="00696946">
        <w:t xml:space="preserve">    Schema Registry</w:t>
      </w:r>
    </w:p>
    <w:p w14:paraId="526DF3C7" w14:textId="7B2DDCC5" w:rsidR="00696946" w:rsidRPr="00696946" w:rsidRDefault="00696946" w:rsidP="00696946">
      <w:r w:rsidRPr="00696946">
        <w:t xml:space="preserve">    Ksqldb</w:t>
      </w:r>
    </w:p>
    <w:p w14:paraId="03FCF827" w14:textId="1ADD4CDA" w:rsidR="00696946" w:rsidRDefault="00696946" w:rsidP="00696946">
      <w:r w:rsidRPr="00696946">
        <w:t xml:space="preserve">    Connect Control Centre</w:t>
      </w:r>
    </w:p>
    <w:p w14:paraId="0E91ED17" w14:textId="4D9BC47D" w:rsidR="0017438A" w:rsidRPr="0017438A" w:rsidRDefault="0017438A" w:rsidP="00696946">
      <w:pPr>
        <w:rPr>
          <w:lang w:val="sv-SE"/>
        </w:rPr>
      </w:pPr>
      <w:r>
        <w:rPr>
          <w:lang w:val="sv-SE"/>
        </w:rPr>
        <w:t xml:space="preserve">    Rest Proxy</w:t>
      </w:r>
    </w:p>
    <w:p w14:paraId="65949195" w14:textId="77777777" w:rsidR="00696946" w:rsidRPr="00696946" w:rsidRDefault="00696946" w:rsidP="00696946"/>
    <w:p w14:paraId="1BE4DD84" w14:textId="0214460A" w:rsidR="00696946" w:rsidRPr="00696946" w:rsidRDefault="00696946" w:rsidP="00696946">
      <w:pPr>
        <w:pStyle w:val="Heading2"/>
      </w:pPr>
      <w:r w:rsidRPr="00696946">
        <w:t>2.2 Interactions</w:t>
      </w:r>
    </w:p>
    <w:p w14:paraId="3612D12B" w14:textId="77777777" w:rsidR="00696946" w:rsidRPr="00696946" w:rsidRDefault="00696946" w:rsidP="00696946">
      <w:r w:rsidRPr="00696946">
        <w:t>The brokers are distributed across different nodes within each AZ. Shared services such as Zookeeper, Schema Registry, Ksqldb, and Connect Control Centre are deployed on separate nodes within each AZ.</w:t>
      </w:r>
    </w:p>
    <w:p w14:paraId="0AEF2BA7" w14:textId="77777777" w:rsidR="00696946" w:rsidRPr="00696946" w:rsidRDefault="00696946" w:rsidP="00696946">
      <w:pPr>
        <w:rPr>
          <w:rFonts w:asciiTheme="majorHAnsi" w:eastAsiaTheme="majorEastAsia" w:hAnsiTheme="majorHAnsi" w:cstheme="majorBidi"/>
          <w:spacing w:val="-10"/>
          <w:kern w:val="28"/>
          <w:sz w:val="56"/>
          <w:szCs w:val="56"/>
        </w:rPr>
      </w:pPr>
    </w:p>
    <w:p w14:paraId="4D584438" w14:textId="55F83ACF" w:rsidR="00696946" w:rsidRPr="00696946" w:rsidRDefault="00696946" w:rsidP="00696946">
      <w:pPr>
        <w:pStyle w:val="Heading2"/>
      </w:pPr>
      <w:r w:rsidRPr="00696946">
        <w:t>3. Cluster Sizing</w:t>
      </w:r>
    </w:p>
    <w:p w14:paraId="39A904F0" w14:textId="13F8DB3B" w:rsidR="00696946" w:rsidRPr="00696946" w:rsidRDefault="00696946" w:rsidP="00696946">
      <w:r w:rsidRPr="00696946">
        <w:t>Cluster sizing is based on the workload requirements and resource specifications for each service.</w:t>
      </w:r>
    </w:p>
    <w:p w14:paraId="4181115B" w14:textId="32E45691" w:rsidR="00696946" w:rsidRPr="00696946" w:rsidRDefault="00696946" w:rsidP="00696946">
      <w:pPr>
        <w:pStyle w:val="Heading3"/>
      </w:pPr>
      <w:r w:rsidRPr="00696946">
        <w:lastRenderedPageBreak/>
        <w:t>3.1 Methodology</w:t>
      </w:r>
    </w:p>
    <w:p w14:paraId="4B195735" w14:textId="1335697B" w:rsidR="00696946" w:rsidRDefault="00696946" w:rsidP="00696946">
      <w:r w:rsidRPr="00696946">
        <w:t xml:space="preserve">The sizing methodology considers the resource requests and limits specified for each service, along with </w:t>
      </w:r>
      <w:r w:rsidR="0017438A" w:rsidRPr="0017438A">
        <w:rPr>
          <w:lang w:val="en-US"/>
        </w:rPr>
        <w:t>current</w:t>
      </w:r>
      <w:r w:rsidRPr="00696946">
        <w:t xml:space="preserve"> workload </w:t>
      </w:r>
      <w:r w:rsidR="0017438A" w:rsidRPr="0017438A">
        <w:rPr>
          <w:lang w:val="en-US"/>
        </w:rPr>
        <w:t>in Stock</w:t>
      </w:r>
      <w:r w:rsidR="0017438A">
        <w:rPr>
          <w:lang w:val="en-US"/>
        </w:rPr>
        <w:t>holm region</w:t>
      </w:r>
      <w:r w:rsidRPr="00696946">
        <w:t>.</w:t>
      </w:r>
    </w:p>
    <w:p w14:paraId="0550692A" w14:textId="77777777" w:rsidR="00696946" w:rsidRPr="00696946" w:rsidRDefault="00696946" w:rsidP="00696946"/>
    <w:p w14:paraId="1C1D0130" w14:textId="3DAF7FBC" w:rsidR="00696946" w:rsidRPr="00696946" w:rsidRDefault="00696946" w:rsidP="00696946">
      <w:pPr>
        <w:pStyle w:val="Heading3"/>
      </w:pPr>
      <w:r w:rsidRPr="00696946">
        <w:t>3.2 Requirements</w:t>
      </w:r>
    </w:p>
    <w:p w14:paraId="1FC34D28" w14:textId="77777777" w:rsidR="00696946" w:rsidRPr="00696946" w:rsidRDefault="00696946" w:rsidP="00696946">
      <w:r w:rsidRPr="00696946">
        <w:t>The resource requests for each service are as follows:</w:t>
      </w:r>
    </w:p>
    <w:p w14:paraId="2273AC48" w14:textId="77777777" w:rsidR="00696946" w:rsidRPr="00696946" w:rsidRDefault="00696946" w:rsidP="00696946"/>
    <w:p w14:paraId="4AA51B33" w14:textId="6D2840B2" w:rsidR="00696946" w:rsidRPr="00696946" w:rsidRDefault="00696946" w:rsidP="00696946">
      <w:r w:rsidRPr="00696946">
        <w:t>Kafka: 16GB Memory Request, 16GB Memory Limit, 4 mCPU Request</w:t>
      </w:r>
    </w:p>
    <w:p w14:paraId="3B115396" w14:textId="09749EB8" w:rsidR="00696946" w:rsidRPr="00696946" w:rsidRDefault="00696946" w:rsidP="00696946">
      <w:r w:rsidRPr="00696946">
        <w:t>Connect: 6GB Memory Request, 16GB Memory Limit, 2 mCPU Request</w:t>
      </w:r>
    </w:p>
    <w:p w14:paraId="22C07617" w14:textId="2349D897" w:rsidR="00696946" w:rsidRPr="00696946" w:rsidRDefault="00696946" w:rsidP="00696946">
      <w:r w:rsidRPr="00696946">
        <w:t>Zookeepe</w:t>
      </w:r>
      <w:r w:rsidRPr="00696946">
        <w:rPr>
          <w:lang w:val="en-US"/>
        </w:rPr>
        <w:t>r</w:t>
      </w:r>
      <w:r w:rsidRPr="00696946">
        <w:t>: 4GB Memory Request, 8GB Memory Limit, 1 mCPU Request</w:t>
      </w:r>
    </w:p>
    <w:p w14:paraId="4C7F069A" w14:textId="43B147DC" w:rsidR="00696946" w:rsidRPr="00696946" w:rsidRDefault="00696946" w:rsidP="00696946">
      <w:r w:rsidRPr="00696946">
        <w:t>Control Center: 4GB Memory Request, 8GB Memory Limit, 1 mCPU Request</w:t>
      </w:r>
    </w:p>
    <w:p w14:paraId="402D2F44" w14:textId="2C4E921E" w:rsidR="00696946" w:rsidRPr="00696946" w:rsidRDefault="00696946" w:rsidP="00696946">
      <w:r w:rsidRPr="00696946">
        <w:t>Schema Registry: 1GB Memory Request, 4GB Memory Limit, 0.5 mCPU Request</w:t>
      </w:r>
    </w:p>
    <w:p w14:paraId="207B1E12" w14:textId="4ABBD43D" w:rsidR="00696946" w:rsidRPr="00696946" w:rsidRDefault="00696946" w:rsidP="00696946">
      <w:r w:rsidRPr="00696946">
        <w:t>Rest Prox</w:t>
      </w:r>
      <w:r w:rsidRPr="00696946">
        <w:rPr>
          <w:lang w:val="en-US"/>
        </w:rPr>
        <w:t>y</w:t>
      </w:r>
      <w:r w:rsidRPr="00696946">
        <w:t>: 1GB Memory Request, 4GB Memory Limit, 0.5 mCPU Request</w:t>
      </w:r>
    </w:p>
    <w:p w14:paraId="00F04340" w14:textId="71D69C3A" w:rsidR="00696946" w:rsidRDefault="00696946" w:rsidP="00696946">
      <w:r w:rsidRPr="00696946">
        <w:t>KsqlDB: 1GB Memory Request, 2GB Memory Limit, 4 mCPU Request</w:t>
      </w:r>
    </w:p>
    <w:p w14:paraId="6194B078" w14:textId="77777777" w:rsidR="00696946" w:rsidRPr="00696946" w:rsidRDefault="00696946" w:rsidP="00696946"/>
    <w:p w14:paraId="169D04EC" w14:textId="0FA1F126" w:rsidR="00696946" w:rsidRDefault="00696946" w:rsidP="00696946">
      <w:pPr>
        <w:pStyle w:val="Heading3"/>
      </w:pPr>
      <w:r w:rsidRPr="00696946">
        <w:t>3.3 Sizing Considerations</w:t>
      </w:r>
    </w:p>
    <w:p w14:paraId="5305013A" w14:textId="77777777" w:rsidR="00696946" w:rsidRPr="00696946" w:rsidRDefault="00696946" w:rsidP="00696946"/>
    <w:p w14:paraId="5C5B5816" w14:textId="020CFE78" w:rsidR="00696946" w:rsidRDefault="00696946" w:rsidP="00696946">
      <w:r w:rsidRPr="00696946">
        <w:t>Factors influencing cluster sizing include peak vs. average load, growth projections, redundancy, fault tolerance, and cost considerations.</w:t>
      </w:r>
    </w:p>
    <w:p w14:paraId="35CF28E8" w14:textId="77777777" w:rsidR="00696946" w:rsidRPr="00696946" w:rsidRDefault="00696946" w:rsidP="00696946"/>
    <w:p w14:paraId="565D0D5F" w14:textId="67612F2F" w:rsidR="00696946" w:rsidRDefault="00696946" w:rsidP="00696946">
      <w:pPr>
        <w:pStyle w:val="Heading2"/>
      </w:pPr>
      <w:r w:rsidRPr="00696946">
        <w:t>4. Deployment Strategy</w:t>
      </w:r>
    </w:p>
    <w:p w14:paraId="65A96AFB" w14:textId="77777777" w:rsidR="00696946" w:rsidRPr="00696946" w:rsidRDefault="00696946" w:rsidP="00696946"/>
    <w:p w14:paraId="3A192C1E" w14:textId="77777777" w:rsidR="00696946" w:rsidRPr="00696946" w:rsidRDefault="00696946" w:rsidP="00696946">
      <w:r w:rsidRPr="00696946">
        <w:t>The deployment strategy includes provisioning and scaling resources across development, staging, and production environments using AWS services and Kubernetes.</w:t>
      </w:r>
    </w:p>
    <w:p w14:paraId="72BE52C9" w14:textId="77777777" w:rsidR="00696946" w:rsidRPr="00696946" w:rsidRDefault="00696946" w:rsidP="00696946">
      <w:pPr>
        <w:rPr>
          <w:rFonts w:asciiTheme="majorHAnsi" w:eastAsiaTheme="majorEastAsia" w:hAnsiTheme="majorHAnsi" w:cstheme="majorBidi"/>
          <w:spacing w:val="-10"/>
          <w:kern w:val="28"/>
          <w:sz w:val="56"/>
          <w:szCs w:val="56"/>
        </w:rPr>
      </w:pPr>
    </w:p>
    <w:p w14:paraId="28B0DD1D" w14:textId="01828DAC" w:rsidR="00696946" w:rsidRPr="00696946" w:rsidRDefault="00696946" w:rsidP="00696946">
      <w:pPr>
        <w:pStyle w:val="Heading2"/>
      </w:pPr>
      <w:r w:rsidRPr="00696946">
        <w:t>5. Monitoring and Maintenance</w:t>
      </w:r>
    </w:p>
    <w:p w14:paraId="6A4BFDC7" w14:textId="031C5EEA" w:rsidR="00696946" w:rsidRPr="00696946" w:rsidRDefault="00696946" w:rsidP="0017438A">
      <w:pPr>
        <w:pStyle w:val="Heading3"/>
      </w:pPr>
      <w:r w:rsidRPr="00696946">
        <w:t>5.1 Monitoring Tools</w:t>
      </w:r>
    </w:p>
    <w:p w14:paraId="27585AB0" w14:textId="5E047FED" w:rsidR="00696946" w:rsidRPr="00696946" w:rsidRDefault="00696946" w:rsidP="00696946">
      <w:r w:rsidRPr="00696946">
        <w:t>Control Center is set up in managed-only mode, with all data and metrics sent to DataDog for monitoring purposes. DataDog will be utilized as the primary tool for viewing metrics and other data related to the system's performance.</w:t>
      </w:r>
    </w:p>
    <w:p w14:paraId="0E83308C" w14:textId="3FB3565A" w:rsidR="00696946" w:rsidRPr="00696946" w:rsidRDefault="00696946" w:rsidP="00696946">
      <w:pPr>
        <w:pStyle w:val="Heading3"/>
      </w:pPr>
      <w:r w:rsidRPr="00696946">
        <w:t>5.2 Maintenance Processes</w:t>
      </w:r>
    </w:p>
    <w:p w14:paraId="59EA2899" w14:textId="77777777" w:rsidR="00696946" w:rsidRPr="00696946" w:rsidRDefault="00696946" w:rsidP="00696946">
      <w:r w:rsidRPr="00696946">
        <w:t>Monitoring tools and maintenance processes are in place to ensure system health, performance metrics tracking, backups, and updates management.</w:t>
      </w:r>
    </w:p>
    <w:p w14:paraId="07246933" w14:textId="77777777" w:rsidR="00696946" w:rsidRPr="00696946" w:rsidRDefault="00696946" w:rsidP="00696946">
      <w:pPr>
        <w:rPr>
          <w:rFonts w:asciiTheme="majorHAnsi" w:eastAsiaTheme="majorEastAsia" w:hAnsiTheme="majorHAnsi" w:cstheme="majorBidi"/>
          <w:spacing w:val="-10"/>
          <w:kern w:val="28"/>
          <w:sz w:val="56"/>
          <w:szCs w:val="56"/>
        </w:rPr>
      </w:pPr>
    </w:p>
    <w:p w14:paraId="4C2BEF0F" w14:textId="7FCB4F5C" w:rsidR="00696946" w:rsidRPr="00696946" w:rsidRDefault="00696946" w:rsidP="00696946">
      <w:pPr>
        <w:pStyle w:val="Heading2"/>
      </w:pPr>
      <w:r w:rsidRPr="00696946">
        <w:lastRenderedPageBreak/>
        <w:t>6. Security Measures</w:t>
      </w:r>
    </w:p>
    <w:p w14:paraId="3C8F00CE" w14:textId="7271F891" w:rsidR="00696946" w:rsidRDefault="00696946" w:rsidP="00696946">
      <w:r w:rsidRPr="00696946">
        <w:t>Security measures include authentication, authorization, encryption, and compliance</w:t>
      </w:r>
      <w:r w:rsidRPr="00696946">
        <w:t xml:space="preserve"> </w:t>
      </w:r>
      <w:r w:rsidRPr="00696946">
        <w:t>with relevant regulations to protect the system from potential threats.</w:t>
      </w:r>
    </w:p>
    <w:p w14:paraId="259D0E9C" w14:textId="77777777" w:rsidR="0017438A" w:rsidRPr="0017438A" w:rsidRDefault="0017438A" w:rsidP="00696946"/>
    <w:p w14:paraId="15E4BEEE" w14:textId="41CC616F" w:rsidR="00696946" w:rsidRPr="00696946" w:rsidRDefault="00696946" w:rsidP="00696946">
      <w:pPr>
        <w:pStyle w:val="Heading2"/>
      </w:pPr>
      <w:r w:rsidRPr="00696946">
        <w:t>7. Conclusion</w:t>
      </w:r>
    </w:p>
    <w:p w14:paraId="539A759F" w14:textId="037D62D1" w:rsidR="00A47D7D" w:rsidRPr="00696946" w:rsidRDefault="00696946" w:rsidP="00696946">
      <w:r w:rsidRPr="00696946">
        <w:t>In conclusion, this design document provides a comprehensive overview of the architecture and cluster sizing considerations for the deployment of the system utilizing AWS services in the Stockholm Region. It outlines the methodology, requirements, and considerations for effective deployment, monitoring, and maintenance of the system.</w:t>
      </w:r>
    </w:p>
    <w:sectPr w:rsidR="00A47D7D" w:rsidRPr="00696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54A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DE4D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2451D7"/>
    <w:multiLevelType w:val="hybridMultilevel"/>
    <w:tmpl w:val="596AA1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0772D2"/>
    <w:multiLevelType w:val="hybridMultilevel"/>
    <w:tmpl w:val="51082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A34450"/>
    <w:multiLevelType w:val="multilevel"/>
    <w:tmpl w:val="CFCC847E"/>
    <w:lvl w:ilvl="0">
      <w:start w:val="2"/>
      <w:numFmt w:val="decimal"/>
      <w:lvlText w:val="%1"/>
      <w:lvlJc w:val="left"/>
      <w:pPr>
        <w:ind w:left="380" w:hanging="3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5" w15:restartNumberingAfterBreak="0">
    <w:nsid w:val="74CC0E58"/>
    <w:multiLevelType w:val="hybridMultilevel"/>
    <w:tmpl w:val="E5DE1D32"/>
    <w:lvl w:ilvl="0" w:tplc="F4028C54">
      <w:start w:val="2"/>
      <w:numFmt w:val="bullet"/>
      <w:lvlText w:val="-"/>
      <w:lvlJc w:val="left"/>
      <w:pPr>
        <w:ind w:left="2000" w:hanging="360"/>
      </w:pPr>
      <w:rPr>
        <w:rFonts w:ascii="Aptos" w:eastAsiaTheme="minorHAnsi" w:hAnsi="Aptos" w:cstheme="minorBidi" w:hint="default"/>
      </w:rPr>
    </w:lvl>
    <w:lvl w:ilvl="1" w:tplc="08090003" w:tentative="1">
      <w:start w:val="1"/>
      <w:numFmt w:val="bullet"/>
      <w:lvlText w:val="o"/>
      <w:lvlJc w:val="left"/>
      <w:pPr>
        <w:ind w:left="2720" w:hanging="360"/>
      </w:pPr>
      <w:rPr>
        <w:rFonts w:ascii="Courier New" w:hAnsi="Courier New" w:cs="Courier New" w:hint="default"/>
      </w:rPr>
    </w:lvl>
    <w:lvl w:ilvl="2" w:tplc="08090005" w:tentative="1">
      <w:start w:val="1"/>
      <w:numFmt w:val="bullet"/>
      <w:lvlText w:val=""/>
      <w:lvlJc w:val="left"/>
      <w:pPr>
        <w:ind w:left="3440" w:hanging="360"/>
      </w:pPr>
      <w:rPr>
        <w:rFonts w:ascii="Wingdings" w:hAnsi="Wingdings" w:hint="default"/>
      </w:rPr>
    </w:lvl>
    <w:lvl w:ilvl="3" w:tplc="08090001" w:tentative="1">
      <w:start w:val="1"/>
      <w:numFmt w:val="bullet"/>
      <w:lvlText w:val=""/>
      <w:lvlJc w:val="left"/>
      <w:pPr>
        <w:ind w:left="4160" w:hanging="360"/>
      </w:pPr>
      <w:rPr>
        <w:rFonts w:ascii="Symbol" w:hAnsi="Symbol" w:hint="default"/>
      </w:rPr>
    </w:lvl>
    <w:lvl w:ilvl="4" w:tplc="08090003" w:tentative="1">
      <w:start w:val="1"/>
      <w:numFmt w:val="bullet"/>
      <w:lvlText w:val="o"/>
      <w:lvlJc w:val="left"/>
      <w:pPr>
        <w:ind w:left="4880" w:hanging="360"/>
      </w:pPr>
      <w:rPr>
        <w:rFonts w:ascii="Courier New" w:hAnsi="Courier New" w:cs="Courier New" w:hint="default"/>
      </w:rPr>
    </w:lvl>
    <w:lvl w:ilvl="5" w:tplc="08090005" w:tentative="1">
      <w:start w:val="1"/>
      <w:numFmt w:val="bullet"/>
      <w:lvlText w:val=""/>
      <w:lvlJc w:val="left"/>
      <w:pPr>
        <w:ind w:left="5600" w:hanging="360"/>
      </w:pPr>
      <w:rPr>
        <w:rFonts w:ascii="Wingdings" w:hAnsi="Wingdings" w:hint="default"/>
      </w:rPr>
    </w:lvl>
    <w:lvl w:ilvl="6" w:tplc="08090001" w:tentative="1">
      <w:start w:val="1"/>
      <w:numFmt w:val="bullet"/>
      <w:lvlText w:val=""/>
      <w:lvlJc w:val="left"/>
      <w:pPr>
        <w:ind w:left="6320" w:hanging="360"/>
      </w:pPr>
      <w:rPr>
        <w:rFonts w:ascii="Symbol" w:hAnsi="Symbol" w:hint="default"/>
      </w:rPr>
    </w:lvl>
    <w:lvl w:ilvl="7" w:tplc="08090003" w:tentative="1">
      <w:start w:val="1"/>
      <w:numFmt w:val="bullet"/>
      <w:lvlText w:val="o"/>
      <w:lvlJc w:val="left"/>
      <w:pPr>
        <w:ind w:left="7040" w:hanging="360"/>
      </w:pPr>
      <w:rPr>
        <w:rFonts w:ascii="Courier New" w:hAnsi="Courier New" w:cs="Courier New" w:hint="default"/>
      </w:rPr>
    </w:lvl>
    <w:lvl w:ilvl="8" w:tplc="08090005" w:tentative="1">
      <w:start w:val="1"/>
      <w:numFmt w:val="bullet"/>
      <w:lvlText w:val=""/>
      <w:lvlJc w:val="left"/>
      <w:pPr>
        <w:ind w:left="7760" w:hanging="360"/>
      </w:pPr>
      <w:rPr>
        <w:rFonts w:ascii="Wingdings" w:hAnsi="Wingdings" w:hint="default"/>
      </w:rPr>
    </w:lvl>
  </w:abstractNum>
  <w:num w:numId="1" w16cid:durableId="31465298">
    <w:abstractNumId w:val="2"/>
  </w:num>
  <w:num w:numId="2" w16cid:durableId="862137284">
    <w:abstractNumId w:val="3"/>
  </w:num>
  <w:num w:numId="3" w16cid:durableId="1803305885">
    <w:abstractNumId w:val="0"/>
  </w:num>
  <w:num w:numId="4" w16cid:durableId="460154514">
    <w:abstractNumId w:val="1"/>
  </w:num>
  <w:num w:numId="5" w16cid:durableId="1879200449">
    <w:abstractNumId w:val="5"/>
  </w:num>
  <w:num w:numId="6" w16cid:durableId="675570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50"/>
    <w:rsid w:val="0017438A"/>
    <w:rsid w:val="00696946"/>
    <w:rsid w:val="006F473C"/>
    <w:rsid w:val="00837350"/>
    <w:rsid w:val="00A47D7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1BE4FF7"/>
  <w15:chartTrackingRefBased/>
  <w15:docId w15:val="{88A71FB0-1D1B-A849-8EAB-CDEBE635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7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7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7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3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3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3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3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7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7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7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350"/>
    <w:rPr>
      <w:rFonts w:eastAsiaTheme="majorEastAsia" w:cstheme="majorBidi"/>
      <w:color w:val="272727" w:themeColor="text1" w:themeTint="D8"/>
    </w:rPr>
  </w:style>
  <w:style w:type="paragraph" w:styleId="Title">
    <w:name w:val="Title"/>
    <w:basedOn w:val="Normal"/>
    <w:next w:val="Normal"/>
    <w:link w:val="TitleChar"/>
    <w:uiPriority w:val="10"/>
    <w:qFormat/>
    <w:rsid w:val="008373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3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3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7350"/>
    <w:rPr>
      <w:i/>
      <w:iCs/>
      <w:color w:val="404040" w:themeColor="text1" w:themeTint="BF"/>
    </w:rPr>
  </w:style>
  <w:style w:type="paragraph" w:styleId="ListParagraph">
    <w:name w:val="List Paragraph"/>
    <w:basedOn w:val="Normal"/>
    <w:uiPriority w:val="34"/>
    <w:qFormat/>
    <w:rsid w:val="00837350"/>
    <w:pPr>
      <w:ind w:left="720"/>
      <w:contextualSpacing/>
    </w:pPr>
  </w:style>
  <w:style w:type="character" w:styleId="IntenseEmphasis">
    <w:name w:val="Intense Emphasis"/>
    <w:basedOn w:val="DefaultParagraphFont"/>
    <w:uiPriority w:val="21"/>
    <w:qFormat/>
    <w:rsid w:val="00837350"/>
    <w:rPr>
      <w:i/>
      <w:iCs/>
      <w:color w:val="0F4761" w:themeColor="accent1" w:themeShade="BF"/>
    </w:rPr>
  </w:style>
  <w:style w:type="paragraph" w:styleId="IntenseQuote">
    <w:name w:val="Intense Quote"/>
    <w:basedOn w:val="Normal"/>
    <w:next w:val="Normal"/>
    <w:link w:val="IntenseQuoteChar"/>
    <w:uiPriority w:val="30"/>
    <w:qFormat/>
    <w:rsid w:val="00837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350"/>
    <w:rPr>
      <w:i/>
      <w:iCs/>
      <w:color w:val="0F4761" w:themeColor="accent1" w:themeShade="BF"/>
    </w:rPr>
  </w:style>
  <w:style w:type="character" w:styleId="IntenseReference">
    <w:name w:val="Intense Reference"/>
    <w:basedOn w:val="DefaultParagraphFont"/>
    <w:uiPriority w:val="32"/>
    <w:qFormat/>
    <w:rsid w:val="008373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Junaid Ahmed</dc:creator>
  <cp:keywords/>
  <dc:description/>
  <cp:lastModifiedBy>Jameel Junaid Ahmed</cp:lastModifiedBy>
  <cp:revision>1</cp:revision>
  <dcterms:created xsi:type="dcterms:W3CDTF">2024-02-06T11:50:00Z</dcterms:created>
  <dcterms:modified xsi:type="dcterms:W3CDTF">2024-02-06T12:30:00Z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f2ec83-e677-438d-afb7-4c7c0dbc872b_Enabled">
    <vt:lpwstr>true</vt:lpwstr>
  </property>
  <property fmtid="{D5CDD505-2E9C-101B-9397-08002B2CF9AE}" pid="3" name="MSIP_Label_a7f2ec83-e677-438d-afb7-4c7c0dbc872b_SetDate">
    <vt:lpwstr>2024-02-06T12:30:50Z</vt:lpwstr>
  </property>
  <property fmtid="{D5CDD505-2E9C-101B-9397-08002B2CF9AE}" pid="4" name="MSIP_Label_a7f2ec83-e677-438d-afb7-4c7c0dbc872b_Method">
    <vt:lpwstr>Standard</vt:lpwstr>
  </property>
  <property fmtid="{D5CDD505-2E9C-101B-9397-08002B2CF9AE}" pid="5" name="MSIP_Label_a7f2ec83-e677-438d-afb7-4c7c0dbc872b_Name">
    <vt:lpwstr>a7f2ec83-e677-438d-afb7-4c7c0dbc872b</vt:lpwstr>
  </property>
  <property fmtid="{D5CDD505-2E9C-101B-9397-08002B2CF9AE}" pid="6" name="MSIP_Label_a7f2ec83-e677-438d-afb7-4c7c0dbc872b_SiteId">
    <vt:lpwstr>3bc062e4-ac9d-4c17-b4dd-3aad637ff1ac</vt:lpwstr>
  </property>
  <property fmtid="{D5CDD505-2E9C-101B-9397-08002B2CF9AE}" pid="7" name="MSIP_Label_a7f2ec83-e677-438d-afb7-4c7c0dbc872b_ActionId">
    <vt:lpwstr>d95cba8c-a7fb-4f3f-ba9f-7ed35011147f</vt:lpwstr>
  </property>
  <property fmtid="{D5CDD505-2E9C-101B-9397-08002B2CF9AE}" pid="8" name="MSIP_Label_a7f2ec83-e677-438d-afb7-4c7c0dbc872b_ContentBits">
    <vt:lpwstr>0</vt:lpwstr>
  </property>
</Properties>
</file>