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example: one class, two objects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Rectangle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width, height;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//define after class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area () 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width*height;}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Rectangle::</w:t>
      </w:r>
      <w:proofErr w:type="spellStart"/>
      <w:r>
        <w:rPr>
          <w:rFonts w:ascii="Consolas" w:hAnsi="Consolas" w:cs="Consolas"/>
          <w:sz w:val="19"/>
          <w:szCs w:val="19"/>
        </w:rPr>
        <w:t>set_values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 = x;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y;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Rectangle rect1, rect2;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rect1.set_values (3</w:t>
      </w:r>
      <w:proofErr w:type="gramStart"/>
      <w:r>
        <w:rPr>
          <w:rFonts w:ascii="Consolas" w:hAnsi="Consolas" w:cs="Consolas"/>
          <w:sz w:val="19"/>
          <w:szCs w:val="19"/>
        </w:rPr>
        <w:t>,4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rect2.set_values (5</w:t>
      </w:r>
      <w:proofErr w:type="gramStart"/>
      <w:r>
        <w:rPr>
          <w:rFonts w:ascii="Consolas" w:hAnsi="Consolas" w:cs="Consolas"/>
          <w:sz w:val="19"/>
          <w:szCs w:val="19"/>
        </w:rPr>
        <w:t>,6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#1 area: "</w:t>
      </w:r>
      <w:r>
        <w:rPr>
          <w:rFonts w:ascii="Consolas" w:hAnsi="Consolas" w:cs="Consolas"/>
          <w:sz w:val="19"/>
          <w:szCs w:val="19"/>
        </w:rPr>
        <w:t xml:space="preserve"> &lt;&lt; rect1.area()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#2 area: "</w:t>
      </w:r>
      <w:r>
        <w:rPr>
          <w:rFonts w:ascii="Consolas" w:hAnsi="Consolas" w:cs="Consolas"/>
          <w:sz w:val="19"/>
          <w:szCs w:val="19"/>
        </w:rPr>
        <w:t xml:space="preserve"> &lt;&lt; rect2.area()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F79" w:rsidRDefault="00A50F79" w:rsidP="00A5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D94" w:rsidRPr="00A50F79" w:rsidRDefault="00592D94" w:rsidP="00A50F79"/>
    <w:sectPr w:rsidR="00592D94" w:rsidRPr="00A50F79" w:rsidSect="000E5D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1EA2"/>
    <w:rsid w:val="001B1A5A"/>
    <w:rsid w:val="00592D94"/>
    <w:rsid w:val="00A50F79"/>
    <w:rsid w:val="00C0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>HKRG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2015-04-04T11:41:00Z</dcterms:created>
  <dcterms:modified xsi:type="dcterms:W3CDTF">2015-04-06T07:24:00Z</dcterms:modified>
</cp:coreProperties>
</file>