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0F6B6B"/>
          <w:sz w:val="72"/>
          <w:szCs w:val="72"/>
        </w:rPr>
        <w:t xml:space="preserve">Dhatu</w:t>
      </w:r>
    </w:p>
    <w:p>
      <w:pPr>
        <w:spacing w:after="200"/>
        <w:jc w:val="center"/>
      </w:pPr>
      <w:r>
        <w:rPr>
          <w:b/>
          <w:bCs/>
          <w:color w:val="E0A526"/>
          <w:sz w:val="28"/>
          <w:szCs w:val="28"/>
        </w:rPr>
        <w:t xml:space="preserve">धातु — हर तार में मूल्य</w:t>
      </w:r>
    </w:p>
    <w:p>
      <w:pPr>
        <w:spacing w:after="600"/>
        <w:jc w:val="center"/>
      </w:pPr>
      <w:r>
        <w:rPr>
          <w:b/>
          <w:bCs/>
          <w:color w:val="22323A"/>
          <w:sz w:val="40"/>
          <w:szCs w:val="40"/>
        </w:rPr>
        <w:t xml:space="preserve">Technical Requirements Document (TRD)</w:t>
      </w:r>
    </w:p>
    <w:p>
      <w:pPr>
        <w:spacing w:after="800"/>
        <w:jc w:val="center"/>
      </w:pPr>
      <w:r>
        <w:rPr>
          <w:i/>
          <w:iCs/>
          <w:color w:val="666666"/>
          <w:sz w:val="24"/>
          <w:szCs w:val="24"/>
        </w:rPr>
        <w:t xml:space="preserve">Data model, AI/ML scope, offline-first design &amp; non-functional requirements</w:t>
      </w:r>
    </w:p>
    <w:p>
      <w:pPr>
        <w:spacing w:after="60"/>
        <w:jc w:val="center"/>
      </w:pPr>
      <w:r>
        <w:rPr>
          <w:color w:val="666666"/>
          <w:sz w:val="20"/>
          <w:szCs w:val="20"/>
        </w:rPr>
        <w:t xml:space="preserve">Version 1.0  |  Prepared for Smart India Hackathon</w:t>
      </w:r>
    </w:p>
    <w:p>
      <w:pPr>
        <w:jc w:val="center"/>
      </w:pPr>
      <w:r>
        <w:rPr>
          <w:color w:val="666666"/>
          <w:sz w:val="18"/>
          <w:szCs w:val="18"/>
        </w:rPr>
        <w:t xml:space="preserve">Smart India Hackathon — Problem Theme: Informal E-Waste Collector Integration with Authorized Recyclers</w:t>
      </w:r>
    </w:p>
    <w:p>
      <w:r>
        <w:br w:type="page"/>
      </w:r>
    </w:p>
    <w:p>
      <w:pPr>
        <w:pStyle w:val="Heading1"/>
        <w:pBdr>
          <w:bottom w:val="single" w:color="0F6B6B" w:sz="8" w:space="4"/>
        </w:pBdr>
        <w:spacing w:after="160" w:before="360"/>
      </w:pPr>
      <w:r>
        <w:rPr>
          <w:b/>
          <w:bCs/>
          <w:color w:val="0F6B6B"/>
          <w:sz w:val="30"/>
          <w:szCs w:val="30"/>
        </w:rPr>
        <w:t xml:space="preserve">1. Scope</w:t>
      </w:r>
    </w:p>
    <w:p>
      <w:pPr>
        <w:spacing w:after="140" w:line="300"/>
      </w:pPr>
      <w:r>
        <w:rPr>
          <w:b w:val="false"/>
          <w:bCs w:val="false"/>
          <w:i w:val="false"/>
          <w:iCs w:val="false"/>
          <w:color w:val="22323A"/>
          <w:sz w:val="21"/>
          <w:szCs w:val="21"/>
        </w:rPr>
        <w:t xml:space="preserve">This document defines the technical requirements for the Dhatu MVP: chosen technology stack, dataset architecture, AI/ML feature scope, offline-first behaviour, and non-functional requirements (security, performance, scalability). It complements the PRD (what to build) and the Architecture document (how components fit together).</w:t>
      </w:r>
    </w:p>
    <w:p>
      <w:pPr>
        <w:pStyle w:val="Heading1"/>
        <w:pBdr>
          <w:bottom w:val="single" w:color="0F6B6B" w:sz="8" w:space="4"/>
        </w:pBdr>
        <w:spacing w:after="160" w:before="360"/>
      </w:pPr>
      <w:r>
        <w:rPr>
          <w:b/>
          <w:bCs/>
          <w:color w:val="0F6B6B"/>
          <w:sz w:val="30"/>
          <w:szCs w:val="30"/>
        </w:rPr>
        <w:t xml:space="preserve">2. Recommended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0F6B6B" w:val="clear"/>
            <w:tcMar>
              <w:top w:type="dxa" w:w="80"/>
              <w:left w:type="dxa" w:w="100"/>
              <w:bottom w:type="dxa" w:w="80"/>
              <w:right w:type="dxa" w:w="100"/>
            </w:tcMar>
            <w:vAlign w:val="center"/>
          </w:tcPr>
          <w:p>
            <w:pPr>
              <w:spacing w:after="40" w:before="40"/>
            </w:pPr>
            <w:r>
              <w:rPr>
                <w:b/>
                <w:bCs/>
                <w:color w:val="FFFFFF"/>
                <w:sz w:val="20"/>
                <w:szCs w:val="20"/>
              </w:rPr>
              <w:t xml:space="preserve">Layer</w:t>
            </w:r>
          </w:p>
        </w:tc>
        <w:tc>
          <w:tcPr>
            <w:tcW w:type="dxa" w:w="6400"/>
            <w:shd w:fill="0F6B6B" w:val="clear"/>
            <w:tcMar>
              <w:top w:type="dxa" w:w="80"/>
              <w:left w:type="dxa" w:w="100"/>
              <w:bottom w:type="dxa" w:w="80"/>
              <w:right w:type="dxa" w:w="100"/>
            </w:tcMar>
            <w:vAlign w:val="center"/>
          </w:tcPr>
          <w:p>
            <w:pPr>
              <w:spacing w:after="40" w:before="40"/>
            </w:pPr>
            <w:r>
              <w:rPr>
                <w:b/>
                <w:bCs/>
                <w:color w:val="FFFFFF"/>
                <w:sz w:val="20"/>
                <w:szCs w:val="20"/>
              </w:rPr>
              <w:t xml:space="preserve">Recommended Choice</w:t>
            </w:r>
          </w:p>
        </w:tc>
      </w:tr>
      <w:tr>
        <w:tc>
          <w:tcPr>
            <w:tcW w:type="dxa" w:w="3200"/>
            <w:tcMar>
              <w:top w:type="dxa" w:w="80"/>
              <w:left w:type="dxa" w:w="100"/>
              <w:bottom w:type="dxa" w:w="80"/>
              <w:right w:type="dxa" w:w="100"/>
            </w:tcMar>
          </w:tcPr>
          <w:p>
            <w:pPr>
              <w:spacing w:after="40" w:before="40"/>
            </w:pPr>
            <w:r>
              <w:rPr>
                <w:b w:val="false"/>
                <w:bCs w:val="false"/>
                <w:color w:val="22323A"/>
                <w:sz w:val="20"/>
                <w:szCs w:val="20"/>
              </w:rPr>
              <w:t xml:space="preserve">Mobile Application</w:t>
            </w:r>
          </w:p>
        </w:tc>
        <w:tc>
          <w:tcPr>
            <w:tcW w:type="dxa" w:w="6400"/>
            <w:tcMar>
              <w:top w:type="dxa" w:w="80"/>
              <w:left w:type="dxa" w:w="100"/>
              <w:bottom w:type="dxa" w:w="80"/>
              <w:right w:type="dxa" w:w="100"/>
            </w:tcMar>
          </w:tcPr>
          <w:p>
            <w:pPr>
              <w:spacing w:after="40" w:before="40"/>
            </w:pPr>
            <w:r>
              <w:rPr>
                <w:b w:val="false"/>
                <w:bCs w:val="false"/>
                <w:color w:val="22323A"/>
                <w:sz w:val="20"/>
                <w:szCs w:val="20"/>
              </w:rPr>
              <w:t xml:space="preserve">Flutter (single codebase for entry-level Android hardware)</w:t>
            </w:r>
          </w:p>
        </w:tc>
      </w:tr>
      <w:tr>
        <w:tc>
          <w:tcPr>
            <w:tcW w:type="dxa" w:w="3200"/>
            <w:shd w:fill="E4F1F1" w:val="clear"/>
            <w:tcMar>
              <w:top w:type="dxa" w:w="80"/>
              <w:left w:type="dxa" w:w="100"/>
              <w:bottom w:type="dxa" w:w="80"/>
              <w:right w:type="dxa" w:w="100"/>
            </w:tcMar>
          </w:tcPr>
          <w:p>
            <w:pPr>
              <w:spacing w:after="40" w:before="40"/>
            </w:pPr>
            <w:r>
              <w:rPr>
                <w:b w:val="false"/>
                <w:bCs w:val="false"/>
                <w:color w:val="22323A"/>
                <w:sz w:val="20"/>
                <w:szCs w:val="20"/>
              </w:rPr>
              <w:t xml:space="preserve">Backend</w:t>
            </w:r>
          </w:p>
        </w:tc>
        <w:tc>
          <w:tcPr>
            <w:tcW w:type="dxa" w:w="6400"/>
            <w:shd w:fill="E4F1F1" w:val="clear"/>
            <w:tcMar>
              <w:top w:type="dxa" w:w="80"/>
              <w:left w:type="dxa" w:w="100"/>
              <w:bottom w:type="dxa" w:w="80"/>
              <w:right w:type="dxa" w:w="100"/>
            </w:tcMar>
          </w:tcPr>
          <w:p>
            <w:pPr>
              <w:spacing w:after="40" w:before="40"/>
            </w:pPr>
            <w:r>
              <w:rPr>
                <w:b w:val="false"/>
                <w:bCs w:val="false"/>
                <w:color w:val="22323A"/>
                <w:sz w:val="20"/>
                <w:szCs w:val="20"/>
              </w:rPr>
              <w:t xml:space="preserve">Firebase (rapid prototype) or Node.js REST APIs</w:t>
            </w:r>
          </w:p>
        </w:tc>
      </w:tr>
      <w:tr>
        <w:tc>
          <w:tcPr>
            <w:tcW w:type="dxa" w:w="3200"/>
            <w:tcMar>
              <w:top w:type="dxa" w:w="80"/>
              <w:left w:type="dxa" w:w="100"/>
              <w:bottom w:type="dxa" w:w="80"/>
              <w:right w:type="dxa" w:w="100"/>
            </w:tcMar>
          </w:tcPr>
          <w:p>
            <w:pPr>
              <w:spacing w:after="40" w:before="40"/>
            </w:pPr>
            <w:r>
              <w:rPr>
                <w:b w:val="false"/>
                <w:bCs w:val="false"/>
                <w:color w:val="22323A"/>
                <w:sz w:val="20"/>
                <w:szCs w:val="20"/>
              </w:rPr>
              <w:t xml:space="preserve">Database</w:t>
            </w:r>
          </w:p>
        </w:tc>
        <w:tc>
          <w:tcPr>
            <w:tcW w:type="dxa" w:w="6400"/>
            <w:tcMar>
              <w:top w:type="dxa" w:w="80"/>
              <w:left w:type="dxa" w:w="100"/>
              <w:bottom w:type="dxa" w:w="80"/>
              <w:right w:type="dxa" w:w="100"/>
            </w:tcMar>
          </w:tcPr>
          <w:p>
            <w:pPr>
              <w:spacing w:after="40" w:before="40"/>
            </w:pPr>
            <w:r>
              <w:rPr>
                <w:b w:val="false"/>
                <w:bCs w:val="false"/>
                <w:color w:val="22323A"/>
                <w:sz w:val="20"/>
                <w:szCs w:val="20"/>
              </w:rPr>
              <w:t xml:space="preserve">Firestore for prototype speed, or PostgreSQL for a relational production build</w:t>
            </w:r>
          </w:p>
        </w:tc>
      </w:tr>
      <w:tr>
        <w:tc>
          <w:tcPr>
            <w:tcW w:type="dxa" w:w="3200"/>
            <w:shd w:fill="E4F1F1" w:val="clear"/>
            <w:tcMar>
              <w:top w:type="dxa" w:w="80"/>
              <w:left w:type="dxa" w:w="100"/>
              <w:bottom w:type="dxa" w:w="80"/>
              <w:right w:type="dxa" w:w="100"/>
            </w:tcMar>
          </w:tcPr>
          <w:p>
            <w:pPr>
              <w:spacing w:after="40" w:before="40"/>
            </w:pPr>
            <w:r>
              <w:rPr>
                <w:b w:val="false"/>
                <w:bCs w:val="false"/>
                <w:color w:val="22323A"/>
                <w:sz w:val="20"/>
                <w:szCs w:val="20"/>
              </w:rPr>
              <w:t xml:space="preserve">Offline Storage</w:t>
            </w:r>
          </w:p>
        </w:tc>
        <w:tc>
          <w:tcPr>
            <w:tcW w:type="dxa" w:w="6400"/>
            <w:shd w:fill="E4F1F1" w:val="clear"/>
            <w:tcMar>
              <w:top w:type="dxa" w:w="80"/>
              <w:left w:type="dxa" w:w="100"/>
              <w:bottom w:type="dxa" w:w="80"/>
              <w:right w:type="dxa" w:w="100"/>
            </w:tcMar>
          </w:tcPr>
          <w:p>
            <w:pPr>
              <w:spacing w:after="40" w:before="40"/>
            </w:pPr>
            <w:r>
              <w:rPr>
                <w:b w:val="false"/>
                <w:bCs w:val="false"/>
                <w:color w:val="22323A"/>
                <w:sz w:val="20"/>
                <w:szCs w:val="20"/>
              </w:rPr>
              <w:t xml:space="preserve">SQLite, Drift, or Hive (on-device)</w:t>
            </w:r>
          </w:p>
        </w:tc>
      </w:tr>
      <w:tr>
        <w:tc>
          <w:tcPr>
            <w:tcW w:type="dxa" w:w="3200"/>
            <w:tcMar>
              <w:top w:type="dxa" w:w="80"/>
              <w:left w:type="dxa" w:w="100"/>
              <w:bottom w:type="dxa" w:w="80"/>
              <w:right w:type="dxa" w:w="100"/>
            </w:tcMar>
          </w:tcPr>
          <w:p>
            <w:pPr>
              <w:spacing w:after="40" w:before="40"/>
            </w:pPr>
            <w:r>
              <w:rPr>
                <w:b w:val="false"/>
                <w:bCs w:val="false"/>
                <w:color w:val="22323A"/>
                <w:sz w:val="20"/>
                <w:szCs w:val="20"/>
              </w:rPr>
              <w:t xml:space="preserve">Image Storage</w:t>
            </w:r>
          </w:p>
        </w:tc>
        <w:tc>
          <w:tcPr>
            <w:tcW w:type="dxa" w:w="6400"/>
            <w:tcMar>
              <w:top w:type="dxa" w:w="80"/>
              <w:left w:type="dxa" w:w="100"/>
              <w:bottom w:type="dxa" w:w="80"/>
              <w:right w:type="dxa" w:w="100"/>
            </w:tcMar>
          </w:tcPr>
          <w:p>
            <w:pPr>
              <w:spacing w:after="40" w:before="40"/>
            </w:pPr>
            <w:r>
              <w:rPr>
                <w:b w:val="false"/>
                <w:bCs w:val="false"/>
                <w:color w:val="22323A"/>
                <w:sz w:val="20"/>
                <w:szCs w:val="20"/>
              </w:rPr>
              <w:t xml:space="preserve">Cloud object storage</w:t>
            </w:r>
          </w:p>
        </w:tc>
      </w:tr>
      <w:tr>
        <w:tc>
          <w:tcPr>
            <w:tcW w:type="dxa" w:w="3200"/>
            <w:shd w:fill="E4F1F1" w:val="clear"/>
            <w:tcMar>
              <w:top w:type="dxa" w:w="80"/>
              <w:left w:type="dxa" w:w="100"/>
              <w:bottom w:type="dxa" w:w="80"/>
              <w:right w:type="dxa" w:w="100"/>
            </w:tcMar>
          </w:tcPr>
          <w:p>
            <w:pPr>
              <w:spacing w:after="40" w:before="40"/>
            </w:pPr>
            <w:r>
              <w:rPr>
                <w:b w:val="false"/>
                <w:bCs w:val="false"/>
                <w:color w:val="22323A"/>
                <w:sz w:val="20"/>
                <w:szCs w:val="20"/>
              </w:rPr>
              <w:t xml:space="preserve">AI / ML</w:t>
            </w:r>
          </w:p>
        </w:tc>
        <w:tc>
          <w:tcPr>
            <w:tcW w:type="dxa" w:w="6400"/>
            <w:shd w:fill="E4F1F1" w:val="clear"/>
            <w:tcMar>
              <w:top w:type="dxa" w:w="80"/>
              <w:left w:type="dxa" w:w="100"/>
              <w:bottom w:type="dxa" w:w="80"/>
              <w:right w:type="dxa" w:w="100"/>
            </w:tcMar>
          </w:tcPr>
          <w:p>
            <w:pPr>
              <w:spacing w:after="40" w:before="40"/>
            </w:pPr>
            <w:r>
              <w:rPr>
                <w:b w:val="false"/>
                <w:bCs w:val="false"/>
                <w:color w:val="22323A"/>
                <w:sz w:val="20"/>
                <w:szCs w:val="20"/>
              </w:rPr>
              <w:t xml:space="preserve">TensorFlow Lite on-device, or server-based ML depending on model size and dataset maturity</w:t>
            </w:r>
          </w:p>
        </w:tc>
      </w:tr>
    </w:tbl>
    <w:p>
      <w:pPr>
        <w:spacing w:after="140" w:line="300"/>
      </w:pPr>
      <w:r>
        <w:rPr>
          <w:b w:val="false"/>
          <w:bCs w:val="false"/>
          <w:i w:val="false"/>
          <w:iCs w:val="false"/>
          <w:color w:val="22323A"/>
          <w:sz w:val="21"/>
          <w:szCs w:val="21"/>
        </w:rPr>
        <w:t xml:space="preserve">Stack choices are optimised for offline-first operation, background data sync, role-based access across three user types, secure authentication, image storage, full transaction records, an audit trail, and low bandwidth usage — realistic for an MVP built in a hackathon timeframe.</w:t>
      </w:r>
    </w:p>
    <w:p>
      <w:pPr>
        <w:pStyle w:val="Heading1"/>
        <w:pBdr>
          <w:bottom w:val="single" w:color="0F6B6B" w:sz="8" w:space="4"/>
        </w:pBdr>
        <w:spacing w:after="160" w:before="360"/>
      </w:pPr>
      <w:r>
        <w:rPr>
          <w:b/>
          <w:bCs/>
          <w:color w:val="0F6B6B"/>
          <w:sz w:val="30"/>
          <w:szCs w:val="30"/>
        </w:rPr>
        <w:t xml:space="preserve">3. Dataset Architecture</w:t>
      </w:r>
    </w:p>
    <w:p>
      <w:pPr>
        <w:spacing w:after="140" w:line="300"/>
      </w:pPr>
      <w:r>
        <w:rPr>
          <w:b w:val="false"/>
          <w:bCs w:val="false"/>
          <w:i w:val="false"/>
          <w:iCs w:val="false"/>
          <w:color w:val="22323A"/>
          <w:sz w:val="21"/>
          <w:szCs w:val="21"/>
        </w:rPr>
        <w:t xml:space="preserve">Dhatu is built around structured datasets that feed each other — material and price data captured on the ground is what makes the recommendation and matching engines useful over time.</w:t>
      </w:r>
    </w:p>
    <w:p>
      <w:pPr>
        <w:pStyle w:val="Heading2"/>
        <w:spacing w:after="120" w:before="280"/>
      </w:pPr>
      <w:r>
        <w:rPr>
          <w:b/>
          <w:bCs/>
          <w:color w:val="E0A526"/>
          <w:sz w:val="24"/>
          <w:szCs w:val="24"/>
        </w:rPr>
        <w:t xml:space="preserve">3.1 Material Dataset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tblHeader/>
        </w:trPr>
        <w:tc>
          <w:tcPr>
            <w:tcW w:type="dxa" w:w="9600"/>
            <w:shd w:fill="0F6B6B" w:val="clear"/>
            <w:tcMar>
              <w:top w:type="dxa" w:w="80"/>
              <w:left w:type="dxa" w:w="100"/>
              <w:bottom w:type="dxa" w:w="80"/>
              <w:right w:type="dxa" w:w="100"/>
            </w:tcMar>
            <w:vAlign w:val="center"/>
          </w:tcPr>
          <w:p>
            <w:pPr>
              <w:spacing w:after="40" w:before="40"/>
            </w:pPr>
            <w:r>
              <w:rPr>
                <w:b/>
                <w:bCs/>
                <w:color w:val="FFFFFF"/>
                <w:sz w:val="20"/>
                <w:szCs w:val="20"/>
              </w:rPr>
              <w:t xml:space="preserve">Field</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Material category</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Sub-category</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Description</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Image</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Approximate weight</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Condition</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Source type</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Estimated value</w:t>
            </w:r>
          </w:p>
        </w:tc>
      </w:tr>
    </w:tbl>
    <w:p>
      <w:pPr>
        <w:pStyle w:val="Heading2"/>
        <w:spacing w:after="120" w:before="280"/>
      </w:pPr>
      <w:r>
        <w:rPr>
          <w:b/>
          <w:bCs/>
          <w:color w:val="E0A526"/>
          <w:sz w:val="24"/>
          <w:szCs w:val="24"/>
        </w:rPr>
        <w:t xml:space="preserve">3.2 Price Dataset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tblHeader/>
        </w:trPr>
        <w:tc>
          <w:tcPr>
            <w:tcW w:type="dxa" w:w="9600"/>
            <w:shd w:fill="0F6B6B" w:val="clear"/>
            <w:tcMar>
              <w:top w:type="dxa" w:w="80"/>
              <w:left w:type="dxa" w:w="100"/>
              <w:bottom w:type="dxa" w:w="80"/>
              <w:right w:type="dxa" w:w="100"/>
            </w:tcMar>
            <w:vAlign w:val="center"/>
          </w:tcPr>
          <w:p>
            <w:pPr>
              <w:spacing w:after="40" w:before="40"/>
            </w:pPr>
            <w:r>
              <w:rPr>
                <w:b/>
                <w:bCs/>
                <w:color w:val="FFFFFF"/>
                <w:sz w:val="20"/>
                <w:szCs w:val="20"/>
              </w:rPr>
              <w:t xml:space="preserve">Field</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Material category</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Location</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Date and time</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Buying price</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Quoted price</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Unit</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Recycler or aggregator</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Historical price information</w:t>
            </w:r>
          </w:p>
        </w:tc>
      </w:tr>
    </w:tbl>
    <w:p>
      <w:pPr>
        <w:pStyle w:val="Heading2"/>
        <w:spacing w:after="120" w:before="280"/>
      </w:pPr>
      <w:r>
        <w:rPr>
          <w:b/>
          <w:bCs/>
          <w:color w:val="E0A526"/>
          <w:sz w:val="24"/>
          <w:szCs w:val="24"/>
        </w:rPr>
        <w:t xml:space="preserve">3.3 Recycler Dataset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tblHeader/>
        </w:trPr>
        <w:tc>
          <w:tcPr>
            <w:tcW w:type="dxa" w:w="9600"/>
            <w:shd w:fill="0F6B6B" w:val="clear"/>
            <w:tcMar>
              <w:top w:type="dxa" w:w="80"/>
              <w:left w:type="dxa" w:w="100"/>
              <w:bottom w:type="dxa" w:w="80"/>
              <w:right w:type="dxa" w:w="100"/>
            </w:tcMar>
            <w:vAlign w:val="center"/>
          </w:tcPr>
          <w:p>
            <w:pPr>
              <w:spacing w:after="40" w:before="40"/>
            </w:pPr>
            <w:r>
              <w:rPr>
                <w:b/>
                <w:bCs/>
                <w:color w:val="FFFFFF"/>
                <w:sz w:val="20"/>
                <w:szCs w:val="20"/>
              </w:rPr>
              <w:t xml:space="preserve">Field</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Recycler name</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Facility location</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Materials accepted</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Authorization details</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Authorization status</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Contact information</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Offered rates</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Pickup availability</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Service area</w:t>
            </w:r>
          </w:p>
        </w:tc>
      </w:tr>
    </w:tbl>
    <w:p>
      <w:r>
        <w:br w:type="page"/>
      </w:r>
    </w:p>
    <w:p>
      <w:pPr>
        <w:pStyle w:val="Heading2"/>
        <w:spacing w:after="120" w:before="280"/>
      </w:pPr>
      <w:r>
        <w:rPr>
          <w:b/>
          <w:bCs/>
          <w:color w:val="E0A526"/>
          <w:sz w:val="24"/>
          <w:szCs w:val="24"/>
        </w:rPr>
        <w:t xml:space="preserve">3.4 Transaction Dataset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tblHeader/>
        </w:trPr>
        <w:tc>
          <w:tcPr>
            <w:tcW w:type="dxa" w:w="9600"/>
            <w:shd w:fill="0F6B6B" w:val="clear"/>
            <w:tcMar>
              <w:top w:type="dxa" w:w="80"/>
              <w:left w:type="dxa" w:w="100"/>
              <w:bottom w:type="dxa" w:w="80"/>
              <w:right w:type="dxa" w:w="100"/>
            </w:tcMar>
            <w:vAlign w:val="center"/>
          </w:tcPr>
          <w:p>
            <w:pPr>
              <w:spacing w:after="40" w:before="40"/>
            </w:pPr>
            <w:r>
              <w:rPr>
                <w:b/>
                <w:bCs/>
                <w:color w:val="FFFFFF"/>
                <w:sz w:val="20"/>
                <w:szCs w:val="20"/>
              </w:rPr>
              <w:t xml:space="preserve">Field</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Unique Lot ID</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Collector ID</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Material information</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Weight</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Quoted price</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Final price</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Recycler ID</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Collection location</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Handover location</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Date and time</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Payment status</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Transaction status</w:t>
            </w:r>
          </w:p>
        </w:tc>
      </w:tr>
    </w:tbl>
    <w:p>
      <w:pPr>
        <w:pStyle w:val="Heading2"/>
        <w:spacing w:after="120" w:before="280"/>
      </w:pPr>
      <w:r>
        <w:rPr>
          <w:b/>
          <w:bCs/>
          <w:color w:val="E0A526"/>
          <w:sz w:val="24"/>
          <w:szCs w:val="24"/>
        </w:rPr>
        <w:t xml:space="preserve">3.5 Traceability Dataset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tblHeader/>
        </w:trPr>
        <w:tc>
          <w:tcPr>
            <w:tcW w:type="dxa" w:w="9600"/>
            <w:shd w:fill="0F6B6B" w:val="clear"/>
            <w:tcMar>
              <w:top w:type="dxa" w:w="80"/>
              <w:left w:type="dxa" w:w="100"/>
              <w:bottom w:type="dxa" w:w="80"/>
              <w:right w:type="dxa" w:w="100"/>
            </w:tcMar>
            <w:vAlign w:val="center"/>
          </w:tcPr>
          <w:p>
            <w:pPr>
              <w:spacing w:after="40" w:before="40"/>
            </w:pPr>
            <w:r>
              <w:rPr>
                <w:b/>
                <w:bCs/>
                <w:color w:val="FFFFFF"/>
                <w:sz w:val="20"/>
                <w:szCs w:val="20"/>
              </w:rPr>
              <w:t xml:space="preserve">Field</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Lot ID</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Photographs</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Weight</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Timestamp</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GPS / location</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Handover reference number</w:t>
            </w:r>
          </w:p>
        </w:tc>
      </w:tr>
      <w:tr>
        <w:tc>
          <w:tcPr>
            <w:tcW w:type="dxa" w:w="9600"/>
            <w:tcMar>
              <w:top w:type="dxa" w:w="80"/>
              <w:left w:type="dxa" w:w="100"/>
              <w:bottom w:type="dxa" w:w="80"/>
              <w:right w:type="dxa" w:w="100"/>
            </w:tcMar>
          </w:tcPr>
          <w:p>
            <w:pPr>
              <w:spacing w:after="40" w:before="40"/>
            </w:pPr>
            <w:r>
              <w:rPr>
                <w:b w:val="false"/>
                <w:bCs w:val="false"/>
                <w:color w:val="22323A"/>
                <w:sz w:val="20"/>
                <w:szCs w:val="20"/>
              </w:rPr>
              <w:t xml:space="preserve">Recycler confirmation</w:t>
            </w:r>
          </w:p>
        </w:tc>
      </w:tr>
      <w:tr>
        <w:tc>
          <w:tcPr>
            <w:tcW w:type="dxa" w:w="9600"/>
            <w:shd w:fill="E4F1F1" w:val="clear"/>
            <w:tcMar>
              <w:top w:type="dxa" w:w="80"/>
              <w:left w:type="dxa" w:w="100"/>
              <w:bottom w:type="dxa" w:w="80"/>
              <w:right w:type="dxa" w:w="100"/>
            </w:tcMar>
          </w:tcPr>
          <w:p>
            <w:pPr>
              <w:spacing w:after="40" w:before="40"/>
            </w:pPr>
            <w:r>
              <w:rPr>
                <w:b w:val="false"/>
                <w:bCs w:val="false"/>
                <w:color w:val="22323A"/>
                <w:sz w:val="20"/>
                <w:szCs w:val="20"/>
              </w:rPr>
              <w:t xml:space="preserve">Transaction status</w:t>
            </w:r>
          </w:p>
        </w:tc>
      </w:tr>
    </w:tbl>
    <w:p>
      <w:pPr>
        <w:pStyle w:val="Heading1"/>
        <w:pBdr>
          <w:bottom w:val="single" w:color="0F6B6B" w:sz="8" w:space="4"/>
        </w:pBdr>
        <w:spacing w:after="160" w:before="360"/>
      </w:pPr>
      <w:r>
        <w:rPr>
          <w:b/>
          <w:bCs/>
          <w:color w:val="0F6B6B"/>
          <w:sz w:val="30"/>
          <w:szCs w:val="30"/>
        </w:rPr>
        <w:t xml:space="preserve">4. AI / ML Feature Requirements</w:t>
      </w:r>
    </w:p>
    <w:p>
      <w:pPr>
        <w:spacing w:after="140" w:line="300"/>
      </w:pPr>
      <w:r>
        <w:rPr>
          <w:b w:val="false"/>
          <w:bCs w:val="false"/>
          <w:i w:val="false"/>
          <w:iCs w:val="false"/>
          <w:color w:val="22323A"/>
          <w:sz w:val="21"/>
          <w:szCs w:val="21"/>
        </w:rPr>
        <w:t xml:space="preserve">All four models are scoped to be realistic for an SIH prototype timeline: classification and value estimation can run on modest, honestly-labelled demonstration data; recycler ranking is a straightforward weighted scoring function rather than a black-box model; and anomaly detection is a simple statistical deviation check, clearly presented as a flag for human review, not an automated fraud verdict.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100"/>
      </w:tblGrid>
      <w:tr>
        <w:trPr>
          <w:tblHeader/>
        </w:trPr>
        <w:tc>
          <w:tcPr>
            <w:tcW w:type="dxa" w:w="2600"/>
            <w:shd w:fill="0F6B6B" w:val="clear"/>
            <w:tcMar>
              <w:top w:type="dxa" w:w="80"/>
              <w:left w:type="dxa" w:w="100"/>
              <w:bottom w:type="dxa" w:w="80"/>
              <w:right w:type="dxa" w:w="100"/>
            </w:tcMar>
            <w:vAlign w:val="center"/>
          </w:tcPr>
          <w:p>
            <w:pPr>
              <w:spacing w:after="40" w:before="40"/>
            </w:pPr>
            <w:r>
              <w:rPr>
                <w:b/>
                <w:bCs/>
                <w:color w:val="FFFFFF"/>
                <w:sz w:val="20"/>
                <w:szCs w:val="20"/>
              </w:rPr>
              <w:t xml:space="preserve">Model</w:t>
            </w:r>
          </w:p>
        </w:tc>
        <w:tc>
          <w:tcPr>
            <w:tcW w:type="dxa" w:w="3900"/>
            <w:shd w:fill="0F6B6B" w:val="clear"/>
            <w:tcMar>
              <w:top w:type="dxa" w:w="80"/>
              <w:left w:type="dxa" w:w="100"/>
              <w:bottom w:type="dxa" w:w="80"/>
              <w:right w:type="dxa" w:w="100"/>
            </w:tcMar>
            <w:vAlign w:val="center"/>
          </w:tcPr>
          <w:p>
            <w:pPr>
              <w:spacing w:after="40" w:before="40"/>
            </w:pPr>
            <w:r>
              <w:rPr>
                <w:b/>
                <w:bCs/>
                <w:color w:val="FFFFFF"/>
                <w:sz w:val="20"/>
                <w:szCs w:val="20"/>
              </w:rPr>
              <w:t xml:space="preserve">Input</w:t>
            </w:r>
          </w:p>
        </w:tc>
        <w:tc>
          <w:tcPr>
            <w:tcW w:type="dxa" w:w="3100"/>
            <w:shd w:fill="0F6B6B" w:val="clear"/>
            <w:tcMar>
              <w:top w:type="dxa" w:w="80"/>
              <w:left w:type="dxa" w:w="100"/>
              <w:bottom w:type="dxa" w:w="80"/>
              <w:right w:type="dxa" w:w="100"/>
            </w:tcMar>
            <w:vAlign w:val="center"/>
          </w:tcPr>
          <w:p>
            <w:pPr>
              <w:spacing w:after="40" w:before="40"/>
            </w:pPr>
            <w:r>
              <w:rPr>
                <w:b/>
                <w:bCs/>
                <w:color w:val="FFFFFF"/>
                <w:sz w:val="20"/>
                <w:szCs w:val="20"/>
              </w:rPr>
              <w:t xml:space="preserve">Output</w:t>
            </w:r>
          </w:p>
        </w:tc>
      </w:tr>
      <w:tr>
        <w:tc>
          <w:tcPr>
            <w:tcW w:type="dxa" w:w="2600"/>
            <w:tcMar>
              <w:top w:type="dxa" w:w="80"/>
              <w:left w:type="dxa" w:w="100"/>
              <w:bottom w:type="dxa" w:w="80"/>
              <w:right w:type="dxa" w:w="100"/>
            </w:tcMar>
          </w:tcPr>
          <w:p>
            <w:pPr>
              <w:spacing w:after="40" w:before="40"/>
            </w:pPr>
            <w:r>
              <w:rPr>
                <w:b w:val="false"/>
                <w:bCs w:val="false"/>
                <w:color w:val="22323A"/>
                <w:sz w:val="20"/>
                <w:szCs w:val="20"/>
              </w:rPr>
              <w:t xml:space="preserve">1. Material Classification</w:t>
            </w:r>
          </w:p>
        </w:tc>
        <w:tc>
          <w:tcPr>
            <w:tcW w:type="dxa" w:w="3900"/>
            <w:tcMar>
              <w:top w:type="dxa" w:w="80"/>
              <w:left w:type="dxa" w:w="100"/>
              <w:bottom w:type="dxa" w:w="80"/>
              <w:right w:type="dxa" w:w="100"/>
            </w:tcMar>
          </w:tcPr>
          <w:p>
            <w:pPr>
              <w:spacing w:after="40" w:before="40"/>
            </w:pPr>
            <w:r>
              <w:rPr>
                <w:b w:val="false"/>
                <w:bCs w:val="false"/>
                <w:color w:val="22323A"/>
                <w:sz w:val="20"/>
                <w:szCs w:val="20"/>
              </w:rPr>
              <w:t xml:space="preserve">Material image</w:t>
            </w:r>
          </w:p>
        </w:tc>
        <w:tc>
          <w:tcPr>
            <w:tcW w:type="dxa" w:w="3100"/>
            <w:tcMar>
              <w:top w:type="dxa" w:w="80"/>
              <w:left w:type="dxa" w:w="100"/>
              <w:bottom w:type="dxa" w:w="80"/>
              <w:right w:type="dxa" w:w="100"/>
            </w:tcMar>
          </w:tcPr>
          <w:p>
            <w:pPr>
              <w:spacing w:after="40" w:before="40"/>
            </w:pPr>
            <w:r>
              <w:rPr>
                <w:b w:val="false"/>
                <w:bCs w:val="false"/>
                <w:color w:val="22323A"/>
                <w:sz w:val="20"/>
                <w:szCs w:val="20"/>
              </w:rPr>
              <w:t xml:space="preserve">Suggested category + confidence score, always manually correctable</w:t>
            </w:r>
          </w:p>
        </w:tc>
      </w:tr>
      <w:tr>
        <w:tc>
          <w:tcPr>
            <w:tcW w:type="dxa" w:w="2600"/>
            <w:shd w:fill="E4F1F1" w:val="clear"/>
            <w:tcMar>
              <w:top w:type="dxa" w:w="80"/>
              <w:left w:type="dxa" w:w="100"/>
              <w:bottom w:type="dxa" w:w="80"/>
              <w:right w:type="dxa" w:w="100"/>
            </w:tcMar>
          </w:tcPr>
          <w:p>
            <w:pPr>
              <w:spacing w:after="40" w:before="40"/>
            </w:pPr>
            <w:r>
              <w:rPr>
                <w:b w:val="false"/>
                <w:bCs w:val="false"/>
                <w:color w:val="22323A"/>
                <w:sz w:val="20"/>
                <w:szCs w:val="20"/>
              </w:rPr>
              <w:t xml:space="preserve">2. Value Estimation</w:t>
            </w:r>
          </w:p>
        </w:tc>
        <w:tc>
          <w:tcPr>
            <w:tcW w:type="dxa" w:w="3900"/>
            <w:shd w:fill="E4F1F1" w:val="clear"/>
            <w:tcMar>
              <w:top w:type="dxa" w:w="80"/>
              <w:left w:type="dxa" w:w="100"/>
              <w:bottom w:type="dxa" w:w="80"/>
              <w:right w:type="dxa" w:w="100"/>
            </w:tcMar>
          </w:tcPr>
          <w:p>
            <w:pPr>
              <w:spacing w:after="40" w:before="40"/>
            </w:pPr>
            <w:r>
              <w:rPr>
                <w:b w:val="false"/>
                <w:bCs w:val="false"/>
                <w:color w:val="22323A"/>
                <w:sz w:val="20"/>
                <w:szCs w:val="20"/>
              </w:rPr>
              <w:t xml:space="preserve">Category, weight, location, historical prices</w:t>
            </w:r>
          </w:p>
        </w:tc>
        <w:tc>
          <w:tcPr>
            <w:tcW w:type="dxa" w:w="3100"/>
            <w:shd w:fill="E4F1F1" w:val="clear"/>
            <w:tcMar>
              <w:top w:type="dxa" w:w="80"/>
              <w:left w:type="dxa" w:w="100"/>
              <w:bottom w:type="dxa" w:w="80"/>
              <w:right w:type="dxa" w:w="100"/>
            </w:tcMar>
          </w:tcPr>
          <w:p>
            <w:pPr>
              <w:spacing w:after="40" w:before="40"/>
            </w:pPr>
            <w:r>
              <w:rPr>
                <w:b w:val="false"/>
                <w:bCs w:val="false"/>
                <w:color w:val="22323A"/>
                <w:sz w:val="20"/>
                <w:szCs w:val="20"/>
              </w:rPr>
              <w:t xml:space="preserve">Approximate value range, never a final price</w:t>
            </w:r>
          </w:p>
        </w:tc>
      </w:tr>
      <w:tr>
        <w:tc>
          <w:tcPr>
            <w:tcW w:type="dxa" w:w="2600"/>
            <w:tcMar>
              <w:top w:type="dxa" w:w="80"/>
              <w:left w:type="dxa" w:w="100"/>
              <w:bottom w:type="dxa" w:w="80"/>
              <w:right w:type="dxa" w:w="100"/>
            </w:tcMar>
          </w:tcPr>
          <w:p>
            <w:pPr>
              <w:spacing w:after="40" w:before="40"/>
            </w:pPr>
            <w:r>
              <w:rPr>
                <w:b w:val="false"/>
                <w:bCs w:val="false"/>
                <w:color w:val="22323A"/>
                <w:sz w:val="20"/>
                <w:szCs w:val="20"/>
              </w:rPr>
              <w:t xml:space="preserve">3. Recycler Recommendation</w:t>
            </w:r>
          </w:p>
        </w:tc>
        <w:tc>
          <w:tcPr>
            <w:tcW w:type="dxa" w:w="3900"/>
            <w:tcMar>
              <w:top w:type="dxa" w:w="80"/>
              <w:left w:type="dxa" w:w="100"/>
              <w:bottom w:type="dxa" w:w="80"/>
              <w:right w:type="dxa" w:w="100"/>
            </w:tcMar>
          </w:tcPr>
          <w:p>
            <w:pPr>
              <w:spacing w:after="40" w:before="40"/>
            </w:pPr>
            <w:r>
              <w:rPr>
                <w:b w:val="false"/>
                <w:bCs w:val="false"/>
                <w:color w:val="22323A"/>
                <w:sz w:val="20"/>
                <w:szCs w:val="20"/>
              </w:rPr>
              <w:t xml:space="preserve">Authorization status, material fit, distance, price, pickup availability</w:t>
            </w:r>
          </w:p>
        </w:tc>
        <w:tc>
          <w:tcPr>
            <w:tcW w:type="dxa" w:w="3100"/>
            <w:tcMar>
              <w:top w:type="dxa" w:w="80"/>
              <w:left w:type="dxa" w:w="100"/>
              <w:bottom w:type="dxa" w:w="80"/>
              <w:right w:type="dxa" w:w="100"/>
            </w:tcMar>
          </w:tcPr>
          <w:p>
            <w:pPr>
              <w:spacing w:after="40" w:before="40"/>
            </w:pPr>
            <w:r>
              <w:rPr>
                <w:b w:val="false"/>
                <w:bCs w:val="false"/>
                <w:color w:val="22323A"/>
                <w:sz w:val="20"/>
                <w:szCs w:val="20"/>
              </w:rPr>
              <w:t xml:space="preserve">A ranked list of suitable recyclers</w:t>
            </w:r>
          </w:p>
        </w:tc>
      </w:tr>
      <w:tr>
        <w:tc>
          <w:tcPr>
            <w:tcW w:type="dxa" w:w="2600"/>
            <w:shd w:fill="E4F1F1" w:val="clear"/>
            <w:tcMar>
              <w:top w:type="dxa" w:w="80"/>
              <w:left w:type="dxa" w:w="100"/>
              <w:bottom w:type="dxa" w:w="80"/>
              <w:right w:type="dxa" w:w="100"/>
            </w:tcMar>
          </w:tcPr>
          <w:p>
            <w:pPr>
              <w:spacing w:after="40" w:before="40"/>
            </w:pPr>
            <w:r>
              <w:rPr>
                <w:b w:val="false"/>
                <w:bCs w:val="false"/>
                <w:color w:val="22323A"/>
                <w:sz w:val="20"/>
                <w:szCs w:val="20"/>
              </w:rPr>
              <w:t xml:space="preserve">4. Transaction Anomaly Detection</w:t>
            </w:r>
          </w:p>
        </w:tc>
        <w:tc>
          <w:tcPr>
            <w:tcW w:type="dxa" w:w="3900"/>
            <w:shd w:fill="E4F1F1" w:val="clear"/>
            <w:tcMar>
              <w:top w:type="dxa" w:w="80"/>
              <w:left w:type="dxa" w:w="100"/>
              <w:bottom w:type="dxa" w:w="80"/>
              <w:right w:type="dxa" w:w="100"/>
            </w:tcMar>
          </w:tcPr>
          <w:p>
            <w:pPr>
              <w:spacing w:after="40" w:before="40"/>
            </w:pPr>
            <w:r>
              <w:rPr>
                <w:b w:val="false"/>
                <w:bCs w:val="false"/>
                <w:color w:val="22323A"/>
                <w:sz w:val="20"/>
                <w:szCs w:val="20"/>
              </w:rPr>
              <w:t xml:space="preserve">Current transaction vs. historical price pattern</w:t>
            </w:r>
          </w:p>
        </w:tc>
        <w:tc>
          <w:tcPr>
            <w:tcW w:type="dxa" w:w="3100"/>
            <w:shd w:fill="E4F1F1" w:val="clear"/>
            <w:tcMar>
              <w:top w:type="dxa" w:w="80"/>
              <w:left w:type="dxa" w:w="100"/>
              <w:bottom w:type="dxa" w:w="80"/>
              <w:right w:type="dxa" w:w="100"/>
            </w:tcMar>
          </w:tcPr>
          <w:p>
            <w:pPr>
              <w:spacing w:after="40" w:before="40"/>
            </w:pPr>
            <w:r>
              <w:rPr>
                <w:b w:val="false"/>
                <w:bCs w:val="false"/>
                <w:color w:val="22323A"/>
                <w:sz w:val="20"/>
                <w:szCs w:val="20"/>
              </w:rPr>
              <w:t xml:space="preserve">A flag for review — an indicator only, never proof of fraud</w:t>
            </w:r>
          </w:p>
        </w:tc>
      </w:tr>
    </w:tbl>
    <w:p>
      <w:pPr>
        <w:pStyle w:val="Heading1"/>
        <w:pBdr>
          <w:bottom w:val="single" w:color="0F6B6B" w:sz="8" w:space="4"/>
        </w:pBdr>
        <w:spacing w:after="160" w:before="360"/>
      </w:pPr>
      <w:r>
        <w:rPr>
          <w:b/>
          <w:bCs/>
          <w:color w:val="0F6B6B"/>
          <w:sz w:val="30"/>
          <w:szCs w:val="30"/>
        </w:rPr>
        <w:t xml:space="preserve">5. Offline-First Requirements</w:t>
      </w:r>
    </w:p>
    <w:p>
      <w:pPr>
        <w:spacing w:after="140" w:line="300"/>
      </w:pPr>
      <w:r>
        <w:rPr>
          <w:b w:val="false"/>
          <w:bCs w:val="false"/>
          <w:i w:val="false"/>
          <w:iCs w:val="false"/>
          <w:color w:val="22323A"/>
          <w:sz w:val="21"/>
          <w:szCs w:val="21"/>
        </w:rPr>
        <w:t xml:space="preserve">When the internet is unavailable, a collector must still be able to create lots, capture images, enter material details, record approximate weights, and save transactions — all stored securely on the device. The moment internet becomes available again, the app syncs pending data to the server, the server validates it, and the app updates each record's sync status.</w:t>
      </w:r>
    </w:p>
    <w:p>
      <w:pPr>
        <w:pStyle w:val="Heading2"/>
        <w:spacing w:after="120" w:before="280"/>
      </w:pPr>
      <w:r>
        <w:rPr>
          <w:b/>
          <w:bCs/>
          <w:color w:val="E0A526"/>
          <w:sz w:val="24"/>
          <w:szCs w:val="24"/>
        </w:rPr>
        <w:t xml:space="preserve">5.1 Sync Status Indicators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0F6B6B" w:val="clear"/>
            <w:tcMar>
              <w:top w:type="dxa" w:w="80"/>
              <w:left w:type="dxa" w:w="100"/>
              <w:bottom w:type="dxa" w:w="80"/>
              <w:right w:type="dxa" w:w="100"/>
            </w:tcMar>
            <w:vAlign w:val="center"/>
          </w:tcPr>
          <w:p>
            <w:pPr>
              <w:spacing w:after="40" w:before="40"/>
            </w:pPr>
            <w:r>
              <w:rPr>
                <w:b/>
                <w:bCs/>
                <w:color w:val="FFFFFF"/>
                <w:sz w:val="20"/>
                <w:szCs w:val="20"/>
              </w:rPr>
              <w:t xml:space="preserve">Indicator</w:t>
            </w:r>
          </w:p>
        </w:tc>
        <w:tc>
          <w:tcPr>
            <w:tcW w:type="dxa" w:w="6200"/>
            <w:shd w:fill="0F6B6B" w:val="clear"/>
            <w:tcMar>
              <w:top w:type="dxa" w:w="80"/>
              <w:left w:type="dxa" w:w="100"/>
              <w:bottom w:type="dxa" w:w="80"/>
              <w:right w:type="dxa" w:w="100"/>
            </w:tcMar>
            <w:vAlign w:val="center"/>
          </w:tcPr>
          <w:p>
            <w:pPr>
              <w:spacing w:after="40" w:before="40"/>
            </w:pPr>
            <w:r>
              <w:rPr>
                <w:b/>
                <w:bCs/>
                <w:color w:val="FFFFFF"/>
                <w:sz w:val="20"/>
                <w:szCs w:val="20"/>
              </w:rPr>
              <w:t xml:space="preserve">Meaning</w:t>
            </w:r>
          </w:p>
        </w:tc>
      </w:tr>
      <w:tr>
        <w:tc>
          <w:tcPr>
            <w:tcW w:type="dxa" w:w="3400"/>
            <w:tcMar>
              <w:top w:type="dxa" w:w="80"/>
              <w:left w:type="dxa" w:w="100"/>
              <w:bottom w:type="dxa" w:w="80"/>
              <w:right w:type="dxa" w:w="100"/>
            </w:tcMar>
          </w:tcPr>
          <w:p>
            <w:pPr>
              <w:spacing w:after="40" w:before="40"/>
            </w:pPr>
            <w:r>
              <w:rPr>
                <w:b w:val="false"/>
                <w:bCs w:val="false"/>
                <w:color w:val="22323A"/>
                <w:sz w:val="20"/>
                <w:szCs w:val="20"/>
              </w:rPr>
              <w:t xml:space="preserve">🟡 Saved Offline</w:t>
            </w:r>
          </w:p>
        </w:tc>
        <w:tc>
          <w:tcPr>
            <w:tcW w:type="dxa" w:w="6200"/>
            <w:tcMar>
              <w:top w:type="dxa" w:w="80"/>
              <w:left w:type="dxa" w:w="100"/>
              <w:bottom w:type="dxa" w:w="80"/>
              <w:right w:type="dxa" w:w="100"/>
            </w:tcMar>
          </w:tcPr>
          <w:p>
            <w:pPr>
              <w:spacing w:after="40" w:before="40"/>
            </w:pPr>
            <w:r>
              <w:rPr>
                <w:b w:val="false"/>
                <w:bCs w:val="false"/>
                <w:color w:val="22323A"/>
                <w:sz w:val="20"/>
                <w:szCs w:val="20"/>
              </w:rPr>
              <w:t xml:space="preserve">Data captured on-device, not yet synced</w:t>
            </w:r>
          </w:p>
        </w:tc>
      </w:tr>
      <w:tr>
        <w:tc>
          <w:tcPr>
            <w:tcW w:type="dxa" w:w="3400"/>
            <w:shd w:fill="E4F1F1" w:val="clear"/>
            <w:tcMar>
              <w:top w:type="dxa" w:w="80"/>
              <w:left w:type="dxa" w:w="100"/>
              <w:bottom w:type="dxa" w:w="80"/>
              <w:right w:type="dxa" w:w="100"/>
            </w:tcMar>
          </w:tcPr>
          <w:p>
            <w:pPr>
              <w:spacing w:after="40" w:before="40"/>
            </w:pPr>
            <w:r>
              <w:rPr>
                <w:b w:val="false"/>
                <w:bCs w:val="false"/>
                <w:color w:val="22323A"/>
                <w:sz w:val="20"/>
                <w:szCs w:val="20"/>
              </w:rPr>
              <w:t xml:space="preserve">🔵 Synchronizing</w:t>
            </w:r>
          </w:p>
        </w:tc>
        <w:tc>
          <w:tcPr>
            <w:tcW w:type="dxa" w:w="6200"/>
            <w:shd w:fill="E4F1F1" w:val="clear"/>
            <w:tcMar>
              <w:top w:type="dxa" w:w="80"/>
              <w:left w:type="dxa" w:w="100"/>
              <w:bottom w:type="dxa" w:w="80"/>
              <w:right w:type="dxa" w:w="100"/>
            </w:tcMar>
          </w:tcPr>
          <w:p>
            <w:pPr>
              <w:spacing w:after="40" w:before="40"/>
            </w:pPr>
            <w:r>
              <w:rPr>
                <w:b w:val="false"/>
                <w:bCs w:val="false"/>
                <w:color w:val="22323A"/>
                <w:sz w:val="20"/>
                <w:szCs w:val="20"/>
              </w:rPr>
              <w:t xml:space="preserve">Upload/sync currently in progress</w:t>
            </w:r>
          </w:p>
        </w:tc>
      </w:tr>
      <w:tr>
        <w:tc>
          <w:tcPr>
            <w:tcW w:type="dxa" w:w="3400"/>
            <w:tcMar>
              <w:top w:type="dxa" w:w="80"/>
              <w:left w:type="dxa" w:w="100"/>
              <w:bottom w:type="dxa" w:w="80"/>
              <w:right w:type="dxa" w:w="100"/>
            </w:tcMar>
          </w:tcPr>
          <w:p>
            <w:pPr>
              <w:spacing w:after="40" w:before="40"/>
            </w:pPr>
            <w:r>
              <w:rPr>
                <w:b w:val="false"/>
                <w:bCs w:val="false"/>
                <w:color w:val="22323A"/>
                <w:sz w:val="20"/>
                <w:szCs w:val="20"/>
              </w:rPr>
              <w:t xml:space="preserve">🟢 Synced Successfully</w:t>
            </w:r>
          </w:p>
        </w:tc>
        <w:tc>
          <w:tcPr>
            <w:tcW w:type="dxa" w:w="6200"/>
            <w:tcMar>
              <w:top w:type="dxa" w:w="80"/>
              <w:left w:type="dxa" w:w="100"/>
              <w:bottom w:type="dxa" w:w="80"/>
              <w:right w:type="dxa" w:w="100"/>
            </w:tcMar>
          </w:tcPr>
          <w:p>
            <w:pPr>
              <w:spacing w:after="40" w:before="40"/>
            </w:pPr>
            <w:r>
              <w:rPr>
                <w:b w:val="false"/>
                <w:bCs w:val="false"/>
                <w:color w:val="22323A"/>
                <w:sz w:val="20"/>
                <w:szCs w:val="20"/>
              </w:rPr>
              <w:t xml:space="preserve">Data confirmed and validated on server</w:t>
            </w:r>
          </w:p>
        </w:tc>
      </w:tr>
      <w:tr>
        <w:tc>
          <w:tcPr>
            <w:tcW w:type="dxa" w:w="3400"/>
            <w:shd w:fill="E4F1F1" w:val="clear"/>
            <w:tcMar>
              <w:top w:type="dxa" w:w="80"/>
              <w:left w:type="dxa" w:w="100"/>
              <w:bottom w:type="dxa" w:w="80"/>
              <w:right w:type="dxa" w:w="100"/>
            </w:tcMar>
          </w:tcPr>
          <w:p>
            <w:pPr>
              <w:spacing w:after="40" w:before="40"/>
            </w:pPr>
            <w:r>
              <w:rPr>
                <w:b w:val="false"/>
                <w:bCs w:val="false"/>
                <w:color w:val="22323A"/>
                <w:sz w:val="20"/>
                <w:szCs w:val="20"/>
              </w:rPr>
              <w:t xml:space="preserve">🔴 Requires Attention</w:t>
            </w:r>
          </w:p>
        </w:tc>
        <w:tc>
          <w:tcPr>
            <w:tcW w:type="dxa" w:w="6200"/>
            <w:shd w:fill="E4F1F1" w:val="clear"/>
            <w:tcMar>
              <w:top w:type="dxa" w:w="80"/>
              <w:left w:type="dxa" w:w="100"/>
              <w:bottom w:type="dxa" w:w="80"/>
              <w:right w:type="dxa" w:w="100"/>
            </w:tcMar>
          </w:tcPr>
          <w:p>
            <w:pPr>
              <w:spacing w:after="40" w:before="40"/>
            </w:pPr>
            <w:r>
              <w:rPr>
                <w:b w:val="false"/>
                <w:bCs w:val="false"/>
                <w:color w:val="22323A"/>
                <w:sz w:val="20"/>
                <w:szCs w:val="20"/>
              </w:rPr>
              <w:t xml:space="preserve">Sync failed or validation error — needs user/admin action</w:t>
            </w:r>
          </w:p>
        </w:tc>
      </w:tr>
    </w:tbl>
    <w:p>
      <w:pPr>
        <w:pStyle w:val="Heading2"/>
        <w:spacing w:after="120" w:before="280"/>
      </w:pPr>
      <w:r>
        <w:rPr>
          <w:b/>
          <w:bCs/>
          <w:color w:val="E0A526"/>
          <w:sz w:val="24"/>
          <w:szCs w:val="24"/>
        </w:rPr>
        <w:t xml:space="preserve">5.2 Sync Engine Requirements</w:t>
      </w:r>
    </w:p>
    <w:p>
      <w:pPr>
        <w:pStyle w:val="ListParagraph"/>
        <w:numPr>
          <w:ilvl w:val="0"/>
          <w:numId w:val="2"/>
        </w:numPr>
        <w:spacing w:after="80" w:line="280"/>
      </w:pPr>
      <w:r>
        <w:rPr>
          <w:b w:val="false"/>
          <w:bCs w:val="false"/>
          <w:color w:val="22323A"/>
          <w:sz w:val="21"/>
          <w:szCs w:val="21"/>
        </w:rPr>
        <w:t xml:space="preserve">Queue-based upload with automatic retry on connectivity restore</w:t>
      </w:r>
    </w:p>
    <w:p>
      <w:pPr>
        <w:pStyle w:val="ListParagraph"/>
        <w:numPr>
          <w:ilvl w:val="0"/>
          <w:numId w:val="2"/>
        </w:numPr>
        <w:spacing w:after="80" w:line="280"/>
      </w:pPr>
      <w:r>
        <w:rPr>
          <w:b w:val="false"/>
          <w:bCs w:val="false"/>
          <w:color w:val="22323A"/>
          <w:sz w:val="21"/>
          <w:szCs w:val="21"/>
        </w:rPr>
        <w:t xml:space="preserve">Conflict resolution rules for records edited both on-device and server-side</w:t>
      </w:r>
    </w:p>
    <w:p>
      <w:pPr>
        <w:pStyle w:val="ListParagraph"/>
        <w:numPr>
          <w:ilvl w:val="0"/>
          <w:numId w:val="2"/>
        </w:numPr>
        <w:spacing w:after="80" w:line="280"/>
      </w:pPr>
      <w:r>
        <w:rPr>
          <w:b w:val="false"/>
          <w:bCs w:val="false"/>
          <w:color w:val="22323A"/>
          <w:sz w:val="21"/>
          <w:szCs w:val="21"/>
        </w:rPr>
        <w:t xml:space="preserve">Idempotent writes so repeated sync attempts don't duplicate lots or transactions</w:t>
      </w:r>
    </w:p>
    <w:p>
      <w:pPr>
        <w:pStyle w:val="ListParagraph"/>
        <w:numPr>
          <w:ilvl w:val="0"/>
          <w:numId w:val="2"/>
        </w:numPr>
        <w:spacing w:after="80" w:line="280"/>
      </w:pPr>
      <w:r>
        <w:rPr>
          <w:b w:val="false"/>
          <w:bCs w:val="false"/>
          <w:color w:val="22323A"/>
          <w:sz w:val="21"/>
          <w:szCs w:val="21"/>
        </w:rPr>
        <w:t xml:space="preserve">Partial sync support — a lot's photo may sync later than its metadata on low bandwidth</w:t>
      </w:r>
    </w:p>
    <w:p>
      <w:pPr>
        <w:pStyle w:val="Heading1"/>
        <w:pBdr>
          <w:bottom w:val="single" w:color="0F6B6B" w:sz="8" w:space="4"/>
        </w:pBdr>
        <w:spacing w:after="160" w:before="360"/>
      </w:pPr>
      <w:r>
        <w:rPr>
          <w:b/>
          <w:bCs/>
          <w:color w:val="0F6B6B"/>
          <w:sz w:val="30"/>
          <w:szCs w:val="30"/>
        </w:rPr>
        <w:t xml:space="preserve">6. Non-Functional Requirements</w:t>
      </w:r>
    </w:p>
    <w:p>
      <w:pPr>
        <w:pStyle w:val="Heading2"/>
        <w:spacing w:after="120" w:before="280"/>
      </w:pPr>
      <w:r>
        <w:rPr>
          <w:b/>
          <w:bCs/>
          <w:color w:val="E0A526"/>
          <w:sz w:val="24"/>
          <w:szCs w:val="24"/>
        </w:rPr>
        <w:t xml:space="preserve">6.1 Performance</w:t>
      </w:r>
    </w:p>
    <w:p>
      <w:pPr>
        <w:pStyle w:val="ListParagraph"/>
        <w:numPr>
          <w:ilvl w:val="0"/>
          <w:numId w:val="2"/>
        </w:numPr>
        <w:spacing w:after="80" w:line="280"/>
      </w:pPr>
      <w:r>
        <w:rPr>
          <w:b w:val="false"/>
          <w:bCs w:val="false"/>
          <w:color w:val="22323A"/>
          <w:sz w:val="21"/>
          <w:szCs w:val="21"/>
        </w:rPr>
        <w:t xml:space="preserve">App must remain smooth on entry-level Android hardware (low RAM/CPU devices)</w:t>
      </w:r>
    </w:p>
    <w:p>
      <w:pPr>
        <w:pStyle w:val="ListParagraph"/>
        <w:numPr>
          <w:ilvl w:val="0"/>
          <w:numId w:val="2"/>
        </w:numPr>
        <w:spacing w:after="80" w:line="280"/>
      </w:pPr>
      <w:r>
        <w:rPr>
          <w:b w:val="false"/>
          <w:bCs w:val="false"/>
          <w:color w:val="22323A"/>
          <w:sz w:val="21"/>
          <w:szCs w:val="21"/>
        </w:rPr>
        <w:t xml:space="preserve">Screens should load and remain interactive on 2G/3G-equivalent bandwidth</w:t>
      </w:r>
    </w:p>
    <w:p>
      <w:pPr>
        <w:pStyle w:val="ListParagraph"/>
        <w:numPr>
          <w:ilvl w:val="0"/>
          <w:numId w:val="2"/>
        </w:numPr>
        <w:spacing w:after="80" w:line="280"/>
      </w:pPr>
      <w:r>
        <w:rPr>
          <w:b w:val="false"/>
          <w:bCs w:val="false"/>
          <w:color w:val="22323A"/>
          <w:sz w:val="21"/>
          <w:szCs w:val="21"/>
        </w:rPr>
        <w:t xml:space="preserve">Image capture and local save must complete without requiring network</w:t>
      </w:r>
    </w:p>
    <w:p>
      <w:pPr>
        <w:pStyle w:val="Heading2"/>
        <w:spacing w:after="120" w:before="280"/>
      </w:pPr>
      <w:r>
        <w:rPr>
          <w:b/>
          <w:bCs/>
          <w:color w:val="E0A526"/>
          <w:sz w:val="24"/>
          <w:szCs w:val="24"/>
        </w:rPr>
        <w:t xml:space="preserve">6.2 Security</w:t>
      </w:r>
    </w:p>
    <w:p>
      <w:pPr>
        <w:pStyle w:val="ListParagraph"/>
        <w:numPr>
          <w:ilvl w:val="0"/>
          <w:numId w:val="2"/>
        </w:numPr>
        <w:spacing w:after="80" w:line="280"/>
      </w:pPr>
      <w:r>
        <w:rPr>
          <w:b w:val="false"/>
          <w:bCs w:val="false"/>
          <w:color w:val="22323A"/>
          <w:sz w:val="21"/>
          <w:szCs w:val="21"/>
        </w:rPr>
        <w:t xml:space="preserve">Role-based access control (RBAC) across Collector, Recycler, and Admin roles</w:t>
      </w:r>
    </w:p>
    <w:p>
      <w:pPr>
        <w:pStyle w:val="ListParagraph"/>
        <w:numPr>
          <w:ilvl w:val="0"/>
          <w:numId w:val="2"/>
        </w:numPr>
        <w:spacing w:after="80" w:line="280"/>
      </w:pPr>
      <w:r>
        <w:rPr>
          <w:b w:val="false"/>
          <w:bCs w:val="false"/>
          <w:color w:val="22323A"/>
          <w:sz w:val="21"/>
          <w:szCs w:val="21"/>
        </w:rPr>
        <w:t xml:space="preserve">Secure authentication (e.g. OTP/phone-based) suited to low-literacy users</w:t>
      </w:r>
    </w:p>
    <w:p>
      <w:pPr>
        <w:pStyle w:val="ListParagraph"/>
        <w:numPr>
          <w:ilvl w:val="0"/>
          <w:numId w:val="2"/>
        </w:numPr>
        <w:spacing w:after="80" w:line="280"/>
      </w:pPr>
      <w:r>
        <w:rPr>
          <w:b w:val="false"/>
          <w:bCs w:val="false"/>
          <w:color w:val="22323A"/>
          <w:sz w:val="21"/>
          <w:szCs w:val="21"/>
        </w:rPr>
        <w:t xml:space="preserve">Encryption of data in transit and at rest</w:t>
      </w:r>
    </w:p>
    <w:p>
      <w:pPr>
        <w:pStyle w:val="ListParagraph"/>
        <w:numPr>
          <w:ilvl w:val="0"/>
          <w:numId w:val="2"/>
        </w:numPr>
        <w:spacing w:after="80" w:line="280"/>
      </w:pPr>
      <w:r>
        <w:rPr>
          <w:b w:val="false"/>
          <w:bCs w:val="false"/>
          <w:color w:val="22323A"/>
          <w:sz w:val="21"/>
          <w:szCs w:val="21"/>
        </w:rPr>
        <w:t xml:space="preserve">Full audit trail of transactions and admin actions</w:t>
      </w:r>
    </w:p>
    <w:p>
      <w:pPr>
        <w:pStyle w:val="Heading2"/>
        <w:spacing w:after="120" w:before="280"/>
      </w:pPr>
      <w:r>
        <w:rPr>
          <w:b/>
          <w:bCs/>
          <w:color w:val="E0A526"/>
          <w:sz w:val="24"/>
          <w:szCs w:val="24"/>
        </w:rPr>
        <w:t xml:space="preserve">6.3 Accessibility &amp; Localization</w:t>
      </w:r>
    </w:p>
    <w:p>
      <w:pPr>
        <w:pStyle w:val="ListParagraph"/>
        <w:numPr>
          <w:ilvl w:val="0"/>
          <w:numId w:val="2"/>
        </w:numPr>
        <w:spacing w:after="80" w:line="280"/>
      </w:pPr>
      <w:r>
        <w:rPr>
          <w:b w:val="false"/>
          <w:bCs w:val="false"/>
          <w:color w:val="22323A"/>
          <w:sz w:val="21"/>
          <w:szCs w:val="21"/>
        </w:rPr>
        <w:t xml:space="preserve">Hindi and Marathi language support with audio playback throughout</w:t>
      </w:r>
    </w:p>
    <w:p>
      <w:pPr>
        <w:pStyle w:val="ListParagraph"/>
        <w:numPr>
          <w:ilvl w:val="0"/>
          <w:numId w:val="2"/>
        </w:numPr>
        <w:spacing w:after="80" w:line="280"/>
      </w:pPr>
      <w:r>
        <w:rPr>
          <w:b w:val="false"/>
          <w:bCs w:val="false"/>
          <w:color w:val="22323A"/>
          <w:sz w:val="21"/>
          <w:szCs w:val="21"/>
        </w:rPr>
        <w:t xml:space="preserve">High-contrast, icon-first UI for low-literacy and outdoor use</w:t>
      </w:r>
    </w:p>
    <w:p>
      <w:pPr>
        <w:pStyle w:val="ListParagraph"/>
        <w:numPr>
          <w:ilvl w:val="0"/>
          <w:numId w:val="2"/>
        </w:numPr>
        <w:spacing w:after="80" w:line="280"/>
      </w:pPr>
      <w:r>
        <w:rPr>
          <w:b w:val="false"/>
          <w:bCs w:val="false"/>
          <w:color w:val="22323A"/>
          <w:sz w:val="21"/>
          <w:szCs w:val="21"/>
        </w:rPr>
        <w:t xml:space="preserve">Large touch targets suitable for one-handed or gloved use</w:t>
      </w:r>
    </w:p>
    <w:p>
      <w:pPr>
        <w:pStyle w:val="Heading2"/>
        <w:spacing w:after="120" w:before="280"/>
      </w:pPr>
      <w:r>
        <w:rPr>
          <w:b/>
          <w:bCs/>
          <w:color w:val="E0A526"/>
          <w:sz w:val="24"/>
          <w:szCs w:val="24"/>
        </w:rPr>
        <w:t xml:space="preserve">6.4 Scalability</w:t>
      </w:r>
    </w:p>
    <w:p>
      <w:pPr>
        <w:pStyle w:val="ListParagraph"/>
        <w:numPr>
          <w:ilvl w:val="0"/>
          <w:numId w:val="2"/>
        </w:numPr>
        <w:spacing w:after="80" w:line="280"/>
      </w:pPr>
      <w:r>
        <w:rPr>
          <w:b w:val="false"/>
          <w:bCs w:val="false"/>
          <w:color w:val="22323A"/>
          <w:sz w:val="21"/>
          <w:szCs w:val="21"/>
        </w:rPr>
        <w:t xml:space="preserve">Dataset design supports growth from demonstration/synthetic data to field-collected and verified production data without schema rework</w:t>
      </w:r>
    </w:p>
    <w:p>
      <w:pPr>
        <w:pStyle w:val="ListParagraph"/>
        <w:numPr>
          <w:ilvl w:val="0"/>
          <w:numId w:val="2"/>
        </w:numPr>
        <w:spacing w:after="80" w:line="280"/>
      </w:pPr>
      <w:r>
        <w:rPr>
          <w:b w:val="false"/>
          <w:bCs w:val="false"/>
          <w:color w:val="22323A"/>
          <w:sz w:val="21"/>
          <w:szCs w:val="21"/>
        </w:rPr>
        <w:t xml:space="preserve">Recycler matching and price engines designed to scale from rule-based logic to richer models as real data accumulates</w:t>
      </w:r>
    </w:p>
    <w:p>
      <w:pPr>
        <w:pStyle w:val="Heading1"/>
        <w:pBdr>
          <w:bottom w:val="single" w:color="0F6B6B" w:sz="8" w:space="4"/>
        </w:pBdr>
        <w:spacing w:after="160" w:before="360"/>
      </w:pPr>
      <w:r>
        <w:rPr>
          <w:b/>
          <w:bCs/>
          <w:color w:val="0F6B6B"/>
          <w:sz w:val="30"/>
          <w:szCs w:val="30"/>
        </w:rPr>
        <w:t xml:space="preserve">7. Data Honesty Requirements (Technical Implication)</w:t>
      </w:r>
    </w:p>
    <w:p>
      <w:pPr>
        <w:spacing w:after="140" w:line="300"/>
      </w:pPr>
      <w:r>
        <w:rPr>
          <w:b w:val="false"/>
          <w:bCs w:val="false"/>
          <w:i w:val="false"/>
          <w:iCs w:val="false"/>
          <w:color w:val="22323A"/>
          <w:sz w:val="21"/>
          <w:szCs w:val="21"/>
        </w:rPr>
        <w:t xml:space="preserve">The system must be able to tag every record with its data maturity level so the UI and any reporting can distinguish clearly between:</w:t>
      </w:r>
    </w:p>
    <w:p>
      <w:pPr>
        <w:pStyle w:val="ListParagraph"/>
        <w:numPr>
          <w:ilvl w:val="0"/>
          <w:numId w:val="2"/>
        </w:numPr>
        <w:spacing w:after="80" w:line="280"/>
      </w:pPr>
      <w:r>
        <w:rPr>
          <w:b w:val="false"/>
          <w:bCs w:val="false"/>
          <w:color w:val="22323A"/>
          <w:sz w:val="21"/>
          <w:szCs w:val="21"/>
        </w:rPr>
        <w:t xml:space="preserve">Demonstration data — used only to illustrate how a screen or flow would look</w:t>
      </w:r>
    </w:p>
    <w:p>
      <w:pPr>
        <w:pStyle w:val="ListParagraph"/>
        <w:numPr>
          <w:ilvl w:val="0"/>
          <w:numId w:val="2"/>
        </w:numPr>
        <w:spacing w:after="80" w:line="280"/>
      </w:pPr>
      <w:r>
        <w:rPr>
          <w:b w:val="false"/>
          <w:bCs w:val="false"/>
          <w:color w:val="22323A"/>
          <w:sz w:val="21"/>
          <w:szCs w:val="21"/>
        </w:rPr>
        <w:t xml:space="preserve">Synthetic data — generated to stress-test matching and estimation logic before real data exists</w:t>
      </w:r>
    </w:p>
    <w:p>
      <w:pPr>
        <w:pStyle w:val="ListParagraph"/>
        <w:numPr>
          <w:ilvl w:val="0"/>
          <w:numId w:val="2"/>
        </w:numPr>
        <w:spacing w:after="80" w:line="280"/>
      </w:pPr>
      <w:r>
        <w:rPr>
          <w:b w:val="false"/>
          <w:bCs w:val="false"/>
          <w:color w:val="22323A"/>
          <w:sz w:val="21"/>
          <w:szCs w:val="21"/>
        </w:rPr>
        <w:t xml:space="preserve">Field-collected data — gathered during pilot use with real collectors and recyclers</w:t>
      </w:r>
    </w:p>
    <w:p>
      <w:pPr>
        <w:pStyle w:val="ListParagraph"/>
        <w:numPr>
          <w:ilvl w:val="0"/>
          <w:numId w:val="2"/>
        </w:numPr>
        <w:spacing w:after="80" w:line="280"/>
      </w:pPr>
      <w:r>
        <w:rPr>
          <w:b w:val="false"/>
          <w:bCs w:val="false"/>
          <w:color w:val="22323A"/>
          <w:sz w:val="21"/>
          <w:szCs w:val="21"/>
        </w:rPr>
        <w:t xml:space="preserve">Verified production data — data that has passed validation and is trusted for live decisions</w:t>
      </w:r>
    </w:p>
    <w:p>
      <w:pPr>
        <w:spacing w:after="140" w:line="300"/>
      </w:pPr>
      <w:r>
        <w:rPr>
          <w:b w:val="false"/>
          <w:bCs w:val="false"/>
          <w:i/>
          <w:iCs/>
          <w:color w:val="22323A"/>
          <w:sz w:val="21"/>
          <w:szCs w:val="21"/>
        </w:rPr>
        <w:t xml:space="preserve">No government partnership, live recycler network, real-time market price feed, or AI accuracy figure should be surfaced as real until it is genuinely built and verified.</w:t>
      </w:r>
    </w:p>
    <w:p>
      <w:pPr>
        <w:pStyle w:val="Heading1"/>
        <w:pBdr>
          <w:bottom w:val="single" w:color="0F6B6B" w:sz="8" w:space="4"/>
        </w:pBdr>
        <w:spacing w:after="160" w:before="360"/>
      </w:pPr>
      <w:r>
        <w:rPr>
          <w:b/>
          <w:bCs/>
          <w:color w:val="0F6B6B"/>
          <w:sz w:val="30"/>
          <w:szCs w:val="30"/>
        </w:rPr>
        <w:t xml:space="preserve">8. Out-of-Scope for MVP (Deferred)</w:t>
      </w:r>
    </w:p>
    <w:p>
      <w:pPr>
        <w:pStyle w:val="ListParagraph"/>
        <w:numPr>
          <w:ilvl w:val="0"/>
          <w:numId w:val="2"/>
        </w:numPr>
        <w:spacing w:after="80" w:line="280"/>
      </w:pPr>
      <w:r>
        <w:rPr>
          <w:b w:val="false"/>
          <w:bCs w:val="false"/>
          <w:color w:val="22323A"/>
          <w:sz w:val="21"/>
          <w:szCs w:val="21"/>
        </w:rPr>
        <w:t xml:space="preserve">Production-grade AI classification trained on field-collected images</w:t>
      </w:r>
    </w:p>
    <w:p>
      <w:pPr>
        <w:pStyle w:val="ListParagraph"/>
        <w:numPr>
          <w:ilvl w:val="0"/>
          <w:numId w:val="2"/>
        </w:numPr>
        <w:spacing w:after="80" w:line="280"/>
      </w:pPr>
      <w:r>
        <w:rPr>
          <w:b w:val="false"/>
          <w:bCs w:val="false"/>
          <w:color w:val="22323A"/>
          <w:sz w:val="21"/>
          <w:szCs w:val="21"/>
        </w:rPr>
        <w:t xml:space="preserve">Live integration with real recycler networks and government authorization registries</w:t>
      </w:r>
    </w:p>
    <w:p>
      <w:pPr>
        <w:pStyle w:val="ListParagraph"/>
        <w:numPr>
          <w:ilvl w:val="0"/>
          <w:numId w:val="2"/>
        </w:numPr>
        <w:spacing w:after="80" w:line="280"/>
      </w:pPr>
      <w:r>
        <w:rPr>
          <w:b w:val="false"/>
          <w:bCs w:val="false"/>
          <w:color w:val="22323A"/>
          <w:sz w:val="21"/>
          <w:szCs w:val="21"/>
        </w:rPr>
        <w:t xml:space="preserve">Digital payment rails / gateway integration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Dhatu  |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2026-09-05T11:21:31.313Z</dcterms:created>
  <dcterms:modified xsi:type="dcterms:W3CDTF">2026-09-05T11:21:31.313Z</dcterms:modified>
</cp:coreProperties>
</file>

<file path=docProps/custom.xml><?xml version="1.0" encoding="utf-8"?>
<Properties xmlns="http://schemas.openxmlformats.org/officeDocument/2006/custom-properties" xmlns:vt="http://schemas.openxmlformats.org/officeDocument/2006/docPropsVTypes"/>
</file>