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Data Attributes &amp; Model Parameters</w:t>
      </w:r>
    </w:p>
    <w:p>
      <w:pPr>
        <w:spacing w:after="80"/>
        <w:jc w:val="center"/>
      </w:pPr>
      <w:r>
        <w:rPr>
          <w:color w:val="595959"/>
          <w:sz w:val="26"/>
          <w:szCs w:val="26"/>
        </w:rPr>
        <w:t xml:space="preserve">Surgical Patient Digital Twin — VitalDB Specification</w:t>
      </w:r>
    </w:p>
    <w:p>
      <w:pPr>
        <w:spacing w:after="360"/>
        <w:jc w:val="center"/>
      </w:pPr>
      <w:r>
        <w:rPr>
          <w:i/>
          <w:iCs/>
          <w:color w:val="808080"/>
          <w:sz w:val="22"/>
          <w:szCs w:val="22"/>
        </w:rPr>
        <w:t xml:space="preserve">What we train on, what we predict on, what the engine simulates</w:t>
      </w:r>
    </w:p>
    <w:p>
      <w:pPr>
        <w:pStyle w:val="Heading1"/>
        <w:spacing w:after="200" w:before="360"/>
      </w:pPr>
      <w:r>
        <w:t xml:space="preserve">1. The One-Sentence Summary</w:t>
      </w:r>
    </w:p>
    <w:p>
      <w:pPr>
        <w:pBdr>
          <w:left w:val="single" w:color="1F3864" w:sz="24" w:space="6"/>
        </w:pBdr>
        <w:shd w:fill="F4F7FB" w:val="clear"/>
        <w:spacing w:after="160" w:before="120" w:line="320"/>
        <w:ind w:left="360" w:right="360"/>
      </w:pPr>
      <w:r>
        <w:rPr>
          <w:color w:val="1F3864"/>
          <w:sz w:val="22"/>
          <w:szCs w:val="22"/>
        </w:rPr>
        <w:t xml:space="preserve">The model is trained on ~30+ attributes spanning waveforms, numeric trends, static covariates, and drug-pump events; it predicts a binary label derived from a single attribute (Solar8000/ART_MBP) using the rule MAP &lt; 65 mmHg sustained ≥ 60 seconds within the next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Inputs (model trains on)</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Output (model predicts)</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Validation target (engine simulates)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~30+ attributes across 4 branches: waveforms, numeric trends, static covariates, intervention history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Binary label y ∈ {0,1} derived from Solar8000/ART_MBP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attribute (ART_MBP), but as a continuous trajectory under candidate interventions</w:t>
            </w:r>
          </w:p>
        </w:tc>
      </w:tr>
    </w:tbl>
    <w:p>
      <w:pPr>
        <w:pStyle w:val="Heading1"/>
        <w:spacing w:after="200" w:before="360"/>
      </w:pPr>
      <w:r>
        <w:t xml:space="preserve">2. Training Attributes — What the Model Sees</w:t>
      </w:r>
    </w:p>
    <w:p>
      <w:pPr>
        <w:spacing w:after="140" w:line="300"/>
      </w:pPr>
      <w:r>
        <w:t xml:space="preserve">The encoder has four parallel branches. Each branch consumes one of the four input groups below. All four contribute to the shared latent state z(t) which then feeds both the forecasting head and the calibration head.</w:t>
      </w:r>
    </w:p>
    <w:p>
      <w:pPr>
        <w:pStyle w:val="Heading2"/>
        <w:spacing w:after="160" w:before="280"/>
      </w:pPr>
      <w:r>
        <w:t xml:space="preserve">2.1 Branch A — Waveform inputs (4 channels @ 100 Hz)</w:t>
      </w:r>
    </w:p>
    <w:p>
      <w:pPr>
        <w:spacing w:after="140" w:line="300"/>
      </w:pPr>
      <w:r>
        <w:t xml:space="preserve">Resampled from native rates to a uniform 100 Hz, bandpass-filtered, and segmented into 30-second rolling windows with 10-second stride. These carry the morphological information that the literature has shown to precede hypotensive events by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VitalDB track name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Native rate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it captures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Arterial BP waveform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SNUADC/ART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Beat-to-beat morphology — pulse pressure, dicrotic notch position, beat variability</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ECG lead II</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SNUADC/ECG_II</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Cardiac rhythm, electrical conduction, autonomic tone (HRV)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Photoplethysmogram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SNUADC/PLETH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Peripheral perfusion, vascular tone, respiratory modulation</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Capnogram</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Primus/CO2</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62.5 Hz</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Ventilation pattern, CO2 elimination, indirect cardiac output</w:t>
            </w:r>
          </w:p>
        </w:tc>
      </w:tr>
    </w:tbl>
    <w:p>
      <w:pPr>
        <w:pStyle w:val="Heading2"/>
        <w:spacing w:after="160" w:before="280"/>
      </w:pPr>
      <w:r>
        <w:t xml:space="preserve">2.2 Branch B — Numeric trends (1 Hz, 30-min context)</w:t>
      </w:r>
    </w:p>
    <w:p>
      <w:pPr>
        <w:spacing w:after="140" w:line="300"/>
      </w:pPr>
      <w:r>
        <w:t xml:space="preserve">Slow-changing physiological summary signals. Forward-filled to 1 Hz with a maximum gap of 3 minutes. Provides the longer temporal context that complements the high-frequency waveform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VitalDB track name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Rate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Role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Heart 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Solar8000/HR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Hemodynamic summary</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Oxygen saturation</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Solar8000/PLETH_SPO2</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Oxygenation status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End-tidal CO2 (numeric)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Solar8000/ETCO2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Ventilation summary</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NIBP systolic</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Solar8000/NIBP_SBP</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Every 3–5 min</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BP trend (especially when no arterial line)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NIBP diastolic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Solar8000/NIBP_DBP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Every 3–5 min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BP trend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Respiratory rate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Solar8000/RR</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Ventilation rate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Body temperature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Solar8000/BT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Thermoregulation; declines correlate with hypotension</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Bispectral index</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BIS/BIS</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3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Depth of anesthesia (only ~30% of cases have it)</w:t>
            </w:r>
          </w:p>
        </w:tc>
      </w:tr>
    </w:tbl>
    <w:p>
      <w:pPr>
        <w:pStyle w:val="Heading2"/>
        <w:spacing w:after="160" w:before="280"/>
      </w:pPr>
      <w:r>
        <w:t xml:space="preserve">2.3 Branch C — Static covariates (one row per case, from cases.csv)</w:t>
      </w:r>
    </w:p>
    <w:p>
      <w:pPr>
        <w:spacing w:after="140" w:line="300"/>
      </w:pPr>
      <w:r>
        <w:t xml:space="preserve">These are the patient's identity. They do not change over the course of the surgery. They feed a small MLP whose output is concatenated with the waveform and numeric branches before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VitalDB column</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Encoding for the model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Age (years)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age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Sex</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sex</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Binary (M=1, F=0)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Weight (kg)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weight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Height (cm)</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height</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Body mass index</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bmi</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ASA physical status</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asa</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Ordinal 1–4 (5/6 excluded)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Surgical department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department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One-hot encoded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Operation type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optype</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One-hot encoded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Procedure 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opname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Embedding or coarse one-hot</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Diagnosis</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dx</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Coarse category one-hot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Anesthesia 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ane_type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One-hot (filtered to General)</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Hypertension flag</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preop_htn</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Binary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Diabetes flag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preop_dm</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Binary</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Preop hemoglobin</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preop_hb</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 creatinine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preop_cr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Preop sodium</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preop_na</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 potassium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preop_k</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Preop albumin</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preop_alb</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Float, normalized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Preop systolic 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preop_sbp</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Float (also used for cohort filtering)</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Preop diastolic BP</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preop_dbp</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Float (also used for cohort filtering)</w:t>
            </w:r>
          </w:p>
        </w:tc>
      </w:tr>
    </w:tbl>
    <w:p>
      <w:pPr>
        <w:pStyle w:val="Heading2"/>
        <w:spacing w:after="160" w:before="280"/>
      </w:pPr>
      <w:r>
        <w:t xml:space="preserve">2.4 Branch D — Intervention history (drug &amp; fluid pump events)</w:t>
      </w:r>
    </w:p>
    <w:p>
      <w:pPr>
        <w:spacing w:after="140" w:line="300"/>
      </w:pPr>
      <w:r>
        <w:t xml:space="preserve">Cumulative running totals and current rates of every drug and fluid administered since induction. These tracks are what link the patient's observed response back to the actions the anesthesiologist has taken — without them, the mechanistic engine cannot be calibrated.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VitalDB track name</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Use in twin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Propofol infusion 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Orchestra/PPF20_RATE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Mechanistic engine input (PK)</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Propofol cumulative volume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Orchestra/PPF20_VOL</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Cumulative dose tracking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Propofol effect-site conc.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Orchestra/PPF20_CE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PKPD reference target for calibration loss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Remifentanil infusion rate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Orchestra/RFTN20_RATE</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Co-administered opioid context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Remifentanil effect-site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Orchestra/RFTN20_CE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Synergistic effect modeling</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Phenylephrine</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Orchestra/PHEN_RATE</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Vasopressor scenario simulation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Norepinephrine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Orchestra/NEPI_RATE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Vasopressor scenario simulation (Joachim PKPD)</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Crystalloid fluids</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rFonts w:ascii="Consolas" w:cs="Consolas" w:eastAsia="Consolas" w:hAnsi="Consolas"/>
                <w:b w:val="false"/>
                <w:bCs w:val="false"/>
                <w:color w:val="000000"/>
                <w:sz w:val="20"/>
                <w:szCs w:val="20"/>
              </w:rPr>
              <w:t xml:space="preserve">Derived from infusion logs</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Volume status modeling</w:t>
            </w:r>
          </w:p>
        </w:tc>
      </w:tr>
    </w:tbl>
    <w:p>
      <w:pPr>
        <w:pStyle w:val="Heading1"/>
        <w:spacing w:after="200" w:before="360"/>
      </w:pPr>
      <w:r>
        <w:t xml:space="preserve">3. Prediction Attribute — What Defines the Problem</w:t>
      </w:r>
    </w:p>
    <w:p>
      <w:pPr>
        <w:pBdr>
          <w:left w:val="single" w:color="C0392B" w:sz="24" w:space="6"/>
        </w:pBdr>
        <w:shd w:fill="F4F7FB" w:val="clear"/>
        <w:spacing w:after="160" w:before="120" w:line="320"/>
        <w:ind w:left="360" w:right="360"/>
      </w:pPr>
      <w:r>
        <w:rPr>
          <w:color w:val="C0392B"/>
          <w:sz w:val="22"/>
          <w:szCs w:val="22"/>
        </w:rPr>
        <w:t xml:space="preserve">Only ONE attribute generates the label. Everything else exists to help the model predict what this single attribute is about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C0392B"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3000"/>
            <w:tcBorders>
              <w:top w:val="single" w:color="BFBFBF" w:sz="4"/>
              <w:left w:val="single" w:color="BFBFBF" w:sz="4"/>
              <w:bottom w:val="single" w:color="BFBFBF" w:sz="4"/>
              <w:right w:val="single" w:color="BFBFBF" w:sz="4"/>
            </w:tcBorders>
            <w:shd w:fill="C0392B" w:val="clear"/>
            <w:tcMar>
              <w:top w:type="dxa" w:w="100"/>
              <w:left w:type="dxa" w:w="140"/>
              <w:bottom w:type="dxa" w:w="100"/>
              <w:right w:type="dxa" w:w="140"/>
            </w:tcMar>
          </w:tcPr>
          <w:p>
            <w:pPr>
              <w:spacing w:after="0" w:line="260"/>
            </w:pPr>
            <w:r>
              <w:rPr>
                <w:b/>
                <w:bCs/>
                <w:color w:val="FFFFFF"/>
                <w:sz w:val="20"/>
                <w:szCs w:val="20"/>
              </w:rPr>
              <w:t xml:space="preserve">VitalDB track name</w:t>
            </w:r>
          </w:p>
        </w:tc>
        <w:tc>
          <w:tcPr>
            <w:tcW w:type="dxa" w:w="3960"/>
            <w:tcBorders>
              <w:top w:val="single" w:color="BFBFBF" w:sz="4"/>
              <w:left w:val="single" w:color="BFBFBF" w:sz="4"/>
              <w:bottom w:val="single" w:color="BFBFBF" w:sz="4"/>
              <w:right w:val="single" w:color="BFBFBF" w:sz="4"/>
            </w:tcBorders>
            <w:shd w:fill="C0392B" w:val="clear"/>
            <w:tcMar>
              <w:top w:type="dxa" w:w="100"/>
              <w:left w:type="dxa" w:w="140"/>
              <w:bottom w:type="dxa" w:w="100"/>
              <w:right w:type="dxa" w:w="140"/>
            </w:tcMar>
          </w:tcPr>
          <w:p>
            <w:pPr>
              <w:spacing w:after="0" w:line="260"/>
            </w:pPr>
            <w:r>
              <w:rPr>
                <w:b/>
                <w:bCs/>
                <w:color w:val="FFFFFF"/>
                <w:sz w:val="20"/>
                <w:szCs w:val="20"/>
              </w:rPr>
              <w:t xml:space="preserve">Hypotension event rule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Mean arterial pressure (PRIMARY)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Solar8000/ART_MBP</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MAP &lt; 65 mmHg sustained ≥ 60 s within next 5 min → y = 1</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Mean arterial pressure (FALLBACK)</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Solar8000/NIBP_MBP</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Same rule; used only when ART_MBP unavailable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Mean arterial pressure (DERIVED)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Computed from SNUADC/ART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MAP derived from waveform via peak/trough detection</w:t>
            </w:r>
          </w:p>
        </w:tc>
      </w:tr>
    </w:tbl>
    <w:p>
      <w:pPr>
        <w:pStyle w:val="Heading2"/>
        <w:spacing w:after="160" w:before="280"/>
      </w:pPr>
      <w:r>
        <w:t xml:space="preserve">3.1 The label generation rule</w:t>
      </w:r>
    </w:p>
    <w:p>
      <w:pPr>
        <w:spacing w:after="140" w:line="300"/>
      </w:pPr>
      <w:r>
        <w:t xml:space="preserve">For each rolling 30-second window ending at time t:</w:t>
      </w:r>
    </w:p>
    <w:p>
      <w:pPr>
        <w:pStyle w:val="ListParagraph"/>
        <w:numPr>
          <w:ilvl w:val="0"/>
          <w:numId w:val="2"/>
        </w:numPr>
        <w:spacing w:after="80" w:line="280"/>
      </w:pPr>
      <w:r>
        <w:rPr>
          <w:b/>
          <w:bCs/>
        </w:rPr>
        <w:t xml:space="preserve">y(t) = 1 </w:t>
      </w:r>
      <w:r>
        <w:t xml:space="preserve">if at least one MAP value in the interval (t, t + 5 min] is below 65 mmHg for at least 60 cumulative seconds.</w:t>
      </w:r>
    </w:p>
    <w:p>
      <w:pPr>
        <w:pStyle w:val="ListParagraph"/>
        <w:numPr>
          <w:ilvl w:val="0"/>
          <w:numId w:val="2"/>
        </w:numPr>
        <w:spacing w:after="80" w:line="280"/>
      </w:pPr>
      <w:r>
        <w:rPr>
          <w:b/>
          <w:bCs/>
        </w:rPr>
        <w:t xml:space="preserve">y(t) = 0 </w:t>
      </w:r>
      <w:r>
        <w:t xml:space="preserve">otherwise.</w:t>
      </w:r>
    </w:p>
    <w:p>
      <w:pPr>
        <w:spacing w:after="140" w:line="300"/>
      </w:pPr>
      <w:r>
        <w:t xml:space="preserve">Three sample categories are tracked separately during evaluation to address the HPI selection-bias concern raised in Section 2.4.1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Category</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Definition</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Treatment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Stable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All MAP in [t, t+5 min] ≥ 75 mmHg</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Negative samples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Gray zone</w:t>
            </w:r>
          </w:p>
        </w:tc>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Some MAP in [65, 75) mmHg, no minute-long &lt; 65</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Included as negative; reported separately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Overt hypotension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At least one minute-long MAP &lt; 65</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Positive samples</w:t>
            </w:r>
          </w:p>
        </w:tc>
      </w:tr>
    </w:tbl>
    <w:p>
      <w:pPr>
        <w:pStyle w:val="Heading2"/>
        <w:spacing w:after="160" w:before="280"/>
      </w:pPr>
      <w:r>
        <w:t xml:space="preserve">3.2 Why this matters</w:t>
      </w:r>
    </w:p>
    <w:p>
      <w:pPr>
        <w:spacing w:after="140" w:line="300"/>
      </w:pPr>
      <w:r>
        <w:t>There is no precomputed hypotension column anywhere in VitalDB. The label is derived in the preprocessing pipeline from the single attribute Solar8000/ART_MBP (or its fallback). The exact definition is a methodological choice, and the project's choice — MAP &lt; 65 for ≥ 60 seconds — is consistent with the bulk of the supervised learning literature (Hatib 2018, Lee 2021, Jeong 2024) and with the systematic-review evidence from Walsh 2013 and Salmasi 2017.</w:t>
      </w:r>
    </w:p>
    <w:p>
      <w:pPr>
        <w:pStyle w:val="Heading1"/>
        <w:spacing w:after="200" w:before="360"/>
      </w:pPr>
      <w:r>
        <w:t xml:space="preserve">4. Mechanistic Engine Parameters — What the Twin Simulates</w:t>
      </w:r>
    </w:p>
    <w:p>
      <w:pPr>
        <w:spacing w:after="140" w:line="300"/>
      </w:pPr>
      <w:r>
        <w:t xml:space="preserve">Beyond the data-driven layer, the digital twin contains a mechanistic pharmacokinetic-pharmacodynamic (PKPD) engine. These parameters are not learned from VitalDB directly — they come from the published population PKPD literature and are then perturbed per-patient by the calibration head.</w:t>
      </w:r>
    </w:p>
    <w:p>
      <w:pPr>
        <w:pStyle w:val="Heading2"/>
        <w:spacing w:after="160" w:before="280"/>
      </w:pPr>
      <w:r>
        <w:t xml:space="preserve">4.1 Propofol PKPD parameters (Eleveld 2018)</w:t>
      </w:r>
    </w:p>
    <w:p>
      <w:pPr>
        <w:spacing w:after="140" w:line="300"/>
      </w:pPr>
      <w:r>
        <w:t xml:space="preserve">Propofol is modeled as a three-compartment system with an effect-site compartment. The parameters below are the population values for a representative 50-year-old, 70 kg adult; they are scaled by patient covariates (age, weight, height, sex, opioid coadministration) per Eleveld's published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Parameter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Symbol</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Population value</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Central volume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V1</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~6.3 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Plasma + rapidly equilibrating tissues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Shallow peripheral volume</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V2</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~25 L</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Muscle and similar tissues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Deep peripheral volume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V3</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~270 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Fat and slow-equilibrating tissues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Metabolic clearance</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CL</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~1.8 L/min</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Drug elimination rate from plasma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Inter-compartmental Q1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Q2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~1.7 L/min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Plasma ↔ shallow transfer</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Inter-compartmental Q2</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Q3</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~0.84 L/min</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Plasma ↔ deep transfer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Effect-site equilibration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ke0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~0.146 / min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Plasma → effect-site rate (~5 min half-time)</w:t>
            </w:r>
          </w:p>
        </w:tc>
      </w:tr>
    </w:tbl>
    <w:p>
      <w:pPr>
        <w:pStyle w:val="Heading2"/>
        <w:spacing w:after="160" w:before="280"/>
      </w:pPr>
      <w:r>
        <w:t xml:space="preserve">4.2 Propofol → MAP pharmacodynamic parameters (Sigmoid Emax)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Parameter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Symbol</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Population value</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Baseline MAP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MAP0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Patient-specific</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Pressure at zero drug effect (estimated from first 5 min)</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Maximum effect</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Emax</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~30%</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Maximum fractional MAP reduction at saturating concentration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Half-effect concentration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EC50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~4 µg/mL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Concentration producing half of maximum effect</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Hill slope</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γ</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~2.5</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Steepness of the dose-response curve</w:t>
            </w:r>
          </w:p>
        </w:tc>
      </w:tr>
    </w:tbl>
    <w:p>
      <w:pPr>
        <w:pStyle w:val="Heading2"/>
        <w:spacing w:after="160" w:before="280"/>
      </w:pPr>
      <w:r>
        <w:t xml:space="preserve">4.3 Norepinephrine PKPD parameters (Joachim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Parameter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Symbol</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Population value</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Time to peak effect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tpeak</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~74 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Bolus → maximum MAP rise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Maximum MAP increase</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ΔMAPmax</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~24%</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Bolus-induced peak rise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Effect model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Emax sigmoid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Direction inverted vs propofol (raises MAP)</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Covariates</w:t>
            </w:r>
          </w:p>
        </w:tc>
        <w:tc>
          <w:tcPr>
            <w:tcW w:type="dxa" w:w="1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age, weight, smoking, HTN</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Population parameter modifiers</w:t>
            </w:r>
          </w:p>
        </w:tc>
      </w:tr>
    </w:tbl>
    <w:p>
      <w:pPr>
        <w:pStyle w:val="Heading2"/>
        <w:spacing w:after="160" w:before="280"/>
      </w:pPr>
      <w:r>
        <w:t xml:space="preserve">4.4 Per-patient calibration parameters (learned by the calibration head)</w:t>
      </w:r>
    </w:p>
    <w:p>
      <w:pPr>
        <w:spacing w:after="140" w:line="300"/>
      </w:pPr>
      <w:r>
        <w:t xml:space="preserve">The calibration head h_ψ outputs a small set of multiplicative perturbations δ that personalize the population PKPD parameters above. The working parameter set for patient i at time t is θ_i(t) = θ_pop · exp(δ_i(t)).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Perturbation</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it personalizes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δ_V1</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Patient-specific central volume scaling</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δ_V2</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Patient-specific shallow peripheral volume scaling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δ_V3</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Patient-specific deep peripheral volume scaling</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δ_ke0</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Patient-specific effect-site equilibration rate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δ_EC50</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Patient-specific propofol-on-MAP sensitivity</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δ_γ</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Patient-specific dose-response steepness</w:t>
            </w:r>
          </w:p>
        </w:tc>
      </w:tr>
    </w:tbl>
    <w:p>
      <w:pPr>
        <w:spacing w:after="140" w:line="300"/>
      </w:pPr>
      <w:r>
        <w:t xml:space="preserve">Calibration head output dimension d_pkpd = 6. Future work could extend to vasopressor parameters, bringing d_pkpd to ~10.</w:t>
      </w:r>
    </w:p>
    <w:p>
      <w:pPr>
        <w:pStyle w:val="Heading1"/>
        <w:spacing w:after="200" w:before="360"/>
      </w:pPr>
      <w:r>
        <w:t xml:space="preserve">5. The Asymmetry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the model sees</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the model predicts</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the engine simulates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~30+ input attributes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attribute (Solar8000/ART_MBP)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Same 1 attribute as a trajectory</w:t>
            </w:r>
          </w:p>
        </w:tc>
      </w:tr>
      <w:tr>
        <w:tc>
          <w:tcPr>
            <w:tcW w:type="dxa" w:w="31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4 waveforms + 8 numeric trends + ~20 static covariates + 5+ intervention tracks</w:t>
            </w:r>
          </w:p>
        </w:tc>
        <w:tc>
          <w:tcPr>
            <w:tcW w:type="dxa" w:w="31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Derived binary label: hypotension event in next 5 min</w:t>
            </w:r>
          </w:p>
        </w:tc>
        <w:tc>
          <w:tcPr>
            <w:tcW w:type="dxa" w:w="31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Continuous projected MAP under candidate interventions, with confidence band</w:t>
            </w:r>
          </w:p>
        </w:tc>
      </w:tr>
    </w:tbl>
    <w:p>
      <w:pPr>
        <w:spacing w:after="140" w:line="300"/>
      </w:pPr>
      <w:r>
        <w:t xml:space="preserve">All inputs serve one purpose: to give the encoder enough context to forecast what Solar8000/ART_MBP is about to do, and to give the calibration head enough signal to personalize the PKPD parameters so that the mechanistic engine's projected ART_MBP trajectory matches the patient's actual one.</w:t>
      </w:r>
    </w:p>
    <w:p>
      <w:pPr>
        <w:pStyle w:val="Heading1"/>
        <w:spacing w:after="200" w:before="360"/>
      </w:pPr>
      <w:r>
        <w:t xml:space="preserve">6. Quick Reference Card</w:t>
      </w:r>
    </w:p>
    <w:p>
      <w:pPr>
        <w:pBdr>
          <w:left w:val="single" w:color="1F3864" w:sz="24" w:space="6"/>
        </w:pBdr>
        <w:shd w:fill="F4F7FB" w:val="clear"/>
        <w:spacing w:after="160" w:before="120" w:line="320"/>
        <w:ind w:left="360" w:right="360"/>
      </w:pPr>
      <w:r>
        <w:rPr>
          <w:color w:val="1F3864"/>
          <w:sz w:val="22"/>
          <w:szCs w:val="22"/>
        </w:rPr>
        <w:t xml:space="preserve">Train on these → Predict this → Simulate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Question</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Answer</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Source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Primary dataset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VitalDB (~4,200 cases after filtering)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vitaldb.net</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External validation</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MOVER (~58,000 cases)</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mover.ics.uci.edu</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Total input attributes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~30+ across 4 branches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Section 2 above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Label-generating attribute</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Solar8000/ART_MBP</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VitalDB Solar8000 device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Hypotension threshold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MAP &lt; 65 mmHg ≥ 60 s within 5 min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Walsh 2013, consensus literature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Prediction horizons</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5 min (primary), 10 min, 15 min</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Hatib 2018, Lee 2021</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PKPD model — propofol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Eleveld 2018 three-compartment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BJA 120(5):942–959</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PKPD model — norepinephrine</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Joachim 2024 three-compartment</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BJCP 90(11):2861–2869</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Calibration parameters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 perturbations: V1, V2, V3, ke0, EC50, γ</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Section 4.4 above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Cohort split</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70/15/15, case-level, stratified by ASA × age × HTN meds</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Section 3.4.2 of report</w:t>
            </w:r>
          </w:p>
        </w:tc>
      </w:tr>
    </w:tbl>
    <w:p>
      <w:pPr>
        <w:spacing w:before="320"/>
        <w:jc w:val="center"/>
      </w:pPr>
      <w:r>
        <w:rPr>
          <w:i/>
          <w:iCs/>
          <w:color w:val="808080"/>
          <w:sz w:val="20"/>
          <w:szCs w:val="20"/>
        </w:rPr>
        <w:t xml:space="preserve">— End of attributes &amp; parameters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2026-05-07T07:07:56.353Z</dcterms:created>
  <dcterms:modified xsi:type="dcterms:W3CDTF">2026-05-07T07:07:56.353Z</dcterms:modified>
</cp:coreProperties>
</file>

<file path=docProps/custom.xml><?xml version="1.0" encoding="utf-8"?>
<Properties xmlns="http://schemas.openxmlformats.org/officeDocument/2006/custom-properties" xmlns:vt="http://schemas.openxmlformats.org/officeDocument/2006/docPropsVTypes"/>
</file>