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36"/>
          <w:szCs w:val="36"/>
        </w:rPr>
        <w:t xml:space="preserve">Chapter 1</w:t>
      </w:r>
    </w:p>
    <w:p>
      <w:pPr>
        <w:spacing w:after="480"/>
        <w:jc w:val="center"/>
      </w:pPr>
      <w:r>
        <w:rPr>
          <w:rFonts w:ascii="Times New Roman" w:cs="Times New Roman" w:eastAsia="Times New Roman" w:hAnsi="Times New Roman"/>
          <w:b/>
          <w:bCs/>
          <w:sz w:val="32"/>
          <w:szCs w:val="32"/>
        </w:rPr>
        <w:t xml:space="preserve">AI Digital Twin for Personalized Intraoperative Risk Prediction and Drug Response Simulation</w:t>
      </w:r>
    </w:p>
    <w:p>
      <w:pPr>
        <w:pStyle w:val="Heading1"/>
        <w:spacing w:after="200" w:before="360"/>
      </w:pPr>
      <w:r>
        <w:rPr>
          <w:rFonts w:ascii="Times New Roman" w:cs="Times New Roman" w:eastAsia="Times New Roman" w:hAnsi="Times New Roman"/>
          <w:b/>
          <w:bCs/>
          <w:sz w:val="32"/>
          <w:szCs w:val="32"/>
        </w:rPr>
        <w:t xml:space="preserve">1.1  Introduction</w:t>
      </w:r>
    </w:p>
    <w:p>
      <w:pPr>
        <w:spacing w:after="160" w:line="320"/>
        <w:jc w:val="both"/>
      </w:pPr>
      <w:r>
        <w:rPr>
          <w:rFonts w:ascii="Times New Roman" w:cs="Times New Roman" w:eastAsia="Times New Roman" w:hAnsi="Times New Roman"/>
          <w:sz w:val="24"/>
          <w:szCs w:val="24"/>
        </w:rPr>
        <w:t xml:space="preserve">Every year, more than 300 million surgical operations are performed worldwide. For most patients, surgery is the moment when their life is placed entirely in the hands of a clinical team: a surgeon to perform the procedure, an anesthesiologist to keep the body alive and pain-free during it, and a network of monitors that beep, flash, and trace lines on a screen to confirm that the patient is safe. To anyone who has ever sat with a loved one before surgery, those monitors feel reassuring. They suggest that the body is being watched, second by second, and that the team will know the moment something goes wrong.</w:t>
      </w:r>
    </w:p>
    <w:p>
      <w:pPr>
        <w:spacing w:after="160" w:line="320"/>
        <w:jc w:val="both"/>
      </w:pPr>
      <w:r>
        <w:rPr>
          <w:rFonts w:ascii="Times New Roman" w:cs="Times New Roman" w:eastAsia="Times New Roman" w:hAnsi="Times New Roman"/>
          <w:sz w:val="24"/>
          <w:szCs w:val="24"/>
        </w:rPr>
        <w:t xml:space="preserve">What is less widely understood is that, for a large fraction of those 300 million patients, something does go wrong, at least briefly, during surgery. The most common form of trouble is a sudden drop in blood pressure, a condition called intraoperative hypotension. Studies of large surgical populations have reported that, depending on how strictly hypotension is defined, somewhere between roughly 30 percent and 65 percent of surgeries involve at least one such episode, and in some high-risk cohorts the figure approaches 90 percent. Hypotension is not a minor inconvenience. Even short periods of low blood pressure during surgery have been linked, in study after study, to kidney injury, heart muscle damage, stroke, longer hospital stays, and increased risk of dying in the days and weeks after the operation.</w:t>
      </w:r>
    </w:p>
    <w:p>
      <w:pPr>
        <w:spacing w:after="160" w:line="320"/>
        <w:jc w:val="both"/>
      </w:pPr>
      <w:r>
        <w:rPr>
          <w:rFonts w:ascii="Times New Roman" w:cs="Times New Roman" w:eastAsia="Times New Roman" w:hAnsi="Times New Roman"/>
          <w:sz w:val="24"/>
          <w:szCs w:val="24"/>
        </w:rPr>
        <w:t xml:space="preserve">This is the central problem this project addresses. Surgery has become much safer in the past forty years, but the safety gains have come almost entirely from being faster at noticing problems. The next leap, the one that medicine has been working toward for the last decade, is to stop these problems from happening in the first place. To do that, the operating room needs something it has never had before: a system that can look ahead, not just look down.</w:t>
      </w:r>
    </w:p>
    <w:p>
      <w:pPr>
        <w:pStyle w:val="Heading2"/>
        <w:spacing w:after="160" w:before="280"/>
      </w:pPr>
      <w:r>
        <w:rPr>
          <w:rFonts w:ascii="Times New Roman" w:cs="Times New Roman" w:eastAsia="Times New Roman" w:hAnsi="Times New Roman"/>
          <w:b/>
          <w:bCs/>
          <w:sz w:val="28"/>
          <w:szCs w:val="28"/>
        </w:rPr>
        <w:t xml:space="preserve">1.1.1  A short history of how anesthesia became safe</w:t>
      </w:r>
    </w:p>
    <w:p>
      <w:pPr>
        <w:spacing w:after="160" w:line="320"/>
        <w:jc w:val="both"/>
      </w:pPr>
      <w:r>
        <w:rPr>
          <w:rFonts w:ascii="Times New Roman" w:cs="Times New Roman" w:eastAsia="Times New Roman" w:hAnsi="Times New Roman"/>
          <w:sz w:val="24"/>
          <w:szCs w:val="24"/>
        </w:rPr>
        <w:t xml:space="preserve">To understand what this project is trying to add, it helps to walk through how surgical safety reached the point it has today. The story is short, recent, and surprisingly dramatic.</w:t>
      </w:r>
    </w:p>
    <w:p>
      <w:pPr>
        <w:spacing w:after="160" w:line="320"/>
        <w:jc w:val="both"/>
      </w:pPr>
      <w:r>
        <w:rPr>
          <w:rFonts w:ascii="Times New Roman" w:cs="Times New Roman" w:eastAsia="Times New Roman" w:hAnsi="Times New Roman"/>
          <w:sz w:val="24"/>
          <w:szCs w:val="24"/>
        </w:rPr>
        <w:t xml:space="preserve">Modern anesthesia is usually dated to October 16, 1846, when a Boston dentist named William Morton publicly demonstrated that breathing ether vapor could put a patient to sleep deeply enough for a tumor to be cut out painlessly. Within a few years, ether and chloroform spread to operating theaters across Europe and North America. Surgery, which until then had been a brief, brutal, and frequently fatal ordeal, became something a patient could survive without being held down. But anesthesia itself was a new and dangerous kind of medicine. The drugs that switched off pain also slowed breathing, weakened the heart, and lowered blood pressure, and there was no reliable way to measure any of those effects in real time. For the next century, the safety of surgery depended almost entirely on the experience and instincts of the person giving the anesthetic.</w:t>
      </w:r>
    </w:p>
    <w:p>
      <w:pPr>
        <w:spacing w:after="160" w:line="320"/>
        <w:jc w:val="both"/>
      </w:pPr>
      <w:r>
        <w:rPr>
          <w:rFonts w:ascii="Times New Roman" w:cs="Times New Roman" w:eastAsia="Times New Roman" w:hAnsi="Times New Roman"/>
          <w:sz w:val="24"/>
          <w:szCs w:val="24"/>
        </w:rPr>
        <w:t xml:space="preserve">By the 1970s, anesthesia in the United States and Europe was reasonably sophisticated, but it was still surprisingly unsafe. Roughly one patient in ten thousand died from causes attributable to anesthesia itself, separate from whatever surgical disease had brought them into the operating room. Lawsuits and televised exposés about anesthesia catastrophes were becoming common. A turning point came in 1986, when a small group of anesthesiologists at Harvard Medical School published a short paper in the Journal of the American Medical Association titled "Standards for Patient Monitoring During Anesthesia at Harvard Medical School." The paper was deceptively simple. It said that during every anesthetic, certain physiological signals had to be measured continuously: the patient's blood pressure, the rhythm of their heart, the oxygen content of their blood, and the carbon dioxide they were breathing out. Within five years, the American Society of Anesthesiologists had adopted these standards nationally, and within a decade similar standards had spread across most of the developed world.</w:t>
      </w:r>
    </w:p>
    <w:p>
      <w:pPr>
        <w:spacing w:after="160" w:line="320"/>
        <w:jc w:val="both"/>
      </w:pPr>
      <w:r>
        <w:rPr>
          <w:rFonts w:ascii="Times New Roman" w:cs="Times New Roman" w:eastAsia="Times New Roman" w:hAnsi="Times New Roman"/>
          <w:sz w:val="24"/>
          <w:szCs w:val="24"/>
        </w:rPr>
        <w:t xml:space="preserve">The effect was extraordinary. The most important enabling technology was the pulse oximeter, a small device clipped to the finger that uses two wavelengths of light to estimate how much oxygen the blood is carrying. Pulse oximetry had been invented in Japan in 1974 by Takuo Aoyagi, but it only became routine in operating rooms after the Harvard standards. Once it did, anesthesia-related fatalities in healthy patients fell dramatically. Today, in most well-resourced operating rooms, dying purely because of anesthesia is estimated at roughly one in 200,000 to one in 400,000 cases, a roughly twenty- to forty-fold improvement on the 1970s. Anesthesiology is now routinely cited in the patient-safety literature as the single greatest success story in modern medicine.</w:t>
      </w:r>
    </w:p>
    <w:p>
      <w:pPr>
        <w:spacing w:after="160" w:line="320"/>
        <w:jc w:val="both"/>
      </w:pPr>
      <w:r>
        <w:rPr>
          <w:rFonts w:ascii="Times New Roman" w:cs="Times New Roman" w:eastAsia="Times New Roman" w:hAnsi="Times New Roman"/>
          <w:sz w:val="24"/>
          <w:szCs w:val="24"/>
        </w:rPr>
        <w:t xml:space="preserve">But this success has a hidden ceiling. Every monitor used today, with one exception we will discuss in a moment, is reactive. The pulse oximeter tells the anesthesiologist that oxygen has already started to fall. The blood pressure cuff tells them that the pressure has already dropped. The capnograph tells them that something has already gone wrong with breathing. The clinician's job is to recognize the warning quickly enough, identify the cause, and intervene before the brief deviation becomes lasting damage. In a calm, elective operation, that is usually feasible. In a long, complex surgery on a frail patient with multiple medical conditions, it is much harder, and the consequences of being slightly too slow can be permanent.</w:t>
      </w:r>
    </w:p>
    <w:p>
      <w:pPr>
        <w:pStyle w:val="Heading2"/>
        <w:spacing w:after="160" w:before="280"/>
      </w:pPr>
      <w:r>
        <w:rPr>
          <w:rFonts w:ascii="Times New Roman" w:cs="Times New Roman" w:eastAsia="Times New Roman" w:hAnsi="Times New Roman"/>
          <w:b/>
          <w:bCs/>
          <w:sz w:val="28"/>
          <w:szCs w:val="28"/>
        </w:rPr>
        <w:t xml:space="preserve">1.1.2  Why intraoperative hypotension is so important</w:t>
      </w:r>
    </w:p>
    <w:p>
      <w:pPr>
        <w:spacing w:after="160" w:line="320"/>
        <w:jc w:val="both"/>
      </w:pPr>
      <w:r>
        <w:rPr>
          <w:rFonts w:ascii="Times New Roman" w:cs="Times New Roman" w:eastAsia="Times New Roman" w:hAnsi="Times New Roman"/>
          <w:sz w:val="24"/>
          <w:szCs w:val="24"/>
        </w:rPr>
        <w:t xml:space="preserve">Among the things that go wrong in surgery, hypotension is unusual in two ways. First, it is extremely common. The systematic reviews and large multicenter cohorts mentioned earlier consistently report that the majority of operations under general anesthesia involve at least some hypotension, and in surgeries lasting more than three hours on sicker patients, around a third experience hypotension lasting longer than ten minutes. Second, hypotension is one of the few intraoperative events that is both common and clearly linked to outcomes that matter to patients. Lower blood pressure during surgery means less blood reaching the kidneys, the heart muscle, and the brain. Studies in journals such as Anesthesiology and the British Journal of Anaesthesia have shown, across hundreds of thousands of patients, that the longer a patient spends with mean arterial pressure below roughly 65 millimeters of mercury, the higher their risk of acute kidney injury, of postoperative heart muscle damage, and of dying within thirty days of the operation.</w:t>
      </w:r>
    </w:p>
    <w:p>
      <w:pPr>
        <w:spacing w:after="160" w:line="320"/>
        <w:jc w:val="both"/>
      </w:pPr>
      <w:r>
        <w:rPr>
          <w:rFonts w:ascii="Times New Roman" w:cs="Times New Roman" w:eastAsia="Times New Roman" w:hAnsi="Times New Roman"/>
          <w:sz w:val="24"/>
          <w:szCs w:val="24"/>
        </w:rPr>
        <w:t xml:space="preserve">Hypotension during surgery has many causes. Anesthetic drugs themselves are a major contributor: most anesthetics relax blood vessels and reduce the heart's pumping force, which lowers blood pressure as a side effect of doing their main job. Bleeding lowers blood pressure by reducing the amount of fluid in the circulation. Some surgical maneuvers, such as cutting through major nerves or briefly clamping a large vessel, can drop pressure suddenly. The patient's own pre-existing condition matters as well. Older patients, patients with diabetes, patients who take long-term blood pressure medication, and patients undergoing emergency surgery are all known to be much more likely to become hypotensive.</w:t>
      </w:r>
    </w:p>
    <w:p>
      <w:pPr>
        <w:spacing w:after="160" w:line="320"/>
        <w:jc w:val="both"/>
      </w:pPr>
      <w:r>
        <w:rPr>
          <w:rFonts w:ascii="Times New Roman" w:cs="Times New Roman" w:eastAsia="Times New Roman" w:hAnsi="Times New Roman"/>
          <w:sz w:val="24"/>
          <w:szCs w:val="24"/>
        </w:rPr>
        <w:t xml:space="preserve">What makes this so frustrating is that, although hypotension is dangerous, it is also largely preventable. If a clinician knew, with reasonable confidence, that a particular patient was about to drop their blood pressure five or ten minutes from now, they could give a small dose of a vasopressor drug, slow the rate of anesthetic delivery, or top up the patient's fluids, and the event would not happen. The challenge has always been the if. There has been no reliable way to look five minutes into a patient's near future.</w:t>
      </w:r>
    </w:p>
    <w:p>
      <w:pPr>
        <w:pStyle w:val="Heading2"/>
        <w:spacing w:after="160" w:before="280"/>
      </w:pPr>
      <w:r>
        <w:rPr>
          <w:rFonts w:ascii="Times New Roman" w:cs="Times New Roman" w:eastAsia="Times New Roman" w:hAnsi="Times New Roman"/>
          <w:b/>
          <w:bCs/>
          <w:sz w:val="28"/>
          <w:szCs w:val="28"/>
        </w:rPr>
        <w:t xml:space="preserve">1.1.3  The first attempt to look ahead: predictive monitoring</w:t>
      </w:r>
    </w:p>
    <w:p>
      <w:pPr>
        <w:spacing w:after="160" w:line="320"/>
        <w:jc w:val="both"/>
      </w:pPr>
      <w:r>
        <w:rPr>
          <w:rFonts w:ascii="Times New Roman" w:cs="Times New Roman" w:eastAsia="Times New Roman" w:hAnsi="Times New Roman"/>
          <w:sz w:val="24"/>
          <w:szCs w:val="24"/>
        </w:rPr>
        <w:t xml:space="preserve">Around 2018, that began to change. A research group led by Feras Hatib showed that machine learning, trained on the high-resolution arterial pressure waveform, could detect subtle patterns in the shape of each heartbeat that precede a hypotensive episode by several minutes. Their algorithm, the Hypotension Prediction Index, became one of the first AI-based tools to receive regulatory clearance for use in operating rooms. A randomized clinical trial published in 2020, the HYPE trial, reported that anesthesiologists guided by this kind of predictive software spent significantly less time in hypotension than colleagues practicing standard care. Other groups have since shown that even non-invasive signals, such as the photoplethysmography waveform produced by an ordinary pulse oximeter, the electrocardiogram, and the capnogram, contain enough information for deep neural networks to predict hypotension five to fifteen minutes in advance with areas under the receiver operating characteristic curve frequently above 0.90.</w:t>
      </w:r>
    </w:p>
    <w:p>
      <w:pPr>
        <w:spacing w:after="160" w:line="320"/>
        <w:jc w:val="both"/>
      </w:pPr>
      <w:r>
        <w:rPr>
          <w:rFonts w:ascii="Times New Roman" w:cs="Times New Roman" w:eastAsia="Times New Roman" w:hAnsi="Times New Roman"/>
          <w:sz w:val="24"/>
          <w:szCs w:val="24"/>
        </w:rPr>
        <w:t xml:space="preserve">These systems are an enormous step forward. But they share an important limitation: they predict an event. They tell the clinician that hypotension is likely, but they do not tell the clinician why this particular patient is about to drop their blood pressure, what dose of which drug will most safely correct it, or whether the same intervention that helped the last ten patients is appropriate for this one. In other words, today's predictive systems are population models applied to an individual. They forecast risk; they do not simulate the patient.</w:t>
      </w:r>
    </w:p>
    <w:p>
      <w:pPr>
        <w:pStyle w:val="Heading2"/>
        <w:spacing w:after="160" w:before="280"/>
      </w:pPr>
      <w:r>
        <w:rPr>
          <w:rFonts w:ascii="Times New Roman" w:cs="Times New Roman" w:eastAsia="Times New Roman" w:hAnsi="Times New Roman"/>
          <w:b/>
          <w:bCs/>
          <w:sz w:val="28"/>
          <w:szCs w:val="28"/>
        </w:rPr>
        <w:t xml:space="preserve">1.1.4  The next step: the patient digital twin</w:t>
      </w:r>
    </w:p>
    <w:p>
      <w:pPr>
        <w:spacing w:after="160" w:line="320"/>
        <w:jc w:val="both"/>
      </w:pPr>
      <w:r>
        <w:rPr>
          <w:rFonts w:ascii="Times New Roman" w:cs="Times New Roman" w:eastAsia="Times New Roman" w:hAnsi="Times New Roman"/>
          <w:sz w:val="24"/>
          <w:szCs w:val="24"/>
        </w:rPr>
        <w:t xml:space="preserve">The concept that motivates this project comes from outside medicine. In aerospace and manufacturing, engineers have spent the last twenty years building digital twins of expensive physical assets such as jet engines, wind turbines, and entire factory floors. A digital twin is a virtual model of a real-world object that is continuously updated with measurements coming from the object itself. Because the model receives live data, it can simulate what would happen if some condition changed: the temperature rose, the load doubled, a part started to wear out. Engineers can ask the twin questions before they ask the real machine, and the answers are tailored to that specific machine, not to machines in general.</w:t>
      </w:r>
    </w:p>
    <w:p>
      <w:pPr>
        <w:spacing w:after="160" w:line="320"/>
        <w:jc w:val="both"/>
      </w:pPr>
      <w:r>
        <w:rPr>
          <w:rFonts w:ascii="Times New Roman" w:cs="Times New Roman" w:eastAsia="Times New Roman" w:hAnsi="Times New Roman"/>
          <w:sz w:val="24"/>
          <w:szCs w:val="24"/>
        </w:rPr>
        <w:t xml:space="preserve">Around 2018, researchers in cardiology, oncology, diabetes, and pharmacology began arguing that the same idea could be applied to patients. A 2020 position paper in the European Heart Journal made the case that precision medicine would be delivered, in the long run, by patient-specific digital twins that combine two ingredients: statistical models that learn patterns from large clinical datasets, and mechanistic models that encode the physical and biological laws governing how the body actually works. Since then, working twins have been built for cardiac arrhythmia ablation planning, for personalized radiotherapy, for diabetes management, and for transdermal drug delivery.</w:t>
      </w:r>
    </w:p>
    <w:p>
      <w:pPr>
        <w:spacing w:after="160" w:line="320"/>
        <w:jc w:val="both"/>
      </w:pPr>
      <w:r>
        <w:rPr>
          <w:rFonts w:ascii="Times New Roman" w:cs="Times New Roman" w:eastAsia="Times New Roman" w:hAnsi="Times New Roman"/>
          <w:sz w:val="24"/>
          <w:szCs w:val="24"/>
        </w:rPr>
        <w:t xml:space="preserve">Anesthesia is, in many ways, an ideal place to apply this concept. The operating room generates a stream of high-resolution physiological data unlike anywhere else in medicine. The drugs used are well characterized, with mathematical pharmacokinetic and pharmacodynamic models that have been refined since the 1990s. The relevant clinical questions, such as how this patient will respond to a dose of propofol, or whether their pressure will tolerate the next ten minutes of surgical manipulation, are concrete and measurable. And the clinical reward of getting it right is high, because hypotension, hypoxia, and adverse drug responses are exactly the kinds of events whose costs in postoperative complications are well documented.</w:t>
      </w:r>
    </w:p>
    <w:p>
      <w:pPr>
        <w:pStyle w:val="Heading2"/>
        <w:spacing w:after="160" w:before="280"/>
      </w:pPr>
      <w:r>
        <w:rPr>
          <w:rFonts w:ascii="Times New Roman" w:cs="Times New Roman" w:eastAsia="Times New Roman" w:hAnsi="Times New Roman"/>
          <w:b/>
          <w:bCs/>
          <w:sz w:val="28"/>
          <w:szCs w:val="28"/>
        </w:rPr>
        <w:t xml:space="preserve">1.1.5  What this project proposes</w:t>
      </w:r>
    </w:p>
    <w:p>
      <w:pPr>
        <w:spacing w:after="160" w:line="320"/>
        <w:jc w:val="both"/>
      </w:pPr>
      <w:r>
        <w:rPr>
          <w:rFonts w:ascii="Times New Roman" w:cs="Times New Roman" w:eastAsia="Times New Roman" w:hAnsi="Times New Roman"/>
          <w:sz w:val="24"/>
          <w:szCs w:val="24"/>
        </w:rPr>
        <w:t xml:space="preserve">This project proposes the design, implementation, and evaluation of an AI-driven digital twin of a surgical patient, focused on the perioperative period. The twin will be built on the open VitalDB dataset, a public repository of high-resolution intraoperative biosignals and clinical records from several thousand non-cardiac surgeries. The author will train a deep learning model from scratch on this dataset to predict intraoperative hypotension five minutes in advance from routinely available signals, and then couple this learned predictor to a published pharmacokinetic and pharmacodynamic model of propofol so that the twin can simulate, for a given patient, how their predicted blood pressure trajectory would change in response to a proposed change in drug dose or fluid administration.</w:t>
      </w:r>
    </w:p>
    <w:p>
      <w:pPr>
        <w:spacing w:after="160" w:line="320"/>
        <w:jc w:val="both"/>
      </w:pPr>
      <w:r>
        <w:rPr>
          <w:rFonts w:ascii="Times New Roman" w:cs="Times New Roman" w:eastAsia="Times New Roman" w:hAnsi="Times New Roman"/>
          <w:sz w:val="24"/>
          <w:szCs w:val="24"/>
        </w:rPr>
        <w:t xml:space="preserve">The deliverable is not a closed-loop autopilot for anesthesia. It is a decision-support tool: a virtual patient that runs alongside the real patient, that the clinician can probe with questions of the form what will happen if I do X, and that returns answers grounded in both the patient's own intraoperative data and the published physiology of the drugs being used. The intent is to give clinicians, especially those working in the resource-limited and high-volume settings that dominate global surgical care, a way to extend the warning horizon and personalize their interventions in a way that has never been possible before.</w:t>
      </w:r>
    </w:p>
    <w:p>
      <w:pPr>
        <w:pStyle w:val="Heading2"/>
        <w:spacing w:after="160" w:before="280"/>
      </w:pPr>
      <w:r>
        <w:rPr>
          <w:rFonts w:ascii="Times New Roman" w:cs="Times New Roman" w:eastAsia="Times New Roman" w:hAnsi="Times New Roman"/>
          <w:b/>
          <w:bCs/>
          <w:sz w:val="28"/>
          <w:szCs w:val="28"/>
        </w:rPr>
        <w:t xml:space="preserve">1.1.6  Target audience and beneficiaries</w:t>
      </w:r>
    </w:p>
    <w:p>
      <w:pPr>
        <w:spacing w:after="160" w:line="320"/>
        <w:jc w:val="both"/>
      </w:pPr>
      <w:r>
        <w:rPr>
          <w:rFonts w:ascii="Times New Roman" w:cs="Times New Roman" w:eastAsia="Times New Roman" w:hAnsi="Times New Roman"/>
          <w:sz w:val="24"/>
          <w:szCs w:val="24"/>
        </w:rPr>
        <w:t xml:space="preserve">The primary intended beneficiaries of this work are surgical patients, particularly those at higher risk for hemodynamic instability: older adults, patients with cardiovascular comorbidity, patients undergoing prolonged or emergency surgery, and patients in healthcare systems where senior anesthesia expertise is unevenly available. The primary intended users are anesthesiologists and anesthesia trainees, who would interact with the twin as a clinical decision-support layer attached to existing patient monitors. Secondary beneficiaries include hospital quality and safety departments, who would gain a richer audit trail of intraoperative reasoning; medical educators, who could use the twin as a virtual teaching environment for anesthesia residents; and pharmaceutical and device researchers, who could use the underlying simulation framework as a sandbox for in-silico trials of new dosing strategies.</w:t>
      </w:r>
    </w:p>
    <w:p>
      <w:pPr>
        <w:spacing w:after="160" w:line="320"/>
        <w:jc w:val="both"/>
      </w:pPr>
      <w:r>
        <w:rPr>
          <w:rFonts w:ascii="Times New Roman" w:cs="Times New Roman" w:eastAsia="Times New Roman" w:hAnsi="Times New Roman"/>
          <w:sz w:val="24"/>
          <w:szCs w:val="24"/>
        </w:rPr>
        <w:t xml:space="preserve">More broadly, the project aligns with the global movement toward personalized medicine, with the World Health Organization's emphasis on reducing preventable surgical harm, and with the growing interest in regulatory science around computational digital twins for healthcare.</w:t>
      </w:r>
    </w:p>
    <w:p>
      <w:r>
        <w:br w:type="page"/>
      </w:r>
    </w:p>
    <w:p>
      <w:pPr>
        <w:pStyle w:val="Heading1"/>
        <w:spacing w:after="200" w:before="360"/>
      </w:pPr>
      <w:r>
        <w:rPr>
          <w:rFonts w:ascii="Times New Roman" w:cs="Times New Roman" w:eastAsia="Times New Roman" w:hAnsi="Times New Roman"/>
          <w:b/>
          <w:bCs/>
          <w:sz w:val="32"/>
          <w:szCs w:val="32"/>
        </w:rPr>
        <w:t xml:space="preserve">1.2  Literature Review</w:t>
      </w:r>
    </w:p>
    <w:p>
      <w:pPr>
        <w:spacing w:after="160" w:line="320"/>
        <w:jc w:val="both"/>
      </w:pPr>
      <w:r>
        <w:rPr>
          <w:rFonts w:ascii="Times New Roman" w:cs="Times New Roman" w:eastAsia="Times New Roman" w:hAnsi="Times New Roman"/>
          <w:sz w:val="24"/>
          <w:szCs w:val="24"/>
        </w:rPr>
        <w:t xml:space="preserve">The technical lineage of this project draws on four streams of research that, until recently, evolved largely in parallel: classical pharmacological modeling of anesthetic drugs, machine learning for adverse-event prediction in the operating room, the broader concept of the patient digital twin, and the data infrastructure that has made the first three possible. This section traces each stream chronologically and shows where they converge.</w:t>
      </w:r>
    </w:p>
    <w:p>
      <w:pPr>
        <w:pStyle w:val="Heading2"/>
        <w:spacing w:after="160" w:before="280"/>
      </w:pPr>
      <w:r>
        <w:rPr>
          <w:rFonts w:ascii="Times New Roman" w:cs="Times New Roman" w:eastAsia="Times New Roman" w:hAnsi="Times New Roman"/>
          <w:b/>
          <w:bCs/>
          <w:sz w:val="28"/>
          <w:szCs w:val="28"/>
        </w:rPr>
        <w:t xml:space="preserve">1.2.1  From population pharmacology to target-controlled infusion (1970s–1990s)</w:t>
      </w:r>
    </w:p>
    <w:p>
      <w:pPr>
        <w:spacing w:after="160" w:line="320"/>
        <w:jc w:val="both"/>
      </w:pPr>
      <w:r>
        <w:rPr>
          <w:rFonts w:ascii="Times New Roman" w:cs="Times New Roman" w:eastAsia="Times New Roman" w:hAnsi="Times New Roman"/>
          <w:sz w:val="24"/>
          <w:szCs w:val="24"/>
        </w:rPr>
        <w:t xml:space="preserve">The earliest mathematical models of how the body handles anesthetic drugs date to the 1970s and 1980s, when investigators developed compartmental pharmacokinetic models that described drug concentration in plasma as the solution to a system of linear differential equations. By the early 1990s, Shafer and Gregg [1] had extended these models to include an effect-site compartment, allowing prediction of drug concentration not just in blood but at the site where the drug actually acts on the brain or cardiovascular system. Their algorithms made it computationally feasible to administer a target-controlled infusion (TCI), where the anesthesiologist sets a desired effect-site concentration and the infusion pump computes, in real time, the variable infusion rate required to reach and hold that concentration. TCI is now standard in much of Europe and Asia.</w:t>
      </w:r>
    </w:p>
    <w:p>
      <w:pPr>
        <w:spacing w:after="160" w:line="320"/>
        <w:jc w:val="both"/>
      </w:pPr>
      <w:r>
        <w:rPr>
          <w:rFonts w:ascii="Times New Roman" w:cs="Times New Roman" w:eastAsia="Times New Roman" w:hAnsi="Times New Roman"/>
          <w:sz w:val="24"/>
          <w:szCs w:val="24"/>
        </w:rPr>
        <w:t xml:space="preserve">Crucially, however, the parameters used inside these models, such as the volumes of distribution and the elimination clearances, were originally derived from population averages. Schnider's three-compartment model of propofol, published in 1998 [2], introduced covariates such as weight and age, but the model still treats the patient as a member of a statistical population rather than as a unique individual. This is the conceptual ceiling that more recent work has tried to break: target-controlled infusion delivers a drug to a population-averaged target, but it cannot tell you whether this particular patient's pressure will tolerate that target.</w:t>
      </w:r>
    </w:p>
    <w:p>
      <w:pPr>
        <w:pStyle w:val="Heading2"/>
        <w:spacing w:after="160" w:before="280"/>
      </w:pPr>
      <w:r>
        <w:rPr>
          <w:rFonts w:ascii="Times New Roman" w:cs="Times New Roman" w:eastAsia="Times New Roman" w:hAnsi="Times New Roman"/>
          <w:b/>
          <w:bCs/>
          <w:sz w:val="28"/>
          <w:szCs w:val="28"/>
        </w:rPr>
        <w:t xml:space="preserve">1.2.2  Continuous waveforms and the rise of intraoperative data (2000s–2010s)</w:t>
      </w:r>
    </w:p>
    <w:p>
      <w:pPr>
        <w:spacing w:after="160" w:line="320"/>
        <w:jc w:val="both"/>
      </w:pPr>
      <w:r>
        <w:rPr>
          <w:rFonts w:ascii="Times New Roman" w:cs="Times New Roman" w:eastAsia="Times New Roman" w:hAnsi="Times New Roman"/>
          <w:sz w:val="24"/>
          <w:szCs w:val="24"/>
        </w:rPr>
        <w:t xml:space="preserve">The next baby step, less glamorous but absolutely essential, was infrastructural. Through the 2000s and early 2010s, the operating room slowly transitioned from paper anesthesia records to electronic health records and then to continuous high-frequency data capture. By 2018, Lee and Jung had released Vital Recorder [3], an open research tool capable of capturing time-synchronized waveforms from anesthesia machines, patient monitors, infusion pumps, electroencephalographs, and cardiac output monitors at sampling rates of 100 to 500 hertz. In 2022, the same group released VitalDB [4], a public dataset containing high-fidelity multi-parameter vital signs from more than six thousand surgical patients at Seoul National University Hospital, which has since become the de facto reference dataset for intraoperative AI research.</w:t>
      </w:r>
    </w:p>
    <w:p>
      <w:pPr>
        <w:spacing w:after="160" w:line="320"/>
        <w:jc w:val="both"/>
      </w:pPr>
      <w:r>
        <w:rPr>
          <w:rFonts w:ascii="Times New Roman" w:cs="Times New Roman" w:eastAsia="Times New Roman" w:hAnsi="Times New Roman"/>
          <w:sz w:val="24"/>
          <w:szCs w:val="24"/>
        </w:rPr>
        <w:t xml:space="preserve">The importance of this step is hard to overstate. Without VitalDB and a small number of comparable datasets, none of the deep learning work described below would exist. Bijker and colleagues had already shown in 2007 [5] that the reported incidence of intraoperative hypotension varied wildly depending on definition, ranging from a few percent up to more than 90 percent in the same cohort. This was an early warning that the operating room produced enormous amounts of physiological data which were almost entirely thrown away. VitalDB and its peers were the first attempt to capture and standardize that data at a scale large enough for modern machine learning.</w:t>
      </w:r>
    </w:p>
    <w:p>
      <w:pPr>
        <w:pStyle w:val="Heading2"/>
        <w:spacing w:after="160" w:before="280"/>
      </w:pPr>
      <w:r>
        <w:rPr>
          <w:rFonts w:ascii="Times New Roman" w:cs="Times New Roman" w:eastAsia="Times New Roman" w:hAnsi="Times New Roman"/>
          <w:b/>
          <w:bCs/>
          <w:sz w:val="28"/>
          <w:szCs w:val="28"/>
        </w:rPr>
        <w:t xml:space="preserve">1.2.3  The first machine-learning hypotension predictors (2018)</w:t>
      </w:r>
    </w:p>
    <w:p>
      <w:pPr>
        <w:spacing w:after="160" w:line="320"/>
        <w:jc w:val="both"/>
      </w:pPr>
      <w:r>
        <w:rPr>
          <w:rFonts w:ascii="Times New Roman" w:cs="Times New Roman" w:eastAsia="Times New Roman" w:hAnsi="Times New Roman"/>
          <w:sz w:val="24"/>
          <w:szCs w:val="24"/>
        </w:rPr>
        <w:t xml:space="preserve">The first inflection point in AI-driven perioperative medicine came in 2018. Hatib and colleagues, working with Edwards Lifesciences, published in Anesthesiology a machine learning algorithm capable of predicting hypotensive events from high-fidelity arterial pressure waveform features alone [6]. Their model used several thousand engineered features extracted from each pulse, fed into a logistic regression with a substantial regularization penalty, and produced what was marketed as the Hypotension Prediction Index. The algorithm reported sensitivity above 88 percent and specificity above 87 percent for predicting hypotension fifteen minutes in advance. Although the methodological soundness of the original training and validation strategy was later debated in the literature, the work demonstrated for the first time that the arterial pressure waveform contained enough morphological information for a machine to anticipate hypotension.</w:t>
      </w:r>
    </w:p>
    <w:p>
      <w:pPr>
        <w:spacing w:after="160" w:line="320"/>
        <w:jc w:val="both"/>
      </w:pPr>
      <w:r>
        <w:rPr>
          <w:rFonts w:ascii="Times New Roman" w:cs="Times New Roman" w:eastAsia="Times New Roman" w:hAnsi="Times New Roman"/>
          <w:sz w:val="24"/>
          <w:szCs w:val="24"/>
        </w:rPr>
        <w:t xml:space="preserve">In 2020, Wijnberge and colleagues reported the HYPE trial [7], a randomized clinical trial in which anesthesiologists guided by this predictive system spent substantially less time in hypotension than those practicing standard care. This was the first prospective evidence that AI-based prediction translates into measurable changes in clinical practice, and it set the bar for every subsequent system.</w:t>
      </w:r>
    </w:p>
    <w:p>
      <w:pPr>
        <w:pStyle w:val="Heading2"/>
        <w:spacing w:after="160" w:before="280"/>
      </w:pPr>
      <w:r>
        <w:rPr>
          <w:rFonts w:ascii="Times New Roman" w:cs="Times New Roman" w:eastAsia="Times New Roman" w:hAnsi="Times New Roman"/>
          <w:b/>
          <w:bCs/>
          <w:sz w:val="28"/>
          <w:szCs w:val="28"/>
        </w:rPr>
        <w:t xml:space="preserve">1.2.4  Deep learning, multi-modal signals, and non-invasive monitoring (2020–2023)</w:t>
      </w:r>
    </w:p>
    <w:p>
      <w:pPr>
        <w:spacing w:after="160" w:line="320"/>
        <w:jc w:val="both"/>
      </w:pPr>
      <w:r>
        <w:rPr>
          <w:rFonts w:ascii="Times New Roman" w:cs="Times New Roman" w:eastAsia="Times New Roman" w:hAnsi="Times New Roman"/>
          <w:sz w:val="24"/>
          <w:szCs w:val="24"/>
        </w:rPr>
        <w:t xml:space="preserve">From 2020 onward, three trends took the field forward. First, deep learning replaced engineered features. Lee and colleagues showed in 2021 [8] that one-dimensional convolutional neural networks, trained directly on raw biosignal waveforms from VitalDB, could predict hypotension at five-, ten-, and fifteen-minute horizons with areas under the ROC curve up to 0.91, and that a multichannel model combining arterial pressure, ECG, photoplethysmography, and capnography outperformed a single-channel arterial pressure model.</w:t>
      </w:r>
    </w:p>
    <w:p>
      <w:pPr>
        <w:spacing w:after="160" w:line="320"/>
        <w:jc w:val="both"/>
      </w:pPr>
      <w:r>
        <w:rPr>
          <w:rFonts w:ascii="Times New Roman" w:cs="Times New Roman" w:eastAsia="Times New Roman" w:hAnsi="Times New Roman"/>
          <w:sz w:val="24"/>
          <w:szCs w:val="24"/>
        </w:rPr>
        <w:t>Second, the field began to move beyond invasive arterial lines. Jeong and colleagues [9] demonstrated that deep learning algorithms based purely on routinely available non-invasive monitors, the non-invasive blood pressure cuff, the ECG, the pulse oximeter, the capnograph, and the bispectral index, could predict hypotension five minutes in advance with internal-validation AUROC of 0.917 and external-validation AUROC of 0.833 on data from a different hospital. This was important because the original Hatib system required an arterial catheter, which is only used in a minority of surgeries. Non-invasive prediction opens hypotension forecasting to most of the world's surgical patients.</w:t>
      </w:r>
    </w:p>
    <w:p>
      <w:pPr>
        <w:spacing w:after="160" w:line="320"/>
        <w:jc w:val="both"/>
      </w:pPr>
      <w:r>
        <w:rPr>
          <w:rFonts w:ascii="Times New Roman" w:cs="Times New Roman" w:eastAsia="Times New Roman" w:hAnsi="Times New Roman"/>
          <w:sz w:val="24"/>
          <w:szCs w:val="24"/>
        </w:rPr>
        <w:t>Third, hybrid CNN-RNN architectures and ensembles began to outperform pure CNNs. Choe and colleagues [10] reported a STEP-OP system based on a weighted-average ensemble of CNN and recurrent neural networks trained on more than 18,000 VitalDB cases. Shim and colleagues [11] showed that gradient boosting machines and hybrid CNN-GRU networks fed with both waveforms and personalized clinical covariates reached AUROCs of 0.94, with accuracy of 0.88 at the five-minute horizon.</w:t>
      </w:r>
    </w:p>
    <w:p>
      <w:pPr>
        <w:pStyle w:val="Heading2"/>
        <w:spacing w:after="160" w:before="280"/>
      </w:pPr>
      <w:r>
        <w:rPr>
          <w:rFonts w:ascii="Times New Roman" w:cs="Times New Roman" w:eastAsia="Times New Roman" w:hAnsi="Times New Roman"/>
          <w:b/>
          <w:bCs/>
          <w:sz w:val="28"/>
          <w:szCs w:val="28"/>
        </w:rPr>
        <w:t xml:space="preserve">1.2.5  Transformers, calibration, and the move toward generalizability (2024–2025)</w:t>
      </w:r>
    </w:p>
    <w:p>
      <w:pPr>
        <w:spacing w:after="160" w:line="320"/>
        <w:jc w:val="both"/>
      </w:pPr>
      <w:r>
        <w:rPr>
          <w:rFonts w:ascii="Times New Roman" w:cs="Times New Roman" w:eastAsia="Times New Roman" w:hAnsi="Times New Roman"/>
          <w:sz w:val="24"/>
          <w:szCs w:val="24"/>
        </w:rPr>
        <w:t>The most recent generation of work has shifted attention from raw discrimination metrics to calibration, generalizability, and clinically meaningful evaluation. A 2026 study in PLOS Medicine [12] applied transformer architectures with self-attention mechanisms to dynamic time-series vital signs from more than 300,000 surgeries at Nanjing Drum Tower Hospital, externally validated on VitalDB. The transformer offered better calibration and sensitivity than gradient-boosted baselines at five-, ten-, and fifteen-minute horizons. A 2025 cross-center evaluation by Chaari and colleagues [13] argued that previous AUROC numbers had been inflated by selection bias, particularly the exclusion of borderline blood pressure cases between 65 and 75 millimeters of mercury. When models were forced to operate on this gray zone, AI predictors still outperformed simple threshold rules, but by less than the headline numbers suggested. The takeaway is that the next frontier is not bigger AUROCs, but reliability across different patient populations and across the ambiguous cases where decisions are actually difficult.</w:t>
      </w:r>
    </w:p>
    <w:p>
      <w:pPr>
        <w:pStyle w:val="Heading2"/>
        <w:spacing w:after="160" w:before="280"/>
      </w:pPr>
      <w:r>
        <w:rPr>
          <w:rFonts w:ascii="Times New Roman" w:cs="Times New Roman" w:eastAsia="Times New Roman" w:hAnsi="Times New Roman"/>
          <w:b/>
          <w:bCs/>
          <w:sz w:val="28"/>
          <w:szCs w:val="28"/>
        </w:rPr>
        <w:t xml:space="preserve">1.2.6  The patient digital twin: from concept to early implementation (2018–2025)</w:t>
      </w:r>
    </w:p>
    <w:p>
      <w:pPr>
        <w:spacing w:after="160" w:line="320"/>
        <w:jc w:val="both"/>
      </w:pPr>
      <w:r>
        <w:rPr>
          <w:rFonts w:ascii="Times New Roman" w:cs="Times New Roman" w:eastAsia="Times New Roman" w:hAnsi="Times New Roman"/>
          <w:sz w:val="24"/>
          <w:szCs w:val="24"/>
        </w:rPr>
        <w:t xml:space="preserve">Parallel to this body of predictive work, a separate strand of literature has been developing the broader idea of the patient digital twin. Bruynseels, Santoni de Sio, and van den Hoven [14] gave one of the first conceptual treatments in 2018, framing the digital twin as a personalized integrative model in healthcare. Corral-Acero and colleagues [15] published a widely cited 2020 position paper in the European Heart Journal arguing that the digital twin rests on two pillars: statistical models learned inductively from data, and mechanistic models built deductively from the laws of physiology, and that precision cardiology will be delivered by their combination.</w:t>
      </w:r>
    </w:p>
    <w:p>
      <w:pPr>
        <w:spacing w:after="160" w:line="320"/>
        <w:jc w:val="both"/>
      </w:pPr>
      <w:r>
        <w:rPr>
          <w:rFonts w:ascii="Times New Roman" w:cs="Times New Roman" w:eastAsia="Times New Roman" w:hAnsi="Times New Roman"/>
          <w:sz w:val="24"/>
          <w:szCs w:val="24"/>
        </w:rPr>
        <w:t>Concrete implementations have followed. Defraeye and colleagues [16] built a physics-based digital twin of transdermal fentanyl delivery for chronic pain management, integrating drug uptake, pharmacokinetics, and pharmacodynamics for individual patients. A 2025 comprehensive review in Frontiers in Digital Health [17] documented digital twin applications across cardiac, neurological, respiratory, metabolic, hepatic, oncological, and cellular domains, including a critical-care education twin that simulates patient conditions and responses during the first six hours of critical illness, and a population-scale cardiac twin built from a 3,461-patient cohort. Shamanna and colleagues [18] demonstrated that whole-body metabolic twins can drive measurable improvements in glucose control in type-2 diabetes.</w:t>
      </w:r>
    </w:p>
    <w:p>
      <w:pPr>
        <w:spacing w:after="160" w:line="320"/>
        <w:jc w:val="both"/>
      </w:pPr>
      <w:r>
        <w:rPr>
          <w:rFonts w:ascii="Times New Roman" w:cs="Times New Roman" w:eastAsia="Times New Roman" w:hAnsi="Times New Roman"/>
          <w:sz w:val="24"/>
          <w:szCs w:val="24"/>
        </w:rPr>
        <w:t>Within anesthesia specifically, work has begun on digital twins for closed-loop control. A 2025 paper in SIMULATION [19] described a digital twin of a depth-of-anesthesia controller, built in MATLAB-Simulink on top of a population pharmacokinetic model of propofol, intended for formal verification of closed-loop anesthesia algorithms before clinical deployment. Thoral and colleagues, in a 2021 review in the British Journal of Anaesthesia [20], argued that the convergence of high-resolution intraoperative data, validated pharmacological models, and modern machine learning makes anesthesia an ideal early adopter of patient-specific digital twins.</w:t>
      </w:r>
    </w:p>
    <w:p>
      <w:pPr>
        <w:pStyle w:val="Heading2"/>
        <w:spacing w:after="160" w:before="280"/>
      </w:pPr>
      <w:r>
        <w:rPr>
          <w:rFonts w:ascii="Times New Roman" w:cs="Times New Roman" w:eastAsia="Times New Roman" w:hAnsi="Times New Roman"/>
          <w:b/>
          <w:bCs/>
          <w:sz w:val="28"/>
          <w:szCs w:val="28"/>
        </w:rPr>
        <w:t xml:space="preserve">1.2.7  Identified gap and how this work is positioned</w:t>
      </w:r>
    </w:p>
    <w:p>
      <w:pPr>
        <w:spacing w:after="160" w:line="320"/>
        <w:jc w:val="both"/>
      </w:pPr>
      <w:r>
        <w:rPr>
          <w:rFonts w:ascii="Times New Roman" w:cs="Times New Roman" w:eastAsia="Times New Roman" w:hAnsi="Times New Roman"/>
          <w:sz w:val="24"/>
          <w:szCs w:val="24"/>
        </w:rPr>
        <w:t xml:space="preserve">What emerges from this review is that two strong but largely separate lines of work have matured to the point where they can be combined. On one side, deep learning models can now predict intraoperative hypotension five to fifteen minutes in advance from routinely available signals, with proven impact in randomized clinical trials. On the other side, mechanistic pharmacokinetic-pharmacodynamic models can simulate, for a given patient, how a given dose of a given drug will alter that patient's effect-site concentration and, indirectly, their hemodynamics. To the best of the author's reading, no published system to date integrates both within a single patient-specific digital twin: a system in which the predictive model continuously forecasts risk, the mechanistic model simulates intervention scenarios, and the two are coupled by a shared representation of the individual patient's physiological state.</w:t>
      </w:r>
    </w:p>
    <w:p>
      <w:pPr>
        <w:spacing w:after="160" w:line="320"/>
        <w:jc w:val="both"/>
      </w:pPr>
      <w:r>
        <w:rPr>
          <w:rFonts w:ascii="Times New Roman" w:cs="Times New Roman" w:eastAsia="Times New Roman" w:hAnsi="Times New Roman"/>
          <w:sz w:val="24"/>
          <w:szCs w:val="24"/>
        </w:rPr>
        <w:t xml:space="preserve">This is the gap that the present project targets. The contribution is not a new neural network architecture, nor a new pharmacokinetic equation. It is the integration: a working digital twin of a surgical patient that produces both a forecast of risk and a personalized response to a hypothetical intervention, and that can be evaluated end-to-end on a public dataset by a single researcher.</w:t>
      </w:r>
    </w:p>
    <w:p>
      <w:r>
        <w:br w:type="page"/>
      </w:r>
    </w:p>
    <w:p>
      <w:pPr>
        <w:pStyle w:val="Heading1"/>
        <w:spacing w:after="200" w:before="360"/>
      </w:pPr>
      <w:r>
        <w:rPr>
          <w:rFonts w:ascii="Times New Roman" w:cs="Times New Roman" w:eastAsia="Times New Roman" w:hAnsi="Times New Roman"/>
          <w:b/>
          <w:bCs/>
          <w:sz w:val="32"/>
          <w:szCs w:val="32"/>
        </w:rPr>
        <w:t xml:space="preserve">1.3  Problem Statement</w:t>
      </w:r>
    </w:p>
    <w:p>
      <w:pPr>
        <w:spacing w:after="160" w:line="320"/>
        <w:jc w:val="both"/>
      </w:pPr>
      <w:r>
        <w:rPr>
          <w:rFonts w:ascii="Times New Roman" w:cs="Times New Roman" w:eastAsia="Times New Roman" w:hAnsi="Times New Roman"/>
          <w:sz w:val="24"/>
          <w:szCs w:val="24"/>
        </w:rPr>
        <w:t xml:space="preserve">Intraoperative hypotension occurs in a majority of operations performed under general anesthesia and is causally associated with postoperative kidney injury, myocardial injury, stroke, and increased thirty-day mortality. Existing intraoperative monitoring is overwhelmingly reactive: it confirms that a deviation has already occurred, leaving the clinician to identify the cause and intervene before short-term deviation becomes lasting harm.</w:t>
      </w:r>
    </w:p>
    <w:p>
      <w:pPr>
        <w:spacing w:after="160" w:line="320"/>
        <w:jc w:val="both"/>
      </w:pPr>
      <w:r>
        <w:rPr>
          <w:rFonts w:ascii="Times New Roman" w:cs="Times New Roman" w:eastAsia="Times New Roman" w:hAnsi="Times New Roman"/>
          <w:sz w:val="24"/>
          <w:szCs w:val="24"/>
        </w:rPr>
        <w:t xml:space="preserve">Recent AI-based predictive systems can forecast hypotension several minutes in advance, but they answer only one question, namely whether an event is likely. They do not represent the individual patient's physiology in a form that allows the clinician to ask why this patient, why now, and what would happen if I did X instead of Y. Pharmacological simulation, which can answer the last of these, exists in parallel but is built on population-averaged parameters and is not coupled to the patient's live intraoperative trajectory.</w:t>
      </w:r>
    </w:p>
    <w:p>
      <w:pPr>
        <w:spacing w:after="160" w:line="320"/>
        <w:jc w:val="both"/>
      </w:pPr>
      <w:r>
        <w:rPr>
          <w:rFonts w:ascii="Times New Roman" w:cs="Times New Roman" w:eastAsia="Times New Roman" w:hAnsi="Times New Roman"/>
          <w:sz w:val="24"/>
          <w:szCs w:val="24"/>
        </w:rPr>
        <w:t xml:space="preserve">There is therefore no available system that simultaneously (i) forecasts patient-specific intraoperative risk from live physiological signals, (ii) simulates that same patient's response to candidate interventions using validated pharmacological models, and (iii) presents both within a single, personalized, continuously updated representation of the patient that the anesthesiologist can interrogate during surgery. The absence of such a system limits the ability of clinicians to move from reactive recognition to proactive, personalized perioperative management.</w:t>
      </w:r>
    </w:p>
    <w:p>
      <w:r>
        <w:br w:type="page"/>
      </w:r>
    </w:p>
    <w:p>
      <w:pPr>
        <w:pStyle w:val="Heading1"/>
        <w:spacing w:after="200" w:before="360"/>
      </w:pPr>
      <w:r>
        <w:rPr>
          <w:rFonts w:ascii="Times New Roman" w:cs="Times New Roman" w:eastAsia="Times New Roman" w:hAnsi="Times New Roman"/>
          <w:b/>
          <w:bCs/>
          <w:sz w:val="32"/>
          <w:szCs w:val="32"/>
        </w:rPr>
        <w:t xml:space="preserve">1.4  Proposed Solution</w:t>
      </w:r>
    </w:p>
    <w:p>
      <w:pPr>
        <w:spacing w:after="160" w:line="320"/>
        <w:jc w:val="both"/>
      </w:pPr>
      <w:r>
        <w:rPr>
          <w:rFonts w:ascii="Times New Roman" w:cs="Times New Roman" w:eastAsia="Times New Roman" w:hAnsi="Times New Roman"/>
          <w:sz w:val="24"/>
          <w:szCs w:val="24"/>
        </w:rPr>
        <w:t xml:space="preserve">The proposed system is a patient-specific intraoperative digital twin composed of four cooperating layers. The data ingestion layer continuously consumes intraoperative biosignals (arterial or non-invasive blood pressure, electrocardiogram, photoplethysmogram, capnogram) together with the patient's preoperative clinical record. The predictive layer is a deep neural network, trained from scratch by the author on the VitalDB cohort, that forecasts the probability of a hypotensive event within the next five minutes. The mechanistic layer is a pharmacokinetic-pharmacodynamic model of the principal anesthetic and vasoactive drugs, parameterized for the individual patient using their preoperative covariates and updated using their observed intraoperative response. The simulation and decision-support layer couples the predictive and mechanistic layers, allowing the clinician to query the twin with hypothetical interventions (for example, a small bolus of phenylephrine, a 20 percent reduction in propofol infusion rate, a 250 millilitre fluid bolus) and observe the resulting projected blood pressure trajectory and risk profile.</w:t>
      </w:r>
    </w:p>
    <w:p>
      <w:pPr>
        <w:spacing w:after="160" w:line="320"/>
        <w:jc w:val="both"/>
      </w:pPr>
      <w:r>
        <w:rPr>
          <w:rFonts w:ascii="Times New Roman" w:cs="Times New Roman" w:eastAsia="Times New Roman" w:hAnsi="Times New Roman"/>
          <w:sz w:val="24"/>
          <w:szCs w:val="24"/>
        </w:rPr>
        <w:t xml:space="preserve">The conceptual flow of the system is summarized in the diagram below.</w:t>
      </w:r>
    </w:p>
    <w:p>
      <w:pPr>
        <w:spacing w:after="0" w:line="240"/>
        <w:jc w:val="left"/>
      </w:pPr>
      <w:r>
        <w:rPr>
          <w:rFonts w:ascii="Consolas" w:cs="Consolas" w:eastAsia="Consolas" w:hAnsi="Consolas"/>
          <w:sz w:val="20"/>
          <w:szCs w:val="20"/>
        </w:rPr>
        <w:t xml:space="preserve">[ Preoperative Patient Record ]    [ Intraoperative Biosignals ]</w:t>
      </w:r>
    </w:p>
    <w:p>
      <w:pPr>
        <w:spacing w:after="0" w:line="240"/>
        <w:jc w:val="left"/>
      </w:pPr>
      <w:r>
        <w:rPr>
          <w:rFonts w:ascii="Consolas" w:cs="Consolas" w:eastAsia="Consolas" w:hAnsi="Consolas"/>
          <w:sz w:val="20"/>
          <w:szCs w:val="20"/>
        </w:rPr>
        <w:t xml:space="preserve">  age, weight, comorbidities,        ABP / NIBP, ECG, PPG, EtCO2</w:t>
      </w:r>
    </w:p>
    <w:p>
      <w:pPr>
        <w:spacing w:after="0" w:line="240"/>
        <w:jc w:val="left"/>
      </w:pPr>
      <w:r>
        <w:rPr>
          <w:rFonts w:ascii="Consolas" w:cs="Consolas" w:eastAsia="Consolas" w:hAnsi="Consolas"/>
          <w:sz w:val="20"/>
          <w:szCs w:val="20"/>
        </w:rPr>
        <w:t xml:space="preserve">  ASA class, medications              sampled at 100 - 500 Hz</w:t>
      </w:r>
    </w:p>
    <w:p>
      <w:pPr>
        <w:spacing w:after="0" w:line="240"/>
        <w:jc w:val="left"/>
      </w:pPr>
      <w:r>
        <w:rPr>
          <w:rFonts w:ascii="Consolas" w:cs="Consolas" w:eastAsia="Consolas" w:hAnsi="Consolas"/>
          <w:sz w:val="20"/>
          <w:szCs w:val="20"/>
        </w:rPr>
        <w:t xml:space="preserve">             |                                  |</w:t>
      </w:r>
    </w:p>
    <w:p>
      <w:pPr>
        <w:spacing w:after="0" w:line="240"/>
        <w:jc w:val="left"/>
      </w:pPr>
      <w:r>
        <w:rPr>
          <w:rFonts w:ascii="Consolas" w:cs="Consolas" w:eastAsia="Consolas" w:hAnsi="Consolas"/>
          <w:sz w:val="20"/>
          <w:szCs w:val="20"/>
        </w:rPr>
        <w:t xml:space="preserve">             v                                  v</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          DATA INGESTION LAYER          |</w:t>
      </w:r>
    </w:p>
    <w:p>
      <w:pPr>
        <w:spacing w:after="0" w:line="240"/>
        <w:jc w:val="left"/>
      </w:pPr>
      <w:r>
        <w:rPr>
          <w:rFonts w:ascii="Consolas" w:cs="Consolas" w:eastAsia="Consolas" w:hAnsi="Consolas"/>
          <w:sz w:val="20"/>
          <w:szCs w:val="20"/>
        </w:rPr>
        <w:t xml:space="preserve">         |   cleaning, alignment, windowing,      |</w:t>
      </w:r>
    </w:p>
    <w:p>
      <w:pPr>
        <w:spacing w:after="0" w:line="240"/>
        <w:jc w:val="left"/>
      </w:pPr>
      <w:r>
        <w:rPr>
          <w:rFonts w:ascii="Consolas" w:cs="Consolas" w:eastAsia="Consolas" w:hAnsi="Consolas"/>
          <w:sz w:val="20"/>
          <w:szCs w:val="20"/>
        </w:rPr>
        <w:t xml:space="preserve">         |   patient-specific normalization       |</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v                                v</w:t>
      </w:r>
    </w:p>
    <w:p>
      <w:pPr>
        <w:spacing w:after="0" w:line="240"/>
        <w:jc w:val="left"/>
      </w:pPr>
      <w:r>
        <w:rPr>
          <w:rFonts w:ascii="Consolas" w:cs="Consolas" w:eastAsia="Consolas" w:hAnsi="Consolas"/>
          <w:sz w:val="20"/>
          <w:szCs w:val="20"/>
        </w:rPr>
        <w:t xml:space="preserve">  +-----------------+              +------------------+</w:t>
      </w:r>
    </w:p>
    <w:p>
      <w:pPr>
        <w:spacing w:after="0" w:line="240"/>
        <w:jc w:val="left"/>
      </w:pPr>
      <w:r>
        <w:rPr>
          <w:rFonts w:ascii="Consolas" w:cs="Consolas" w:eastAsia="Consolas" w:hAnsi="Consolas"/>
          <w:sz w:val="20"/>
          <w:szCs w:val="20"/>
        </w:rPr>
        <w:t xml:space="preserve">  | PREDICTIVE NET  |              | PK / PD ENGINE   |</w:t>
      </w:r>
    </w:p>
    <w:p>
      <w:pPr>
        <w:spacing w:after="0" w:line="240"/>
        <w:jc w:val="left"/>
      </w:pPr>
      <w:r>
        <w:rPr>
          <w:rFonts w:ascii="Consolas" w:cs="Consolas" w:eastAsia="Consolas" w:hAnsi="Consolas"/>
          <w:sz w:val="20"/>
          <w:szCs w:val="20"/>
        </w:rPr>
        <w:t xml:space="preserve">  | 1D CNN + GRU    |              | three-compartment|</w:t>
      </w:r>
    </w:p>
    <w:p>
      <w:pPr>
        <w:spacing w:after="0" w:line="240"/>
        <w:jc w:val="left"/>
      </w:pPr>
      <w:r>
        <w:rPr>
          <w:rFonts w:ascii="Consolas" w:cs="Consolas" w:eastAsia="Consolas" w:hAnsi="Consolas"/>
          <w:sz w:val="20"/>
          <w:szCs w:val="20"/>
        </w:rPr>
        <w:t xml:space="preserve">  | 5-min IOH risk  |              | propofol +       |</w:t>
      </w:r>
    </w:p>
    <w:p>
      <w:pPr>
        <w:spacing w:after="0" w:line="240"/>
        <w:jc w:val="left"/>
      </w:pPr>
      <w:r>
        <w:rPr>
          <w:rFonts w:ascii="Consolas" w:cs="Consolas" w:eastAsia="Consolas" w:hAnsi="Consolas"/>
          <w:sz w:val="20"/>
          <w:szCs w:val="20"/>
        </w:rPr>
        <w:t xml:space="preserve">  | trained on      |              | vasopressors,    |</w:t>
      </w:r>
    </w:p>
    <w:p>
      <w:pPr>
        <w:spacing w:after="0" w:line="240"/>
        <w:jc w:val="left"/>
      </w:pPr>
      <w:r>
        <w:rPr>
          <w:rFonts w:ascii="Consolas" w:cs="Consolas" w:eastAsia="Consolas" w:hAnsi="Consolas"/>
          <w:sz w:val="20"/>
          <w:szCs w:val="20"/>
        </w:rPr>
        <w:t xml:space="preserve">  | VitalDB         |              | personalized     |</w:t>
      </w:r>
    </w:p>
    <w:p>
      <w:pPr>
        <w:spacing w:after="0" w:line="240"/>
        <w:jc w:val="left"/>
      </w:pPr>
      <w:r>
        <w:rPr>
          <w:rFonts w:ascii="Consolas" w:cs="Consolas" w:eastAsia="Consolas" w:hAnsi="Consolas"/>
          <w:sz w:val="20"/>
          <w:szCs w:val="20"/>
        </w:rPr>
        <w:t xml:space="preserve">  +-----------------+              +------------------+</w:t>
      </w:r>
    </w:p>
    <w:p>
      <w:pPr>
        <w:spacing w:after="0" w:line="240"/>
        <w:jc w:val="left"/>
      </w:pPr>
      <w:r>
        <w:rPr>
          <w:rFonts w:ascii="Consolas" w:cs="Consolas" w:eastAsia="Consolas" w:hAnsi="Consolas"/>
          <w:sz w:val="20"/>
          <w:szCs w:val="20"/>
        </w:rPr>
        <w:t xml:space="preserve">          |                                |</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v</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   PATIENT DIGITAL TWIN STATE  |</w:t>
      </w:r>
    </w:p>
    <w:p>
      <w:pPr>
        <w:spacing w:after="0" w:line="240"/>
        <w:jc w:val="left"/>
      </w:pPr>
      <w:r>
        <w:rPr>
          <w:rFonts w:ascii="Consolas" w:cs="Consolas" w:eastAsia="Consolas" w:hAnsi="Consolas"/>
          <w:sz w:val="20"/>
          <w:szCs w:val="20"/>
        </w:rPr>
        <w:t xml:space="preserve">            |   live MAP forecast + drug    |</w:t>
      </w:r>
    </w:p>
    <w:p>
      <w:pPr>
        <w:spacing w:after="0" w:line="240"/>
        <w:jc w:val="left"/>
      </w:pPr>
      <w:r>
        <w:rPr>
          <w:rFonts w:ascii="Consolas" w:cs="Consolas" w:eastAsia="Consolas" w:hAnsi="Consolas"/>
          <w:sz w:val="20"/>
          <w:szCs w:val="20"/>
        </w:rPr>
        <w:t xml:space="preserve">            |   effect-site concentrations  |</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v</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   WHAT-IF SIMULATION ENGINE   |</w:t>
      </w:r>
    </w:p>
    <w:p>
      <w:pPr>
        <w:spacing w:after="0" w:line="240"/>
        <w:jc w:val="left"/>
      </w:pPr>
      <w:r>
        <w:rPr>
          <w:rFonts w:ascii="Consolas" w:cs="Consolas" w:eastAsia="Consolas" w:hAnsi="Consolas"/>
          <w:sz w:val="20"/>
          <w:szCs w:val="20"/>
        </w:rPr>
        <w:t xml:space="preserve">            |   user proposes intervention; |</w:t>
      </w:r>
    </w:p>
    <w:p>
      <w:pPr>
        <w:spacing w:after="0" w:line="240"/>
        <w:jc w:val="left"/>
      </w:pPr>
      <w:r>
        <w:rPr>
          <w:rFonts w:ascii="Consolas" w:cs="Consolas" w:eastAsia="Consolas" w:hAnsi="Consolas"/>
          <w:sz w:val="20"/>
          <w:szCs w:val="20"/>
        </w:rPr>
        <w:t xml:space="preserve">            |   twin returns projected      |</w:t>
      </w:r>
    </w:p>
    <w:p>
      <w:pPr>
        <w:spacing w:after="0" w:line="240"/>
        <w:jc w:val="left"/>
      </w:pPr>
      <w:r>
        <w:rPr>
          <w:rFonts w:ascii="Consolas" w:cs="Consolas" w:eastAsia="Consolas" w:hAnsi="Consolas"/>
          <w:sz w:val="20"/>
          <w:szCs w:val="20"/>
        </w:rPr>
        <w:t xml:space="preserve">            |   trajectory + new risk       |</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v</w:t>
      </w:r>
    </w:p>
    <w:p>
      <w:pPr>
        <w:spacing w:after="0" w:line="240"/>
        <w:jc w:val="left"/>
      </w:pPr>
      <w:r>
        <w:rPr>
          <w:rFonts w:ascii="Consolas" w:cs="Consolas" w:eastAsia="Consolas" w:hAnsi="Consolas"/>
          <w:sz w:val="20"/>
          <w:szCs w:val="20"/>
        </w:rPr>
        <w:t xml:space="preserve">            +-------------------------------+</w:t>
      </w:r>
    </w:p>
    <w:p>
      <w:pPr>
        <w:spacing w:after="0" w:line="240"/>
        <w:jc w:val="left"/>
      </w:pPr>
      <w:r>
        <w:rPr>
          <w:rFonts w:ascii="Consolas" w:cs="Consolas" w:eastAsia="Consolas" w:hAnsi="Consolas"/>
          <w:sz w:val="20"/>
          <w:szCs w:val="20"/>
        </w:rPr>
        <w:t xml:space="preserve">            |   CLINICIAN DECISION SUPPORT  |</w:t>
      </w:r>
    </w:p>
    <w:p>
      <w:pPr>
        <w:spacing w:after="0" w:line="240"/>
        <w:jc w:val="left"/>
      </w:pPr>
      <w:r>
        <w:rPr>
          <w:rFonts w:ascii="Consolas" w:cs="Consolas" w:eastAsia="Consolas" w:hAnsi="Consolas"/>
          <w:sz w:val="20"/>
          <w:szCs w:val="20"/>
        </w:rPr>
        <w:t xml:space="preserve">            |   alert + recommended actions |</w:t>
      </w:r>
    </w:p>
    <w:p>
      <w:pPr>
        <w:spacing w:after="0" w:line="240"/>
        <w:jc w:val="left"/>
      </w:pPr>
      <w:r>
        <w:rPr>
          <w:rFonts w:ascii="Consolas" w:cs="Consolas" w:eastAsia="Consolas" w:hAnsi="Consolas"/>
          <w:sz w:val="20"/>
          <w:szCs w:val="20"/>
        </w:rPr>
        <w:t xml:space="preserve">            |   ranked by simulated outcome |</w:t>
      </w:r>
    </w:p>
    <w:p>
      <w:pPr>
        <w:spacing w:after="0" w:line="240"/>
        <w:jc w:val="left"/>
      </w:pPr>
      <w:r>
        <w:rPr>
          <w:rFonts w:ascii="Consolas" w:cs="Consolas" w:eastAsia="Consolas" w:hAnsi="Consolas"/>
          <w:sz w:val="20"/>
          <w:szCs w:val="20"/>
        </w:rPr>
        <w:t xml:space="preserve">            +-------------------------------+</w:t>
      </w:r>
    </w:p>
    <w:p>
      <w:pPr>
        <w:spacing w:after="240" w:before="100"/>
        <w:jc w:val="center"/>
      </w:pPr>
      <w:r>
        <w:rPr>
          <w:rFonts w:ascii="Times New Roman" w:cs="Times New Roman" w:eastAsia="Times New Roman" w:hAnsi="Times New Roman"/>
          <w:i/>
          <w:iCs/>
          <w:sz w:val="22"/>
          <w:szCs w:val="22"/>
        </w:rPr>
        <w:t xml:space="preserve">Figure 1.1  High-level architecture of the proposed perioperative patient digital twin.</w:t>
      </w:r>
    </w:p>
    <w:p>
      <w:pPr>
        <w:spacing w:after="160" w:line="320"/>
        <w:jc w:val="both"/>
      </w:pPr>
      <w:r>
        <w:rPr>
          <w:rFonts w:ascii="Times New Roman" w:cs="Times New Roman" w:eastAsia="Times New Roman" w:hAnsi="Times New Roman"/>
          <w:sz w:val="24"/>
          <w:szCs w:val="24"/>
        </w:rPr>
        <w:t xml:space="preserve">The training of the predictive layer constitutes the principal original engineering contribution. A one-dimensional convolutional encoder will be trained on segmented VitalDB waveforms with a five-minute prediction horizon, using mean arterial pressure below 65 millimeters of mercury for at least one minute as the positive label, with patient-stratified cross-validation. The output of the encoder will be fused with a tabular branch encoding preoperative covariates, and the combined representation will be the per-patient state passed to the simulation layer. The mechanistic engine will use the published Schnider three-compartment propofol model and standard vasopressor PK/PD parameters, with bedside calibration from the patient's observed response in the first minutes of stable anesthesia.</w:t>
      </w:r>
    </w:p>
    <w:p>
      <w:pPr>
        <w:spacing w:after="160" w:line="320"/>
        <w:jc w:val="both"/>
      </w:pPr>
      <w:r>
        <w:rPr>
          <w:rFonts w:ascii="Times New Roman" w:cs="Times New Roman" w:eastAsia="Times New Roman" w:hAnsi="Times New Roman"/>
          <w:sz w:val="24"/>
          <w:szCs w:val="24"/>
        </w:rPr>
        <w:t xml:space="preserve">The system is intended throughout as decision support, not as autonomous control. The twin generates forecasts, simulations, and ranked recommendations; the clinician retains sole authority over every actual intervention administered to the real patient.</w:t>
      </w:r>
    </w:p>
    <w:p>
      <w:r>
        <w:br w:type="page"/>
      </w:r>
    </w:p>
    <w:p>
      <w:pPr>
        <w:pStyle w:val="Heading1"/>
        <w:spacing w:after="200" w:before="360"/>
      </w:pPr>
      <w:r>
        <w:rPr>
          <w:rFonts w:ascii="Times New Roman" w:cs="Times New Roman" w:eastAsia="Times New Roman" w:hAnsi="Times New Roman"/>
          <w:b/>
          <w:bCs/>
          <w:sz w:val="32"/>
          <w:szCs w:val="32"/>
        </w:rPr>
        <w:t xml:space="preserve">References</w:t>
      </w:r>
    </w:p>
    <w:p>
      <w:pPr>
        <w:spacing w:after="140" w:line="300"/>
        <w:ind w:left="720" w:hanging="720"/>
      </w:pPr>
      <w:r>
        <w:rPr>
          <w:rFonts w:ascii="Times New Roman" w:cs="Times New Roman" w:eastAsia="Times New Roman" w:hAnsi="Times New Roman"/>
          <w:sz w:val="22"/>
          <w:szCs w:val="22"/>
        </w:rPr>
        <w:t xml:space="preserve">[1]  Shafer, S. L., &amp; Gregg, K. M. (1992). Algorithms to rapidly achieve and maintain stable drug concentrations at the effect site. Journal of Pharmacokinetics and Biopharmaceutics, 20(2), 147–169.</w:t>
      </w:r>
    </w:p>
    <w:p>
      <w:pPr>
        <w:spacing w:after="140" w:line="300"/>
        <w:ind w:left="720" w:hanging="720"/>
      </w:pPr>
      <w:r>
        <w:rPr>
          <w:rFonts w:ascii="Times New Roman" w:cs="Times New Roman" w:eastAsia="Times New Roman" w:hAnsi="Times New Roman"/>
          <w:sz w:val="22"/>
          <w:szCs w:val="22"/>
        </w:rPr>
        <w:t xml:space="preserve">[2]  Schnider, T. W., Minto, C. F., Gambus, P. L., Andresen, C., Goodale, D. B., Shafer, S. L., &amp; Youngs, E. J. (1998). The influence of method of administration and covariates on the pharmacokinetics of propofol in adult volunteers. Anesthesiology, 88(5), 1170–1182.</w:t>
      </w:r>
    </w:p>
    <w:p>
      <w:pPr>
        <w:spacing w:after="140" w:line="300"/>
        <w:ind w:left="720" w:hanging="720"/>
      </w:pPr>
      <w:r>
        <w:rPr>
          <w:rFonts w:ascii="Times New Roman" w:cs="Times New Roman" w:eastAsia="Times New Roman" w:hAnsi="Times New Roman"/>
          <w:sz w:val="22"/>
          <w:szCs w:val="22"/>
        </w:rPr>
        <w:t xml:space="preserve">[3]  Lee, H. C., &amp; Jung, C. W. (2018). Vital Recorder—a free research tool for automatic recording of high-resolution time-synchronised physiological data from multiple anaesthesia devices. Scientific Reports, 8, 1527.</w:t>
      </w:r>
    </w:p>
    <w:p>
      <w:pPr>
        <w:spacing w:after="140" w:line="300"/>
        <w:ind w:left="720" w:hanging="720"/>
      </w:pPr>
      <w:r>
        <w:rPr>
          <w:rFonts w:ascii="Times New Roman" w:cs="Times New Roman" w:eastAsia="Times New Roman" w:hAnsi="Times New Roman"/>
          <w:sz w:val="22"/>
          <w:szCs w:val="22"/>
        </w:rPr>
        <w:t xml:space="preserve">[4]  Lee, H. C., Park, Y., Yoon, S. B., Yang, S. M., Park, D., &amp; Jung, C. W. (2022). VitalDB, a high-fidelity multi-parameter vital signs database in surgical patients. Scientific Data, 9, 279.</w:t>
      </w:r>
    </w:p>
    <w:p>
      <w:pPr>
        <w:spacing w:after="140" w:line="300"/>
        <w:ind w:left="720" w:hanging="720"/>
      </w:pPr>
      <w:r>
        <w:rPr>
          <w:rFonts w:ascii="Times New Roman" w:cs="Times New Roman" w:eastAsia="Times New Roman" w:hAnsi="Times New Roman"/>
          <w:sz w:val="22"/>
          <w:szCs w:val="22"/>
        </w:rPr>
        <w:t xml:space="preserve">[5]  Bijker, J. B., van Klei, W. A., Kappen, T. H., van Wolfswinkel, L., Moons, K. G., &amp; Kalkman, C. J. (2007). Incidence of intraoperative hypotension as a function of the chosen definition. Anesthesiology, 107(2), 213–220.</w:t>
      </w:r>
    </w:p>
    <w:p>
      <w:pPr>
        <w:spacing w:after="140" w:line="300"/>
        <w:ind w:left="720" w:hanging="720"/>
      </w:pPr>
      <w:r>
        <w:rPr>
          <w:rFonts w:ascii="Times New Roman" w:cs="Times New Roman" w:eastAsia="Times New Roman" w:hAnsi="Times New Roman"/>
          <w:sz w:val="22"/>
          <w:szCs w:val="22"/>
        </w:rPr>
        <w:t xml:space="preserve">[6]  Hatib, F., Jian, Z., Buddi, S., Lee, C., Settels, J., Sibert, K., Rinehart, J., &amp; Cannesson, M. (2018). Machine-learning algorithm to predict hypotension based on high-fidelity arterial pressure waveform analysis. Anesthesiology, 129(4), 663–674.</w:t>
      </w:r>
    </w:p>
    <w:p>
      <w:pPr>
        <w:spacing w:after="140" w:line="300"/>
        <w:ind w:left="720" w:hanging="720"/>
      </w:pPr>
      <w:r>
        <w:rPr>
          <w:rFonts w:ascii="Times New Roman" w:cs="Times New Roman" w:eastAsia="Times New Roman" w:hAnsi="Times New Roman"/>
          <w:sz w:val="22"/>
          <w:szCs w:val="22"/>
        </w:rPr>
        <w:t xml:space="preserve">[7]  Wijnberge, M., Geerts, B. F., Hol, L., Lemmers, N., Mulder, M. P., Berge, P., Schenk, J., Terwindt, L. E., Hollmann, M. W., Vlaar, A. P., &amp; Veelo, D. P. (2020). Effect of a machine learning-derived early warning system for intraoperative hypotension vs standard care on the depth and duration of intraoperative hypotension during elective noncardiac surgery: the HYPE randomized clinical trial. JAMA, 323(11), 1052–1060.</w:t>
      </w:r>
    </w:p>
    <w:p>
      <w:pPr>
        <w:spacing w:after="140" w:line="300"/>
        <w:ind w:left="720" w:hanging="720"/>
      </w:pPr>
      <w:r>
        <w:rPr>
          <w:rFonts w:ascii="Times New Roman" w:cs="Times New Roman" w:eastAsia="Times New Roman" w:hAnsi="Times New Roman"/>
          <w:sz w:val="22"/>
          <w:szCs w:val="22"/>
        </w:rPr>
        <w:t xml:space="preserve">[8]  Lee, S., Lee, H.-C., Chu, Y. S., Song, S. W., Ahn, G. J., Lee, H., Yang, S., &amp; Koh, S. B. (2021). Deep learning models for the prediction of intraoperative hypotension. British Journal of Anaesthesia, 126(4), 808–817.</w:t>
      </w:r>
    </w:p>
    <w:p>
      <w:pPr>
        <w:spacing w:after="140" w:line="300"/>
        <w:ind w:left="720" w:hanging="720"/>
      </w:pPr>
      <w:r>
        <w:rPr>
          <w:rFonts w:ascii="Times New Roman" w:cs="Times New Roman" w:eastAsia="Times New Roman" w:hAnsi="Times New Roman"/>
          <w:sz w:val="22"/>
          <w:szCs w:val="22"/>
        </w:rPr>
        <w:t>[9]  Jeong, H., Kim, D., Kim, D. W., Baek, S., Lee, H.-C., Kim, Y., &amp; Ahn, H. J. (2024). Prediction of intraoperative hypotension using deep learning models based on non-invasive monitoring devices. Journal of Clinical Monitoring and Computing, 38(6), 1357–1365.</w:t>
      </w:r>
    </w:p>
    <w:p>
      <w:pPr>
        <w:spacing w:after="140" w:line="300"/>
        <w:ind w:left="720" w:hanging="720"/>
      </w:pPr>
      <w:r>
        <w:rPr>
          <w:rFonts w:ascii="Times New Roman" w:cs="Times New Roman" w:eastAsia="Times New Roman" w:hAnsi="Times New Roman"/>
          <w:sz w:val="22"/>
          <w:szCs w:val="22"/>
        </w:rPr>
        <w:t>[10]  Choe, S., Park, E., Shin, W., Koo, B., &amp; Shin, D. (2021). Short-term event prediction in the operating room (STEP-OP) of five-minute intraoperative hypotension using hybrid deep learning. JMIR Medical Informatics, 9(9), e31311.</w:t>
      </w:r>
    </w:p>
    <w:p>
      <w:pPr>
        <w:spacing w:after="140" w:line="300"/>
        <w:ind w:left="720" w:hanging="720"/>
      </w:pPr>
      <w:r>
        <w:rPr>
          <w:rFonts w:ascii="Times New Roman" w:cs="Times New Roman" w:eastAsia="Times New Roman" w:hAnsi="Times New Roman"/>
          <w:sz w:val="22"/>
          <w:szCs w:val="22"/>
        </w:rPr>
        <w:t>[11]  Shim, J.-G., Yoon, W., Lee, S. J., Chang, S.-H., Jung, S.-R., &amp; Chung, J. Y. (2025). Machine learning methods for the prediction of intraoperative hypotension with biosignal waveforms. Medicina, 61(11), 2039.</w:t>
      </w:r>
    </w:p>
    <w:p>
      <w:pPr>
        <w:spacing w:after="140" w:line="300"/>
        <w:ind w:left="720" w:hanging="720"/>
      </w:pPr>
      <w:r>
        <w:rPr>
          <w:rFonts w:ascii="Times New Roman" w:cs="Times New Roman" w:eastAsia="Times New Roman" w:hAnsi="Times New Roman"/>
          <w:sz w:val="22"/>
          <w:szCs w:val="22"/>
        </w:rPr>
        <w:t>[12]  Zhu, S., Shi, W., Qian, H., Tong, X., Hu, R., Bo, J., &amp; Gu, X. (2026). Transformer-based deep learning model for real-time prediction of intraoperative hypotension using dynamic time-series vital signs: a retrospective study. PLOS Medicine, 23(3), e1005024.</w:t>
      </w:r>
    </w:p>
    <w:p>
      <w:pPr>
        <w:spacing w:after="140" w:line="300"/>
        <w:ind w:left="720" w:hanging="720"/>
      </w:pPr>
      <w:r>
        <w:rPr>
          <w:rFonts w:ascii="Times New Roman" w:cs="Times New Roman" w:eastAsia="Times New Roman" w:hAnsi="Times New Roman"/>
          <w:sz w:val="22"/>
          <w:szCs w:val="22"/>
        </w:rPr>
        <w:t>[13]  Chaari, N., Winski, G., Hallbäck, M., Lundström, N., Björne, H., &amp; Jacobsson, M. (2025). Towards reliable prediction of intraoperative hypotension: a cross-center evaluation of deep learning-based and MAP-derived methods. Journal of Clinical Monitoring and Computing, 40(1), 43–57.</w:t>
      </w:r>
    </w:p>
    <w:p>
      <w:pPr>
        <w:spacing w:after="140" w:line="300"/>
        <w:ind w:left="720" w:hanging="720"/>
      </w:pPr>
      <w:r>
        <w:rPr>
          <w:rFonts w:ascii="Times New Roman" w:cs="Times New Roman" w:eastAsia="Times New Roman" w:hAnsi="Times New Roman"/>
          <w:sz w:val="22"/>
          <w:szCs w:val="22"/>
        </w:rPr>
        <w:t xml:space="preserve">[14] Bruynseels, K., Santoni de Sio, F., &amp; van den Hoven, J. (2018). Digital twins in health care: ethical implications of an emerging engineering paradigm. Frontiers in Genetics, 9, 31.</w:t>
      </w:r>
    </w:p>
    <w:p>
      <w:pPr>
        <w:spacing w:after="140" w:line="300"/>
        <w:ind w:left="720" w:hanging="720"/>
      </w:pPr>
      <w:r>
        <w:rPr>
          <w:rFonts w:ascii="Times New Roman" w:cs="Times New Roman" w:eastAsia="Times New Roman" w:hAnsi="Times New Roman"/>
          <w:sz w:val="22"/>
          <w:szCs w:val="22"/>
        </w:rPr>
        <w:t xml:space="preserve">[15] Corral-Acero, J., Margara, F., Marciniak, M., Rodero, C., Loncaric, F., Feng, Y., et al. (2020). The 'Digital Twin' to enable the vision of precision cardiology. European Heart Journal, 41(48), 4556–4564.</w:t>
      </w:r>
    </w:p>
    <w:p>
      <w:pPr>
        <w:spacing w:after="140" w:line="300"/>
        <w:ind w:left="720" w:hanging="720"/>
      </w:pPr>
      <w:r>
        <w:rPr>
          <w:rFonts w:ascii="Times New Roman" w:cs="Times New Roman" w:eastAsia="Times New Roman" w:hAnsi="Times New Roman"/>
          <w:sz w:val="22"/>
          <w:szCs w:val="22"/>
        </w:rPr>
        <w:t>[16]  Defraeye, T., Bahrami, F., Ding, L., Malini, R. I., Terrier, A., &amp; Rossi, R. M. (2020). Predicting transdermal fentanyl delivery using mechanistic simulations for tailored therapy. Frontiers in Pharmacology, 11, 585393.</w:t>
      </w:r>
    </w:p>
    <w:p>
      <w:pPr>
        <w:spacing w:after="140" w:line="300"/>
        <w:ind w:left="720" w:hanging="720"/>
      </w:pPr>
      <w:r>
        <w:rPr>
          <w:rFonts w:ascii="Times New Roman" w:cs="Times New Roman" w:eastAsia="Times New Roman" w:hAnsi="Times New Roman"/>
          <w:sz w:val="22"/>
          <w:szCs w:val="22"/>
        </w:rPr>
        <w:t>[17]  Khoshfekr Rudsari, H., Tseng, B., Zhu, H., &amp; Song, L. (2025). Digital twins in healthcare: a comprehensive review and future directions. Frontiers in Digital Health, 7, 1633539.</w:t>
      </w:r>
    </w:p>
    <w:p>
      <w:pPr>
        <w:spacing w:after="140" w:line="300"/>
        <w:ind w:left="720" w:hanging="720"/>
      </w:pPr>
      <w:r>
        <w:rPr>
          <w:rFonts w:ascii="Times New Roman" w:cs="Times New Roman" w:eastAsia="Times New Roman" w:hAnsi="Times New Roman"/>
          <w:sz w:val="22"/>
          <w:szCs w:val="22"/>
        </w:rPr>
        <w:t>[18]  Shamanna, P., Joshi, S., Thajudeen, M., &amp; Shah, L. (2024). Personalized nutrition in type 2 diabetes remission: application of digital twin technology. Frontiers in Endocrinology, 15, 1485464.</w:t>
      </w:r>
    </w:p>
    <w:p>
      <w:pPr>
        <w:spacing w:after="140" w:line="300"/>
        <w:ind w:left="720" w:hanging="720"/>
      </w:pPr>
      <w:r>
        <w:rPr>
          <w:rFonts w:ascii="Times New Roman" w:cs="Times New Roman" w:eastAsia="Times New Roman" w:hAnsi="Times New Roman"/>
          <w:sz w:val="22"/>
          <w:szCs w:val="22"/>
        </w:rPr>
        <w:t>[19]  AbdElSalam, M., Bensalem, S., Delacourt, A., &amp; He, W. (2025). Digital twin for the formal analysis of a depth of anesthesia controller. SIMULATION, 101(3), 341–360.</w:t>
      </w:r>
    </w:p>
    <w:p>
      <w:pPr>
        <w:spacing w:after="140" w:line="300"/>
        <w:ind w:left="720" w:hanging="720"/>
      </w:pPr>
      <w:r>
        <w:rPr>
          <w:rFonts w:ascii="Times New Roman" w:cs="Times New Roman" w:eastAsia="Times New Roman" w:hAnsi="Times New Roman"/>
          <w:sz w:val="22"/>
          <w:szCs w:val="22"/>
        </w:rPr>
        <w:t xml:space="preserve">[20] Hofer, I. S., Burns, M., Kendale, S., &amp; Wanderer, J. P. (2020). Realistically integrating machine learning into clinical practice: a road map of opportunities, challenges, and a potential future. Anesthesia &amp; Analgesia, 130(5), 1115–1118.</w:t>
      </w:r>
    </w:p>
    <w:p>
      <w:pPr>
        <w:spacing w:after="140" w:line="300"/>
        <w:ind w:left="720" w:hanging="720"/>
      </w:pPr>
      <w:r>
        <w:rPr>
          <w:rFonts w:ascii="Times New Roman" w:cs="Times New Roman" w:eastAsia="Times New Roman" w:hAnsi="Times New Roman"/>
          <w:sz w:val="22"/>
          <w:szCs w:val="22"/>
        </w:rPr>
        <w:t xml:space="preserve">[21] Eichhorn, J. H., Cooper, J. B., Cullen, D. J., Maier, W. R., Philip, J. H., &amp; Seeman, R. G. (1986). Standards for patient monitoring during anesthesia at Harvard Medical School. JAMA, 256(8), 1017–1020.</w:t>
      </w:r>
    </w:p>
    <w:p>
      <w:pPr>
        <w:spacing w:after="140" w:line="300"/>
        <w:ind w:left="720" w:hanging="720"/>
      </w:pPr>
      <w:r>
        <w:rPr>
          <w:rFonts w:ascii="Times New Roman" w:cs="Times New Roman" w:eastAsia="Times New Roman" w:hAnsi="Times New Roman"/>
          <w:sz w:val="22"/>
          <w:szCs w:val="22"/>
        </w:rPr>
        <w:t xml:space="preserve">[22] Pandya, A. N., Majid, S. Z., &amp; Desai, M. S. (2021). The origins, evolution, and spread of anesthesia monitoring standards: from Boston to across the world. Anesthesia &amp; Analgesia, 132(3), 890–898.</w:t>
      </w:r>
    </w:p>
    <w:p>
      <w:pPr>
        <w:spacing w:after="140" w:line="300"/>
        <w:ind w:left="720" w:hanging="720"/>
      </w:pPr>
      <w:r>
        <w:rPr>
          <w:rFonts w:ascii="Times New Roman" w:cs="Times New Roman" w:eastAsia="Times New Roman" w:hAnsi="Times New Roman"/>
          <w:sz w:val="22"/>
          <w:szCs w:val="22"/>
        </w:rPr>
        <w:t xml:space="preserve">[23] Wesselink, E. M., Kappen, T. H., Torn, H. M., Slooter, A. J. C., &amp; van Klei, W. A. (2018). Intraoperative hypotension and the risk of postoperative adverse outcomes: a systematic review. British Journal of Anaesthesia, 121(4), 706–721.</w:t>
      </w:r>
    </w:p>
    <w:p>
      <w:pPr>
        <w:spacing w:after="140" w:line="300"/>
        <w:ind w:left="720" w:hanging="720"/>
      </w:pPr>
      <w:r>
        <w:rPr>
          <w:rFonts w:ascii="Times New Roman" w:cs="Times New Roman" w:eastAsia="Times New Roman" w:hAnsi="Times New Roman"/>
          <w:sz w:val="22"/>
          <w:szCs w:val="22"/>
        </w:rPr>
        <w:t xml:space="preserve">[24] Gregory, A., Stapelfeldt, W. H., Khanna, A. K., Smischney, N. J., Boero, I. J., Chen, Q., Stevens, M., &amp; Shaw, A. D. (2021). Intraoperative hypotension is associated with adverse clinical outcomes after noncardiac surgery. Anesthesia &amp; Analgesia, 132(6), 1654–1665.</w:t>
      </w:r>
    </w:p>
    <w:p>
      <w:pPr>
        <w:spacing w:after="140" w:line="300"/>
        <w:ind w:left="720" w:hanging="720"/>
      </w:pPr>
      <w:r>
        <w:rPr>
          <w:rFonts w:ascii="Times New Roman" w:cs="Times New Roman" w:eastAsia="Times New Roman" w:hAnsi="Times New Roman"/>
          <w:sz w:val="22"/>
          <w:szCs w:val="22"/>
        </w:rPr>
        <w:t xml:space="preserve">[25] Aoyagi, T., Kishi, M., Yamaguchi, K., &amp; Watanabe, S. (1974). Improvement of an earpiece oximeter (in Japanese). Abstracts of the 13th Annual Meeting of the Japanese Society of Medical Electronics and Biological Engineering, 90–91.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40" w:before="240"/>
      <w:outlineLvl w:val="2"/>
    </w:pPr>
    <w:rPr>
      <w:rFonts w:ascii="Times New Roman" w:cs="Times New Roman" w:eastAsia="Times New Roman" w:hAnsi="Times New Roman"/>
      <w:b/>
      <w:bCs/>
      <w:i/>
      <w:i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Digital Twin for Personalized Intraoperative Risk Prediction and Drug Response Simulation</dc:title>
  <dc:creator>Tanzeel - FYP</dc:creator>
  <cp:lastModifiedBy>Un-named</cp:lastModifiedBy>
  <cp:revision>1</cp:revision>
  <dcterms:created xsi:type="dcterms:W3CDTF">2026-04-25T16:43:29.270Z</dcterms:created>
  <dcterms:modified xsi:type="dcterms:W3CDTF">2026-04-25T16:43:29.271Z</dcterms:modified>
</cp:coreProperties>
</file>

<file path=docProps/custom.xml><?xml version="1.0" encoding="utf-8"?>
<Properties xmlns="http://schemas.openxmlformats.org/officeDocument/2006/custom-properties" xmlns:vt="http://schemas.openxmlformats.org/officeDocument/2006/docPropsVTypes"/>
</file>