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Datasets for the AI Digital Twin</w:t>
      </w:r>
    </w:p>
    <w:p>
      <w:pPr>
        <w:spacing w:after="80"/>
        <w:jc w:val="center"/>
      </w:pPr>
      <w:r>
        <w:rPr>
          <w:color w:val="595959"/>
          <w:sz w:val="28"/>
          <w:szCs w:val="28"/>
        </w:rPr>
        <w:t xml:space="preserve">Intraoperative Risk Prediction &amp; Drug Response Simulation</w:t>
      </w:r>
    </w:p>
    <w:p>
      <w:pPr>
        <w:spacing w:after="320"/>
        <w:jc w:val="center"/>
      </w:pPr>
      <w:r>
        <w:rPr>
          <w:i/>
          <w:iCs/>
          <w:color w:val="808080"/>
          <w:sz w:val="22"/>
          <w:szCs w:val="22"/>
        </w:rPr>
        <w:t xml:space="preserve">FYP Dataset Reference Document</w:t>
      </w:r>
    </w:p>
    <w:p>
      <w:pPr>
        <w:pStyle w:val="Heading1"/>
        <w:spacing w:after="200" w:before="360"/>
      </w:pPr>
      <w:r>
        <w:t xml:space="preserve">1. Overview</w:t>
      </w:r>
    </w:p>
    <w:p>
      <w:pPr>
        <w:spacing w:after="120" w:line="300"/>
      </w:pPr>
      <w:r>
        <w:t xml:space="preserve">This document compiles every dataset that can serve as a training, validation, or pretraining source for the perioperative digital twin specified in Chapters 1–3 of the FYP report. Datasets are grouped into four tiers by how directly they support the proposed model architecture. Tier 1 datasets are sufficient on their own to train the system end-to-end. Tier 2 datasets are useful for pretraining the waveform encoder before fine-tuning on Tier 1 data. Tier 3 datasets do not contain high-frequency intraoperative waveforms but are useful for the static-covariates branch and for outcome correlation. Tier 4 lists datasets that come up in adjacent literature but should not be used for this project.</w:t>
      </w:r>
    </w:p>
    <w:p>
      <w:pPr>
        <w:spacing w:after="120" w:line="300"/>
      </w:pPr>
      <w:r>
        <w:t xml:space="preserve">Each entry includes access URL, scale, signal coverage, license, suitability for the predictive layer, suitability for the mechanistic layer, and a recommended role in the project pipeline.</w:t>
      </w:r>
    </w:p>
    <w:p>
      <w:pPr>
        <w:pStyle w:val="Heading1"/>
        <w:spacing w:after="200" w:before="360"/>
      </w:pPr>
      <w:r>
        <w:t xml:space="preserve">2. Tier 1 — Primary Training Datasets</w:t>
      </w:r>
    </w:p>
    <w:p>
      <w:pPr>
        <w:spacing w:after="120" w:line="300"/>
      </w:pPr>
      <w:r>
        <w:t xml:space="preserve">These datasets contain everything the architecture in Section 3.5 of the report needs: high-frequency biosignal waveforms, numeric trends, drug and fluid administration history, and per-patient clinical covariates. Either dataset alone is sufficient to train the model; using both is the recommended path for a stronger thesis.</w:t>
      </w:r>
    </w:p>
    <w:p>
      <w:pPr>
        <w:pStyle w:val="Heading2"/>
        <w:spacing w:after="160" w:before="280"/>
      </w:pPr>
      <w:r>
        <w:t xml:space="preserve">2.1 VitalDB</w:t>
      </w:r>
    </w:p>
    <w:p>
      <w:pPr>
        <w:spacing w:after="120" w:line="300"/>
      </w:pPr>
      <w:r>
        <w:t xml:space="preserve">Primary dataset for the project. Already specified as the training cohort in Section 3.4 of the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Attribute</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Provider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Seoul National University Hospital, Department of Anesthesiology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Scale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6,388 surgical cases; ~487,000 data tracks; 196 monitoring parameters; 73 clinical parameters; 34 lab parameters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Sampling rate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Waveforms 62.5–500 Hz; numeric values 1–7 seconds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Population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Adult and pediatric non-cardiac and cardiac surgery patients, Korean cohort, 2016–2017</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Primary URL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https://vitaldb.net/dataset/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PhysioNet mirror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https://physionet.org/content/vitaldb/1.0.0/</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AWS S3 bucket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s3://vitaldb-open (region ap-northeast-2)</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Python library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pip install vitaldb</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License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CC BY-NC-SA 4.0 (non-commercial, share-alike)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Access barrier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Click-through data use agreement; no IRB or training required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Estimated post-filter size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~4,200 cases meeting FYP inclusion criteria</w:t>
            </w:r>
          </w:p>
        </w:tc>
      </w:tr>
    </w:tbl>
    <w:p>
      <w:pPr>
        <w:pStyle w:val="Heading3"/>
        <w:spacing w:after="120" w:before="220"/>
      </w:pPr>
      <w:r>
        <w:t xml:space="preserve">Key signal tracks for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960"/>
      </w:tblGrid>
      <w:t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Track name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Description</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Native rate</w:t>
            </w:r>
          </w:p>
        </w:tc>
        <w:tc>
          <w:tcPr>
            <w:tcW w:type="dxa" w:w="2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Used for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SNUADC/ART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Arterial pressure waveform</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500 Hz</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Waveform branch input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SNUADC/ECG_II</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ECG lead II waveform</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500 Hz</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Waveform branch input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SNUADC/PLETH</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Photoplethysmogram (pulse oximeter)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500 Hz</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Waveform branch input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Primus/CO2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Capnogram waveform</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62.5 Hz</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Waveform branch input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Solar8000/ART_MBP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Mean arterial pressure (numeric)</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1 Hz</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Label generation (MAP &lt; 65)</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Solar8000/ART_SBP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Systolic arterial pressure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1 Hz</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Numeric trends branch</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Solar8000/ART_DBP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Diastolic arterial pressure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1 Hz</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Numeric trends branch</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Solar8000/NIBP_MBP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Non-invasive cuff MAP</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Every 3–5 min</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Label fallback when no ABP</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Solar8000/HR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Heart rate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1 Hz</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Numeric trends branch</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Solar8000/PLETH_SPO2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Oxygen saturation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1 Hz</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Numeric trends branch</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Solar8000/ETCO2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End-tidal CO2 numeric</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1 Hz</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Numeric trends branch</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Solar8000/RR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Respiratory rate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1 Hz</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Numeric trends branch</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Solar8000/BT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Body temperature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1 Hz</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Numeric trends branch</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BIS/BIS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Bispectral index (depth of anesthesia)</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1 Hz</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Optional covariate (~30% of cases)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Orchestra/PPF20_RATE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Propofol infusion rate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Event-driven</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Intervention history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Orchestra/PPF20_CE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Propofol effect-site concentration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Event-driven</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PKPD calibration target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Orchestra/RFTN20_RATE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Remifentanil infusion rate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Event-driven</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Intervention history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Orchestra/PHEN_RATE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Phenylephrine infusion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Event-driven</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Vasopressor intervention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Orchestra/NEPI_RATE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Norepinephrine infusion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Event-driven</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Vasopressor intervention</w:t>
            </w:r>
          </w:p>
        </w:tc>
      </w:tr>
    </w:tbl>
    <w:p>
      <w:pPr>
        <w:pStyle w:val="Heading3"/>
        <w:spacing w:after="120" w:before="220"/>
      </w:pPr>
      <w:r>
        <w:t xml:space="preserve">Key clinical-info columns (cases.csv)</w:t>
      </w:r>
    </w:p>
    <w:p>
      <w:pPr>
        <w:spacing w:after="120" w:line="300"/>
      </w:pPr>
      <w:r>
        <w:t xml:space="preserve">These are the static-covariate inputs to the model. The cases.csv file has 73 columns total; the most relevant are listed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Column</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Type</w:t>
            </w:r>
          </w:p>
        </w:tc>
        <w:tc>
          <w:tcPr>
            <w:tcW w:type="dxa" w:w="4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Use in model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caseid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Integer</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Primary key, links to tracks and labs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age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Integer</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Static covariate; inclusion filter (&gt;=18)</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sex</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M/F</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Static covariate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weight, height, bmi</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Float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Static covariates; PKPD parameter inputs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asa</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1–6</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Static covariate; exclusion filter (5/6)</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department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String</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Inclusion filter (exclude cardiac/obstetric)</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optype, opname, dx</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String</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Static covariates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ane_type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String</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Inclusion filter (general anesthesia)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casestart, caseend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Seconds from start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Duration filter (&gt;=30 min)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preop_sbp, preop_dbp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mmHg</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Derive preop MAP for exclusion (&lt;65)</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preop_htn, preop_dm</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Boolean</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Comorbidity covariates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preop_hb, preop_cr, preop_na, preop_k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Float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Preoperative lab covariates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intraop_ebl, intraop_uo</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Float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Estimated blood loss, urine output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death_inhosp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Boolean</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Outcome; never used as training feature</w:t>
            </w:r>
          </w:p>
        </w:tc>
      </w:tr>
    </w:tbl>
    <w:p>
      <w:pPr>
        <w:pStyle w:val="Heading3"/>
        <w:spacing w:after="120" w:before="220"/>
      </w:pPr>
      <w:r>
        <w:t xml:space="preserve">Recommended role</w:t>
      </w:r>
    </w:p>
    <w:p>
      <w:pPr>
        <w:pStyle w:val="ListParagraph"/>
        <w:numPr>
          <w:ilvl w:val="0"/>
          <w:numId w:val="2"/>
        </w:numPr>
        <w:spacing w:after="80" w:line="280"/>
      </w:pPr>
      <w:r>
        <w:rPr>
          <w:b/>
          <w:bCs/>
        </w:rPr>
        <w:t xml:space="preserve">Primary training source. </w:t>
      </w:r>
      <w:r>
        <w:t xml:space="preserve">Train the predictive layer end-to-end on this cohort.</w:t>
      </w:r>
    </w:p>
    <w:p>
      <w:pPr>
        <w:pStyle w:val="ListParagraph"/>
        <w:numPr>
          <w:ilvl w:val="0"/>
          <w:numId w:val="2"/>
        </w:numPr>
        <w:spacing w:after="80" w:line="280"/>
      </w:pPr>
      <w:r>
        <w:rPr>
          <w:b/>
          <w:bCs/>
        </w:rPr>
        <w:t xml:space="preserve">Validation source. </w:t>
      </w:r>
      <w:r>
        <w:t xml:space="preserve">70/15/15 case-level split with stratification by ASA, age decile, and antihypertensive medication use, as specified in Section 3.4.2.</w:t>
      </w:r>
    </w:p>
    <w:p>
      <w:pPr>
        <w:pStyle w:val="ListParagraph"/>
        <w:numPr>
          <w:ilvl w:val="0"/>
          <w:numId w:val="2"/>
        </w:numPr>
        <w:spacing w:after="80" w:line="280"/>
      </w:pPr>
      <w:r>
        <w:rPr>
          <w:b/>
          <w:bCs/>
        </w:rPr>
        <w:t xml:space="preserve">Mechanistic engine reconstruction loss. </w:t>
      </w:r>
      <w:r>
        <w:t xml:space="preserve">Use observed MAP trajectory plus drug infusion tracks to compute the L_pkpd loss in Section 3.5.2.</w:t>
      </w:r>
    </w:p>
    <w:p>
      <w:pPr>
        <w:pStyle w:val="Heading2"/>
        <w:spacing w:after="160" w:before="280"/>
      </w:pPr>
      <w:r>
        <w:t xml:space="preserve">2.2 MOVER (UC Irvine)</w:t>
      </w:r>
    </w:p>
    <w:p>
      <w:pPr>
        <w:spacing w:after="120" w:line="300"/>
      </w:pPr>
      <w:r>
        <w:t xml:space="preserve">Strongest second dataset. Use either as additional training cohort or hold out entirely for external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Attribute</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Full name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Medical Informatics Operating Room Vitals and Events Repository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Provider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UC Irvine Medical Center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Scale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~58,000 surgical cases (substantially larger than VitalDB)</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Released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2024</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Signal coverage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Intraoperative ABP, ECG, SpO2, capnography, plus EHR data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Population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US cohort, demographically more diverse than VitalDB</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Primary URL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https://mover.ics.uci.edu/</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License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Research use; data use agreement required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Access barrier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Application via the MOVER portal; turnaround typically days to weeks</w:t>
            </w:r>
          </w:p>
        </w:tc>
      </w:tr>
    </w:tbl>
    <w:p>
      <w:pPr>
        <w:pStyle w:val="Heading3"/>
        <w:spacing w:after="120" w:before="220"/>
      </w:pPr>
      <w:r>
        <w:t xml:space="preserve">Recommended role</w:t>
      </w:r>
    </w:p>
    <w:p>
      <w:pPr>
        <w:pStyle w:val="ListParagraph"/>
        <w:numPr>
          <w:ilvl w:val="0"/>
          <w:numId w:val="2"/>
        </w:numPr>
        <w:spacing w:after="80" w:line="280"/>
      </w:pPr>
      <w:r>
        <w:rPr>
          <w:b/>
          <w:bCs/>
        </w:rPr>
        <w:t xml:space="preserve">External validation cohort. </w:t>
      </w:r>
      <w:r>
        <w:t xml:space="preserve">Most valuable use. Train on VitalDB, evaluate on MOVER without any retraining. This directly addresses the cross-center generalization concern raised in Section 2.4.2 of the report.</w:t>
      </w:r>
    </w:p>
    <w:p>
      <w:pPr>
        <w:pStyle w:val="ListParagraph"/>
        <w:numPr>
          <w:ilvl w:val="0"/>
          <w:numId w:val="2"/>
        </w:numPr>
        <w:spacing w:after="80" w:line="280"/>
      </w:pPr>
      <w:r>
        <w:rPr>
          <w:b/>
          <w:bCs/>
        </w:rPr>
        <w:t xml:space="preserve">Alternative training source. </w:t>
      </w:r>
      <w:r>
        <w:t xml:space="preserve">If access timing aligns with the project timeline, MOVER's larger size could improve the predictive layer's performance, though the demographic shift relative to VitalDB will need explicit handling.</w:t>
      </w:r>
    </w:p>
    <w:p>
      <w:pPr>
        <w:pStyle w:val="Heading1"/>
        <w:spacing w:after="200" w:before="360"/>
      </w:pPr>
      <w:r>
        <w:t xml:space="preserve">3. Tier 2 — Waveform Pretraining Datasets</w:t>
      </w:r>
    </w:p>
    <w:p>
      <w:pPr>
        <w:spacing w:after="120" w:line="300"/>
      </w:pPr>
      <w:r>
        <w:t xml:space="preserve">These datasets contain the same waveform types as VitalDB (ABP, ECG, PPG) but without surgical context. Pretraining the 1D CNN encoder on these and fine-tuning on VitalDB is a well-established technique that typically buys 1–3 AUROC points when the labeled cohort is small. Pretraining is identified as future work in the report but is feasible within the FYP timeline if Phase 2 finishes early.</w:t>
      </w:r>
    </w:p>
    <w:p>
      <w:pPr>
        <w:pStyle w:val="Heading2"/>
        <w:spacing w:after="160" w:before="280"/>
      </w:pPr>
      <w:r>
        <w:t xml:space="preserve">3.1 MIMIC-IV Waveform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Attribute</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Provider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MIT Laboratory for Computational Physiology + Beth Israel Deaconess Medical Center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Scale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Tens of thousands of ICU patients with matched waveforms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Signals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ABP, PPG, ECG at 125 Hz; some respiratory signals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URL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https://physionet.org/content/mimic-iv-ecg/ (and broader MIMIC-IV waveform releases)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License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Open with CITI Data or Specimens Only Research training + DUA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Access barrier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PhysioNet credentialed access; ~2 weeks for first-time users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Recommended role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Pretrain the waveform encoder; do NOT use for hypotension labels (ICU labels do not transfer cleanly to OR)</w:t>
            </w:r>
          </w:p>
        </w:tc>
      </w:tr>
    </w:tbl>
    <w:p>
      <w:pPr>
        <w:pStyle w:val="Heading2"/>
        <w:spacing w:after="160" w:before="280"/>
      </w:pPr>
      <w:r>
        <w:t xml:space="preserve">3.2 MIMIC-III Waveform Database Matched Subset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Attribute</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Scale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~22,000 ICU patients with matched waveforms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Signals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Same as MIMIC-IV but older recording era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URL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https://physionet.org/content/mimic3wdb-matched/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License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Same PhysioNet credentialed access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Recommended role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Additional pretraining pool; combine with MIMIC-IV for larger pretraining corpus</w:t>
            </w:r>
          </w:p>
        </w:tc>
      </w:tr>
    </w:tbl>
    <w:p>
      <w:pPr>
        <w:pStyle w:val="Heading2"/>
        <w:spacing w:after="160" w:before="280"/>
      </w:pPr>
      <w:r>
        <w:t xml:space="preserve">3.3 PulseDB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Attribute</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Provider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Pulse Lab (academic consortium)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Scale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Curated PPG-ABP signal pairs derived from MIMIC and VitalDB</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Signals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PPG and ABP only, pre-segmented and quality-controlled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URL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https://github.com/pulselabteam/PulseDB</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License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Open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Access barrier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None — direct GitHub download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Recommended role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Fastest pretraining option for PPG-driven models. Saves weeks of preprocessing if scope is limited to non-invasive prediction (the Jeong 2024 setting).</w:t>
            </w:r>
          </w:p>
        </w:tc>
      </w:tr>
    </w:tbl>
    <w:p>
      <w:pPr>
        <w:pStyle w:val="Heading1"/>
        <w:spacing w:after="200" w:before="360"/>
      </w:pPr>
      <w:r>
        <w:t xml:space="preserve">4. Tier 3 — Tabular and Outcome Datasets</w:t>
      </w:r>
    </w:p>
    <w:p>
      <w:pPr>
        <w:spacing w:after="120" w:line="300"/>
      </w:pPr>
      <w:r>
        <w:t xml:space="preserve">These datasets do not contain high-frequency waveforms but offer rich preoperative covariates and postoperative outcomes. Useful for pretraining the tabular branch, for validating that the static-covariate encoder generalizes, and for outcome correlation analyses (the kind of evaluation introduced by Liu 2026 and discussed in Section 2.4.4 of the report).</w:t>
      </w:r>
    </w:p>
    <w:p>
      <w:pPr>
        <w:pStyle w:val="Heading2"/>
        <w:spacing w:after="160" w:before="280"/>
      </w:pPr>
      <w:r>
        <w:t xml:space="preserve">4.1 INSPIRE (SNU Bundang Hospital)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Attribute</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Scale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~130,000 surgical cases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Coverage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Comprehensive perioperative EHR: preop, intraop, postop including AKI, mortality, readmission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Signals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EHR-only (no high-frequency waveforms)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URL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https://physionet.org/content/inspire/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License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PhysioNet credentialed access + DUA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Recommended role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Static branch pretraining; outcome correlation studies; validates that the FYP cohort's covariate distribution is not anomalous</w:t>
            </w:r>
          </w:p>
        </w:tc>
      </w:tr>
    </w:tbl>
    <w:p>
      <w:pPr>
        <w:pStyle w:val="Heading2"/>
        <w:spacing w:after="160" w:before="280"/>
      </w:pPr>
      <w:r>
        <w:t xml:space="preserve">4.2 eICU Collaborative Research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Attribute</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Provider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Philips eICU + MIT LCP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Scale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~200,000 ICU stays across 200+ US hospitals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Signals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Numeric vitals at minute resolution + interventions + outcomes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URL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https://physionet.org/content/eicu-crd/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License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PhysioNet credentialed access + DUA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Recommended role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Sanity-check that hypotension prediction methodology generalizes beyond OR; reference for ICU-vs-OR comparison in discussion section</w:t>
            </w:r>
          </w:p>
        </w:tc>
      </w:tr>
    </w:tbl>
    <w:p>
      <w:pPr>
        <w:pStyle w:val="Heading2"/>
        <w:spacing w:after="160" w:before="280"/>
      </w:pPr>
      <w:r>
        <w:t xml:space="preserve">4.3 HiRID (Bern University Hospital)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Attribute</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Scale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~34,000 ICU admissions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Signals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Numeric data at 2-second resolution — closest to OR-grade resolution among ICU datasets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URL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https://physionet.org/content/hirid/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License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PhysioNet credentialed access + DUA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Recommended role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Adjacent-domain validation; particularly useful because its 2-second resolution is closer to OR practice than other ICU datasets</w:t>
            </w:r>
          </w:p>
        </w:tc>
      </w:tr>
    </w:tbl>
    <w:p>
      <w:pPr>
        <w:pStyle w:val="Heading2"/>
        <w:spacing w:after="160" w:before="280"/>
      </w:pPr>
      <w:r>
        <w:t xml:space="preserve">4.4 AmsterdamUMCdb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Attribute</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Scale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~23,000 ICU admissions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URL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https://amsterdammedicaldatascience.nl/amsterdamumcdb/</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License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Open — no PhysioNet training step required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Recommended role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Fastest open ICU dataset to get working with; useful for early prototyping of the tabular branch while VitalDB credentialing is in progress</w:t>
            </w:r>
          </w:p>
        </w:tc>
      </w:tr>
    </w:tbl>
    <w:p>
      <w:pPr>
        <w:pStyle w:val="Heading2"/>
        <w:spacing w:after="160" w:before="280"/>
      </w:pPr>
      <w:r>
        <w:t xml:space="preserve">4.5 SICdb (Salzburg ICU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Attribute</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URL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https://physionet.org/content/sicdb/</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Recommended role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Newer addition to the ICU landscape; lower priority for FYP scope but worth knowing about</w:t>
            </w:r>
          </w:p>
        </w:tc>
      </w:tr>
    </w:tbl>
    <w:p>
      <w:pPr>
        <w:pStyle w:val="Heading1"/>
        <w:spacing w:after="200" w:before="360"/>
      </w:pPr>
      <w:r>
        <w:t xml:space="preserve">5. Tier 4 — Datasets to Avoid for This Project</w:t>
      </w:r>
    </w:p>
    <w:p>
      <w:pPr>
        <w:spacing w:after="120" w:line="300"/>
      </w:pPr>
      <w:r>
        <w:t xml:space="preserve">These datasets come up in adjacent literature searches but do not serve the FYP objectives. They are listed here only so they can be ruled out efficiently.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Dataset</w:t>
            </w:r>
          </w:p>
        </w:tc>
        <w:tc>
          <w:tcPr>
            <w:tcW w:type="dxa" w:w="6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Why to skip for this project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BUT PPG Database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Too small (~50 records); designed for signal-quality benchmarking, not prediction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Queensland Vital Signs Dataset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Only ~32 cases; historically important but too small for deep learning</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UCI BP Estimation Dataset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Designed for cuffless BP regression, not hypotension event prediction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PPG-BP Database (Liang et al.)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657 records; same regression-task framing as UCI</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MIMIC-IV-ED</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Emergency department, no surgery, no anesthesia</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PTB-XL ECG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ECG-only, designed for arrhythmia classification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Chapman-Shaoxing ECG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Same — ECG arrhythmia classification, wrong task</w:t>
            </w:r>
          </w:p>
        </w:tc>
      </w:tr>
    </w:tbl>
    <w:p>
      <w:pPr>
        <w:pStyle w:val="Heading1"/>
        <w:spacing w:after="200" w:before="360"/>
      </w:pPr>
      <w:r>
        <w:t xml:space="preserve">6. Recommended Dataset Pipeline for the FYP</w:t>
      </w:r>
    </w:p>
    <w:p>
      <w:pPr>
        <w:spacing w:after="120" w:line="300"/>
      </w:pPr>
      <w:r>
        <w:t xml:space="preserve">Three concrete configurations, ranked by ambition. All three are defensible; pick based on the timeline and the level of access friction tolerable.</w:t>
      </w:r>
    </w:p>
    <w:p>
      <w:pPr>
        <w:pStyle w:val="Heading2"/>
        <w:spacing w:after="160" w:before="280"/>
      </w:pPr>
      <w:r>
        <w:t xml:space="preserve">Option A — Conservative (FYP-safe)</w:t>
      </w:r>
    </w:p>
    <w:p>
      <w:pPr>
        <w:pStyle w:val="ListParagraph"/>
        <w:numPr>
          <w:ilvl w:val="0"/>
          <w:numId w:val="2"/>
        </w:numPr>
        <w:spacing w:after="80" w:line="280"/>
      </w:pPr>
      <w:r>
        <w:rPr>
          <w:b/>
          <w:bCs/>
        </w:rPr>
        <w:t xml:space="preserve">VitalDB only.</w:t>
      </w:r>
    </w:p>
    <w:p>
      <w:pPr>
        <w:pStyle w:val="ListParagraph"/>
        <w:numPr>
          <w:ilvl w:val="0"/>
          <w:numId w:val="2"/>
        </w:numPr>
        <w:spacing w:after="80" w:line="280"/>
      </w:pPr>
      <w:r>
        <w:t xml:space="preserve">Train, validate, and test on the ~4,200-case filtered cohort.</w:t>
      </w:r>
    </w:p>
    <w:p>
      <w:pPr>
        <w:pStyle w:val="ListParagraph"/>
        <w:numPr>
          <w:ilvl w:val="0"/>
          <w:numId w:val="2"/>
        </w:numPr>
        <w:spacing w:after="80" w:line="280"/>
      </w:pPr>
      <w:r>
        <w:t xml:space="preserve">70/15/15 case-level stratified split as specified in Section 3.4.2.</w:t>
      </w:r>
    </w:p>
    <w:p>
      <w:pPr>
        <w:pStyle w:val="ListParagraph"/>
        <w:numPr>
          <w:ilvl w:val="0"/>
          <w:numId w:val="2"/>
        </w:numPr>
        <w:spacing w:after="80" w:line="280"/>
      </w:pPr>
      <w:r>
        <w:t xml:space="preserve">This is exactly what Chapter 3 specifies and is fully defensible.</w:t>
      </w:r>
    </w:p>
    <w:p>
      <w:pPr>
        <w:pStyle w:val="ListParagraph"/>
        <w:numPr>
          <w:ilvl w:val="0"/>
          <w:numId w:val="2"/>
        </w:numPr>
        <w:spacing w:after="80" w:line="280"/>
      </w:pPr>
      <w:r>
        <w:t xml:space="preserve">Estimated end-to-end time: 2–3 months from preprocessing to first results.</w:t>
      </w:r>
    </w:p>
    <w:p>
      <w:pPr>
        <w:pStyle w:val="Heading2"/>
        <w:spacing w:after="160" w:before="280"/>
      </w:pPr>
      <w:r>
        <w:t xml:space="preserve">Option B — Strong thesis (recommended)</w:t>
      </w:r>
    </w:p>
    <w:p>
      <w:pPr>
        <w:pStyle w:val="ListParagraph"/>
        <w:numPr>
          <w:ilvl w:val="0"/>
          <w:numId w:val="2"/>
        </w:numPr>
        <w:spacing w:after="80" w:line="280"/>
      </w:pPr>
      <w:r>
        <w:rPr>
          <w:b/>
          <w:bCs/>
        </w:rPr>
        <w:t xml:space="preserve">VitalDB for training + MOVER held out for external validation.</w:t>
      </w:r>
    </w:p>
    <w:p>
      <w:pPr>
        <w:pStyle w:val="ListParagraph"/>
        <w:numPr>
          <w:ilvl w:val="0"/>
          <w:numId w:val="2"/>
        </w:numPr>
        <w:spacing w:after="80" w:line="280"/>
      </w:pPr>
      <w:r>
        <w:t xml:space="preserve">Apply for MOVER access in Phase 1 (the application turnaround is the rate-limiting step).</w:t>
      </w:r>
    </w:p>
    <w:p>
      <w:pPr>
        <w:pStyle w:val="ListParagraph"/>
        <w:numPr>
          <w:ilvl w:val="0"/>
          <w:numId w:val="2"/>
        </w:numPr>
        <w:spacing w:after="80" w:line="280"/>
      </w:pPr>
      <w:r>
        <w:t xml:space="preserve">Train identically to Option A on VitalDB.</w:t>
      </w:r>
    </w:p>
    <w:p>
      <w:pPr>
        <w:pStyle w:val="ListParagraph"/>
        <w:numPr>
          <w:ilvl w:val="0"/>
          <w:numId w:val="2"/>
        </w:numPr>
        <w:spacing w:after="80" w:line="280"/>
      </w:pPr>
      <w:r>
        <w:t xml:space="preserve">Evaluate on MOVER without any retraining or fine-tuning.</w:t>
      </w:r>
    </w:p>
    <w:p>
      <w:pPr>
        <w:pStyle w:val="ListParagraph"/>
        <w:numPr>
          <w:ilvl w:val="0"/>
          <w:numId w:val="2"/>
        </w:numPr>
        <w:spacing w:after="80" w:line="280"/>
      </w:pPr>
      <w:r>
        <w:t xml:space="preserve">This single addition addresses the field's biggest open methodological concern (cross-center generalization, raised in Sections 2.4.2 and 3.9.6 of the report) and is worth substantial credibility for the thesis.</w:t>
      </w:r>
    </w:p>
    <w:p>
      <w:pPr>
        <w:pStyle w:val="Heading2"/>
        <w:spacing w:after="160" w:before="280"/>
      </w:pPr>
      <w:r>
        <w:t xml:space="preserve">Option C — PhD-level (probably out of FYP scope)</w:t>
      </w:r>
    </w:p>
    <w:p>
      <w:pPr>
        <w:pStyle w:val="ListParagraph"/>
        <w:numPr>
          <w:ilvl w:val="0"/>
          <w:numId w:val="2"/>
        </w:numPr>
        <w:spacing w:after="80" w:line="280"/>
      </w:pPr>
      <w:r>
        <w:rPr>
          <w:b/>
          <w:bCs/>
        </w:rPr>
        <w:t xml:space="preserve">MIMIC waveform pretraining → VitalDB fine-tuning → MOVER external validation.</w:t>
      </w:r>
    </w:p>
    <w:p>
      <w:pPr>
        <w:pStyle w:val="ListParagraph"/>
        <w:numPr>
          <w:ilvl w:val="0"/>
          <w:numId w:val="2"/>
        </w:numPr>
        <w:spacing w:after="80" w:line="280"/>
      </w:pPr>
      <w:r>
        <w:t xml:space="preserve">Pretrain the 1D CNN encoder on MIMIC-IV waveforms.</w:t>
      </w:r>
    </w:p>
    <w:p>
      <w:pPr>
        <w:pStyle w:val="ListParagraph"/>
        <w:numPr>
          <w:ilvl w:val="0"/>
          <w:numId w:val="2"/>
        </w:numPr>
        <w:spacing w:after="80" w:line="280"/>
      </w:pPr>
      <w:r>
        <w:t xml:space="preserve">Fine-tune the full model on VitalDB.</w:t>
      </w:r>
    </w:p>
    <w:p>
      <w:pPr>
        <w:pStyle w:val="ListParagraph"/>
        <w:numPr>
          <w:ilvl w:val="0"/>
          <w:numId w:val="2"/>
        </w:numPr>
        <w:spacing w:after="80" w:line="280"/>
      </w:pPr>
      <w:r>
        <w:t xml:space="preserve">Hold out MOVER entirely for external validation.</w:t>
      </w:r>
    </w:p>
    <w:p>
      <w:pPr>
        <w:pStyle w:val="ListParagraph"/>
        <w:numPr>
          <w:ilvl w:val="0"/>
          <w:numId w:val="2"/>
        </w:numPr>
        <w:spacing w:after="80" w:line="280"/>
      </w:pPr>
      <w:r>
        <w:t xml:space="preserve">Three datasets, three roles, no overlap. Strongest possible evidence base.</w:t>
      </w:r>
    </w:p>
    <w:p>
      <w:pPr>
        <w:pStyle w:val="ListParagraph"/>
        <w:numPr>
          <w:ilvl w:val="0"/>
          <w:numId w:val="2"/>
        </w:numPr>
        <w:spacing w:after="80" w:line="280"/>
      </w:pPr>
      <w:r>
        <w:t xml:space="preserve">Realistic only if Phase 2 finishes ahead of schedule.</w:t>
      </w:r>
    </w:p>
    <w:p>
      <w:pPr>
        <w:pStyle w:val="Heading1"/>
        <w:spacing w:after="200" w:before="360"/>
      </w:pPr>
      <w:r>
        <w:t xml:space="preserve">7. Access Checklist (Start These in Week 1)</w:t>
      </w:r>
    </w:p>
    <w:p>
      <w:pPr>
        <w:spacing w:after="120" w:line="300"/>
      </w:pPr>
      <w:r>
        <w:t xml:space="preserve">Each dataset has different access timing. Start the slow ones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Dataset</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Access type</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Typical lead time</w:t>
            </w:r>
          </w:p>
        </w:tc>
        <w:tc>
          <w:tcPr>
            <w:tcW w:type="dxa" w:w="3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Action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VitalDB</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Click-through DUA</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Immediate</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Accept DUA on vitaldb.net; pip install vitaldb</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MOVER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Application + DUA</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1–4 weeks</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Apply via mover.ics.uci.edu portal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MIMIC-IV (any)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PhysioNet credentialed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1–2 weeks</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Complete CITI Data or Specimens Only Research course; sign DUA on physionet.org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INSPIRE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PhysioNet credentialed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1–2 weeks</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Same PhysioNet path as MIMIC</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eICU-CRD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PhysioNet credentialed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Same as above</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Same PhysioNet path</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HiRID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PhysioNet credentialed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Same as above</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Same PhysioNet path</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AmsterdamUMCdb</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Open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Immediate</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Direct download from amsterdammedicaldatascience.nl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PulseDB</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Open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Immediate</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Clone from GitHub</w:t>
            </w:r>
          </w:p>
        </w:tc>
      </w:tr>
    </w:tbl>
    <w:p>
      <w:pPr>
        <w:pStyle w:val="Heading1"/>
        <w:spacing w:after="200" w:before="360"/>
      </w:pPr>
      <w:r>
        <w:t xml:space="preserve">8. VitalDB Filtering Specification</w:t>
      </w:r>
    </w:p>
    <w:p>
      <w:pPr>
        <w:spacing w:after="120" w:line="300"/>
      </w:pPr>
      <w:r>
        <w:t xml:space="preserve">The exact columns and tracks needed to reproduce the cohort filtering described in Section 3.4.1 of the report. This serves as the contract between the cohort specification and the data-loader implementation in Phase 1.</w:t>
      </w:r>
    </w:p>
    <w:p>
      <w:pPr>
        <w:pStyle w:val="Heading2"/>
        <w:spacing w:after="160" w:before="280"/>
      </w:pPr>
      <w:r>
        <w:t xml:space="preserve">8.1 Filters applied to cases.csv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Filter</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Column(s)</w:t>
            </w:r>
          </w:p>
        </w:tc>
        <w:tc>
          <w:tcPr>
            <w:tcW w:type="dxa" w:w="4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Condition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Adult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age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&gt;= 18</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Non-cardiac/obstetric</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department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NOT IN {Cardiac surgery, Thoracic surgery, Gynecology}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General anesthesia</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ane_type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contains "General"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Duration &gt;= 30 min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casestart, caseend</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(caseend - casestart) &gt;= 1800</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Exclude ASA 5/6</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asa</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NOT IN {5, 6}</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Exclude preop hypotension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preop_sbp, preop_dbp</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preop_dbp + (preop_sbp - preop_dbp)/3 &gt;= 65</w:t>
            </w:r>
          </w:p>
        </w:tc>
      </w:tr>
    </w:tbl>
    <w:p>
      <w:pPr>
        <w:pStyle w:val="Heading2"/>
        <w:spacing w:after="160" w:before="280"/>
      </w:pPr>
      <w:r>
        <w:t xml:space="preserve">8.2 Required tracks (must all exist for case to be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Track</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Required</w:t>
            </w:r>
          </w:p>
        </w:tc>
        <w:tc>
          <w:tcPr>
            <w:tcW w:type="dxa" w:w="3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Substitute allowed</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Solar8000/ART_MBP OR Solar8000/NIBP_MBP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Yes (one of)</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Either MAP source acceptable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SNUADC/ECG_II</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None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SNUADC/PLETH</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None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Orchestra/PPF20_RATE OR PPF20_VOL OR PPF20_CE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Yes (one of)</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Confirms propofol use</w:t>
            </w:r>
          </w:p>
        </w:tc>
      </w:tr>
    </w:tbl>
    <w:p>
      <w:pPr>
        <w:pStyle w:val="Heading2"/>
        <w:spacing w:after="160" w:before="280"/>
      </w:pPr>
      <w:r>
        <w:t xml:space="preserve">8.3 Expected outcome</w:t>
      </w:r>
    </w:p>
    <w:p>
      <w:pPr>
        <w:spacing w:after="120" w:line="300"/>
      </w:pPr>
      <w:r>
        <w:t xml:space="preserve">Starting from 6,388 cases, the filter chain should yield approximately 4,200 cases. Exact numbers depend on the precise treatment of edge cases (e.g., whether to keep thoracic non-cardiac cases) and will be reported in the implementation chapter of the thesis.</w:t>
      </w:r>
    </w:p>
    <w:p>
      <w:pPr>
        <w:pStyle w:val="Heading1"/>
        <w:spacing w:after="200" w:before="360"/>
      </w:pPr>
      <w:r>
        <w:t xml:space="preserve">9. Practical Notes</w:t>
      </w:r>
    </w:p>
    <w:p>
      <w:pPr>
        <w:pStyle w:val="ListParagraph"/>
        <w:numPr>
          <w:ilvl w:val="0"/>
          <w:numId w:val="2"/>
        </w:numPr>
        <w:spacing w:after="80" w:line="280"/>
      </w:pPr>
      <w:r>
        <w:rPr>
          <w:b/>
          <w:bCs/>
        </w:rPr>
        <w:t xml:space="preserve">Storage. </w:t>
      </w:r>
      <w:r>
        <w:t xml:space="preserve">VitalDB raw data is ~110 GB compressed; allow ~350 GB after preprocessing into the segmented training format. A 1 TB SSD is sufficient.</w:t>
      </w:r>
    </w:p>
    <w:p>
      <w:pPr>
        <w:pStyle w:val="ListParagraph"/>
        <w:numPr>
          <w:ilvl w:val="0"/>
          <w:numId w:val="2"/>
        </w:numPr>
        <w:spacing w:after="80" w:line="280"/>
      </w:pPr>
      <w:r>
        <w:rPr>
          <w:b/>
          <w:bCs/>
        </w:rPr>
        <w:t xml:space="preserve">Preprocessing reproducibility. </w:t>
      </w:r>
      <w:r>
        <w:t xml:space="preserve">Pin the VitalDB version in the data-loader (1.0.0 on PhysioNet) and log all preprocessing parameters with each experiment run.</w:t>
      </w:r>
    </w:p>
    <w:p>
      <w:pPr>
        <w:pStyle w:val="ListParagraph"/>
        <w:numPr>
          <w:ilvl w:val="0"/>
          <w:numId w:val="2"/>
        </w:numPr>
        <w:spacing w:after="80" w:line="280"/>
      </w:pPr>
      <w:r>
        <w:rPr>
          <w:b/>
          <w:bCs/>
        </w:rPr>
        <w:t xml:space="preserve">Cohort split determinism. </w:t>
      </w:r>
      <w:r>
        <w:t xml:space="preserve">Use a single fixed random seed for the train/val/test split and do not change it across experiments. Splitting at the case level (not the segment level) is essential to prevent data leakage.</w:t>
      </w:r>
    </w:p>
    <w:p>
      <w:pPr>
        <w:pStyle w:val="ListParagraph"/>
        <w:numPr>
          <w:ilvl w:val="0"/>
          <w:numId w:val="2"/>
        </w:numPr>
        <w:spacing w:after="80" w:line="280"/>
      </w:pPr>
      <w:r>
        <w:rPr>
          <w:b/>
          <w:bCs/>
        </w:rPr>
        <w:t xml:space="preserve">Borderline samples. </w:t>
      </w:r>
      <w:r>
        <w:t xml:space="preserve">Section 3.4.4 of the report explicitly includes gray-zone samples (MAP between 65 and 75 mmHg) in training. This is a methodological contribution and should not be relaxed.</w:t>
      </w:r>
    </w:p>
    <w:p>
      <w:pPr>
        <w:pStyle w:val="ListParagraph"/>
        <w:numPr>
          <w:ilvl w:val="0"/>
          <w:numId w:val="2"/>
        </w:numPr>
        <w:spacing w:after="80" w:line="280"/>
      </w:pPr>
      <w:r>
        <w:rPr>
          <w:b/>
          <w:bCs/>
        </w:rPr>
        <w:t xml:space="preserve">License compliance. </w:t>
      </w:r>
      <w:r>
        <w:t xml:space="preserve">VitalDB is CC BY-NC-SA 4.0. The thesis is non-commercial academic use, which is permitted. If any code derived from this work is later commercialized, VitalDB-trained weights cannot be used directly.</w:t>
      </w:r>
    </w:p>
    <w:p>
      <w:pPr>
        <w:spacing w:after="0" w:before="400"/>
        <w:jc w:val="center"/>
      </w:pPr>
      <w:r>
        <w:rPr>
          <w:i/>
          <w:iCs/>
          <w:color w:val="808080"/>
          <w:sz w:val="20"/>
          <w:szCs w:val="20"/>
        </w:rPr>
        <w:t xml:space="preserve">— End of dataset reference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2026-05-07T06:56:31.173Z</dcterms:created>
  <dcterms:modified xsi:type="dcterms:W3CDTF">2026-05-07T06:56:31.173Z</dcterms:modified>
</cp:coreProperties>
</file>

<file path=docProps/custom.xml><?xml version="1.0" encoding="utf-8"?>
<Properties xmlns="http://schemas.openxmlformats.org/officeDocument/2006/custom-properties" xmlns:vt="http://schemas.openxmlformats.org/officeDocument/2006/docPropsVTypes"/>
</file>