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Datasets for a Surgical Patient Digital Twin</w:t>
      </w:r>
    </w:p>
    <w:p>
      <w:pPr>
        <w:spacing w:after="80"/>
        <w:jc w:val="center"/>
      </w:pPr>
      <w:r>
        <w:rPr>
          <w:color w:val="595959"/>
          <w:sz w:val="26"/>
          <w:szCs w:val="26"/>
        </w:rPr>
        <w:t xml:space="preserve">Applying the Aerospace Digital Twin Paradigm to the Operating Room</w:t>
      </w:r>
    </w:p>
    <w:p>
      <w:pPr>
        <w:spacing w:after="360"/>
        <w:jc w:val="center"/>
      </w:pPr>
      <w:r>
        <w:rPr>
          <w:i/>
          <w:iCs/>
          <w:color w:val="808080"/>
          <w:sz w:val="22"/>
          <w:szCs w:val="22"/>
        </w:rPr>
        <w:t xml:space="preserve">FYP Dataset Specification</w:t>
      </w:r>
    </w:p>
    <w:p>
      <w:pPr>
        <w:pStyle w:val="Heading1"/>
        <w:spacing w:after="200" w:before="360"/>
      </w:pPr>
      <w:r>
        <w:t xml:space="preserve">1. The Aerospace Twin, Translated to Medicine</w:t>
      </w:r>
    </w:p>
    <w:p>
      <w:pPr>
        <w:spacing w:after="140" w:line="300"/>
      </w:pPr>
      <w:r>
        <w:t xml:space="preserve">For two decades, the aerospace and manufacturing industries have used digital twins to virtually replicate physical assets — jet engines, wind turbines, factory floors — and run them in parallel with the real thing. The virtual asset is continuously updated by live sensor data from the real asset, so it stays in sync with what is actually happening. Engineers can then ask the twin questions the real asset cannot safely answer: what if we push thrust 15% higher, what if this turbine blade has a hairline crack, how many flight hours before this bearing fails. The virtual asset simulates the answer; the real asset never has to be put at risk.</w:t>
      </w:r>
    </w:p>
    <w:p>
      <w:pPr>
        <w:spacing w:after="140" w:line="300"/>
      </w:pPr>
      <w:r>
        <w:t xml:space="preserve">This project applies that paradigm to a surgical patient under general anesthesia. The patient is the asset. The operating-room monitors are the sensor stream. The physics is pharmacology. The twin lets the anesthesiologist ask what would happen if a specific drug dose or fluid bolus were given, and returns a projected blood-pressure trajectory grounded in both that patient's measured history and the validated physiology of the drugs in use.</w:t>
      </w:r>
    </w:p>
    <w:p>
      <w:pPr>
        <w:pStyle w:val="Heading2"/>
        <w:spacing w:after="160" w:before="280"/>
      </w:pPr>
      <w:r>
        <w:t xml:space="preserve">1.1 The mapping, term by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Aerospace digital twin</w:t>
            </w:r>
          </w:p>
        </w:tc>
        <w:tc>
          <w:tcPr>
            <w:tcW w:type="dxa" w:w="46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Surgical patient digital twin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Jet engine (the asset)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Surgical patient under anesthesia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 temperature, vibration, RPM, fuel flow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Biosignals: ABP, ECG, PPG, EtCO2, HR, SpO2</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Asset-specific calibrated parameters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Per-patient PKPD parameters (calibrated online)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Mechanical / thermodynamic stress simulation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Pharmacological response simulation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What if we increase thrust by 15%?</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What if I give 100 µg phenylephrine?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Will this blade fail in the next 50 flight hours?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Will this patient drop MAP below 65 in the next 5 minutes?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Predictive maintenance decision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Predictive intervention decision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Engineer queries the twin before touching the engine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Anesthesiologist queries the twin before adjusting the drip</w:t>
            </w:r>
          </w:p>
        </w:tc>
      </w:tr>
    </w:tbl>
    <w:p>
      <w:pPr>
        <w:pStyle w:val="Heading2"/>
        <w:spacing w:after="160" w:before="280"/>
      </w:pPr>
      <w:r>
        <w:t xml:space="preserve">1.2 The three properties that make it a true twin</w:t>
      </w:r>
    </w:p>
    <w:p>
      <w:pPr>
        <w:spacing w:after="140" w:line="300"/>
      </w:pPr>
      <w:r>
        <w:t xml:space="preserve">A digital twin is not a simulator and not a forecaster. It is defined by three properties simultaneously, all of which the proposed system must satisfy:</w:t>
      </w:r>
    </w:p>
    <w:p>
      <w:pPr>
        <w:pStyle w:val="ListParagraph"/>
        <w:numPr>
          <w:ilvl w:val="0"/>
          <w:numId w:val="2"/>
        </w:numPr>
        <w:spacing w:after="80" w:line="280"/>
      </w:pPr>
      <w:r>
        <w:rPr>
          <w:b/>
          <w:bCs/>
        </w:rPr>
        <w:t xml:space="preserve">Asset-specific identity. </w:t>
      </w:r>
      <w:r>
        <w:t xml:space="preserve">Every jet engine has its own twin. Two engines of the same model have two different twins because they have different wear histories. Every patient has their own twin too — built from their covariates, comorbidities, and observed intraoperative response.</w:t>
      </w:r>
    </w:p>
    <w:p>
      <w:pPr>
        <w:pStyle w:val="ListParagraph"/>
        <w:numPr>
          <w:ilvl w:val="0"/>
          <w:numId w:val="2"/>
        </w:numPr>
        <w:spacing w:after="80" w:line="280"/>
      </w:pPr>
      <w:r>
        <w:rPr>
          <w:b/>
          <w:bCs/>
        </w:rPr>
        <w:t xml:space="preserve">Continuously updated by live data. </w:t>
      </w:r>
      <w:r>
        <w:t xml:space="preserve">The twin is not a one-time snapshot at induction. As the surgery progresses, the twin learns from the patient's actual response and refines its parameters.</w:t>
      </w:r>
    </w:p>
    <w:p>
      <w:pPr>
        <w:pStyle w:val="ListParagraph"/>
        <w:numPr>
          <w:ilvl w:val="0"/>
          <w:numId w:val="2"/>
        </w:numPr>
        <w:spacing w:after="80" w:line="280"/>
      </w:pPr>
      <w:r>
        <w:rPr>
          <w:b/>
          <w:bCs/>
        </w:rPr>
        <w:t xml:space="preserve">Supports counterfactual queries. </w:t>
      </w:r>
      <w:r>
        <w:t xml:space="preserve">The whole point is to ask what if. A twin that only predicts the actual future is just a forecaster. A twin can simulate alternative futures under interventions that have not been applied yet.</w:t>
      </w:r>
    </w:p>
    <w:p>
      <w:pPr>
        <w:pStyle w:val="Heading1"/>
        <w:spacing w:after="200" w:before="360"/>
      </w:pPr>
      <w:r>
        <w:t xml:space="preserve">2. What the Twin Framing Demands from a Dataset</w:t>
      </w:r>
    </w:p>
    <w:p>
      <w:pPr>
        <w:spacing w:after="140" w:line="300"/>
      </w:pPr>
      <w:r>
        <w:t xml:space="preserve">Most public medical datasets fail at least one of the twin requirements. To build a true twin — not just another hypotension predictor — the dataset must let us reconstruct four things in time-aligned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Requirement</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 it means in practice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Asset identity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Per-patient demographics, comorbidities, baseline state — the unique fingerprint of this patient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 Continuous telemetry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High-frequency biosignals throughout the entire operative period (not just spot readings)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3. Intervention 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Every drug dose, infusion rate change, and fluid bolus, with precise timestamps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4. Paired response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Observed physiological trajectory time-aligned with the interventions, so that every dose has its measurable effect</w:t>
            </w:r>
          </w:p>
        </w:tc>
      </w:tr>
    </w:tbl>
    <w:p>
      <w:pPr>
        <w:spacing w:after="140" w:line="300"/>
      </w:pPr>
      <w:r>
        <w:t xml:space="preserve">Requirement 4 is the one that eliminates most datasets. Without paired intervention-response data, the mechanistic layer of the twin cannot be calibrated and the counterfactual simulation engine has nothing to validate against. This is the medical equivalent of trying to build a jet engine twin from telemetry alone, with no record of what control inputs the pilot was applying.</w:t>
      </w:r>
    </w:p>
    <w:p>
      <w:pPr>
        <w:pStyle w:val="Heading1"/>
        <w:spacing w:after="200" w:before="360"/>
      </w:pPr>
      <w:r>
        <w:t xml:space="preserve">3. Datasets, Ranked by Suitability for the Twin</w:t>
      </w:r>
    </w:p>
    <w:p>
      <w:pPr>
        <w:pStyle w:val="Heading2"/>
        <w:spacing w:after="160" w:before="280"/>
      </w:pPr>
      <w:r>
        <w:t xml:space="preserve">3.1 VitalDB — the only dataset that satisfies all four requirements</w:t>
      </w:r>
    </w:p>
    <w:p>
      <w:pPr>
        <w:spacing w:after="140" w:line="300"/>
      </w:pPr>
      <w:r>
        <w:t xml:space="preserve">Seoul National University Hospital's open perioperative dataset is the only public source that supplies asset identity, telemetry, intervention log, and paired response together at operating-room resolution. Every Orchestra infusion-pump event is logged with millisecond timestamps, and the matching SNUADC/ART waveform and Solar8000/ART_MBP numeric track record the patient's response in the same time frame. This is what makes VitalDB the substrate the project's Chapter 3 specifies.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Seoul National University Hospital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6,388 surgical cases; ~487,000 data tracks; ~4,200 cases meeting FYP inclusion criteria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Asset identity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73 clinical parameters per case (age, sex, weight, height, ASA, comorbidities, preop labs)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Waveforms 62.5–500 Hz, numeric values 1–7 seconds, throughout entire surgery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 pump tracks: PPF20 (propofol), RFTN20 (remifentanil), PHEN (phenylephrine), NEPI (norepinephrine), with rate/volume/effect-site-concentration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Paired response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ABP waveform and derived MAP recorded continuously alongside every intervention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https://vitaldb.net/dataset/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PhysioNet mirror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https://physionet.org/content/vitaldb/1.0.0/</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AWS S3</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s3://vitaldb-open (region ap-northeast-2)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Library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pip install vitaldb</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CC BY-NC-SA 4.0 (non-commercial, share-alike)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Access barrier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Click-through DUA only — no IRB or training course required</w:t>
            </w:r>
          </w:p>
        </w:tc>
      </w:tr>
    </w:tbl>
    <w:p>
      <w:pPr>
        <w:pStyle w:val="Heading3"/>
        <w:spacing w:after="120" w:before="220"/>
      </w:pPr>
      <w:r>
        <w:t xml:space="preserve">Why this is the validation dataset, not just the training dataset</w:t>
      </w:r>
    </w:p>
    <w:p>
      <w:pPr>
        <w:spacing w:after="140" w:line="300"/>
      </w:pPr>
      <w:r>
        <w:t xml:space="preserve">Validating an aerospace twin means pushing the real asset to a known stress and checking that the simulated asset agrees. VitalDB makes the medical equivalent possible because every phenylephrine bolus, every propofol rate change, and every fluid bolus in the dataset is a natural experiment: the input is known, the time is known, the response is recorded. This is what enables the evaluation specified in Section 3.9.3 of the report — median absolute prediction error of MAP at 1, 5, and 10 minutes after each intervention. No other public dataset supports this evaluation at scale.</w:t>
      </w:r>
    </w:p>
    <w:p>
      <w:pPr>
        <w:pStyle w:val="Heading3"/>
        <w:spacing w:after="120" w:before="220"/>
      </w:pPr>
      <w:r>
        <w:t xml:space="preserve">The tracks that make this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Track</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Rate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Twin role</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Specific use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SNUADC/ART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of encoder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SNUADC/ECG_II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of encoder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SNUADC/PLETH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500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of encoder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Primus/CO2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62.5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Waveform branch of encoder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Solar8000/ART_MBP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Response signal</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Label generation + L_pkpd target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Solar8000/HR, SPO2, ETCO2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Numeric trends branch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Orchestra/PPF20_RATE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Mechanistic engine input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Orchestra/PPF20_CE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1 Hz</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Reference target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Calibration validation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Orchestra/PHEN_RATE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Vasopressor scenario simulation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Orchestra/NEPI_RATE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Event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input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Vasopressor scenario simulation</w:t>
            </w:r>
          </w:p>
        </w:tc>
      </w:tr>
    </w:tbl>
    <w:p>
      <w:pPr>
        <w:pStyle w:val="Heading2"/>
        <w:spacing w:after="160" w:before="280"/>
      </w:pPr>
      <w:r>
        <w:t xml:space="preserve">3.2 MOVER — the second jet engine of the same model</w:t>
      </w:r>
    </w:p>
    <w:p>
      <w:pPr>
        <w:spacing w:after="140" w:line="300"/>
      </w:pPr>
      <w:r>
        <w:t xml:space="preserve">MOVER (Medical Informatics Operating Room Vitals and Events Repository) is the only other public dataset that approximates VitalDB's structure at meaningful scale. Released by UC Irvine in 2024, it contains roughly 58,000 surgical cases with intraoperative waveforms and EHR data — almost an order of magnitude larger than VitalDB, and from a different country and population.</w:t>
      </w:r>
    </w:p>
    <w:p>
      <w:pPr>
        <w:spacing w:after="140" w:line="300"/>
      </w:pPr>
      <w:r>
        <w:t xml:space="preserve">In aerospace terms, MOVER is the second jet engine of the same model — manufactured at a different plant, flown by a different airline, but mechanically equivalent. If a twin trained on the first engine generalizes to the second without retraining, that is meaningful evidence that the twin captures something real about the asset class rather than something idiosyncratic about one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Attribute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Value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Provider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UC Irvine Medical Center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Scale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~58,000 surgical cases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Released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2024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Asset identity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 — EHR covariates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Telemetry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 — ABP, ECG, SpO2, capnography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Intervention 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 — though less granular than VitalDB's pump-level tracks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Paired response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Yes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URL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https://mover.ics.uci.edu/</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License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Research use; data use agreement required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Access barrier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Application via the MOVER portal; turnaround typically 1–4 weeks</w:t>
            </w:r>
          </w:p>
        </w:tc>
      </w:tr>
    </w:tbl>
    <w:p>
      <w:pPr>
        <w:pStyle w:val="Heading3"/>
        <w:spacing w:after="120" w:before="220"/>
      </w:pPr>
      <w:r>
        <w:t xml:space="preserve">Recommended role</w:t>
      </w:r>
    </w:p>
    <w:p>
      <w:pPr>
        <w:spacing w:after="140" w:line="300"/>
      </w:pPr>
      <w:r>
        <w:t xml:space="preserve">Hold MOVER out of training entirely. Train on VitalDB, evaluate on MOVER without retraining or fine-tuning. This is the cross-center external validation identified as the field's open problem in Section 2.4.2 of the report and deferred as essential future work in Section 3.9.6. Doing it within the FYP, even at modest scale, is the single biggest credibility boost available to the thesis.</w:t>
      </w:r>
    </w:p>
    <w:p>
      <w:pPr>
        <w:pStyle w:val="Heading2"/>
        <w:spacing w:after="160" w:before="280"/>
      </w:pPr>
      <w:r>
        <w:t xml:space="preserve">3.3 What about the rest?</w:t>
      </w:r>
    </w:p>
    <w:p>
      <w:pPr>
        <w:spacing w:after="140" w:line="300"/>
      </w:pPr>
      <w:r>
        <w:t xml:space="preserve">Other public datasets come up in adjacent literature. Under the twin framing, almost all of them fail at least one of the four requirements and have no role in the core project. They are listed here so they can be ruled out efficiently.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Dataset</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What's missing</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Verdict for this project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MIMIC-IV (Waveform)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ICU context, not OR; intervention log is coarse; drug regime is wrong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Optional pretraining for the waveform encoder only — not for training the full twin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INSPIRE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No telemetry, no intervention log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Useful as a reference for covariate distributions, not for training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eICU-CRD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ICU context; no high-frequency waveforms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Skip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HiRID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ICU context; 2-second resolution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Skip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AmsterdamUMCdb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ICU context</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Skip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PulseDB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PPG-ABP only; no intervention log; no patient identity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Skip — useful only for cuffless BP regression, which is a different task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BUT PPG, Queensland VS, UCI BP, PPG-BP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Too small or wrong task framing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Skip</w:t>
            </w:r>
          </w:p>
        </w:tc>
      </w:tr>
    </w:tbl>
    <w:p>
      <w:pPr>
        <w:pStyle w:val="Heading1"/>
        <w:spacing w:after="200" w:before="360"/>
      </w:pPr>
      <w:r>
        <w:t xml:space="preserve">4. The Clean Recommendation</w:t>
      </w:r>
    </w:p>
    <w:p>
      <w:pPr>
        <w:spacing w:after="140" w:line="300"/>
      </w:pPr>
      <w:r>
        <w:t xml:space="preserve">Under the digital twin framing, the dataset story for this project collapses to two roles and two datasets. There is no third dataset that adds enough value to justify the integration cost within FYP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Role</w:t>
            </w:r>
          </w:p>
        </w:tc>
        <w:tc>
          <w:tcPr>
            <w:tcW w:type="dxa" w:w="30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Dataset</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60"/>
            </w:pPr>
            <w:r>
              <w:rPr>
                <w:b/>
                <w:bCs/>
                <w:color w:val="FFFFFF"/>
                <w:sz w:val="20"/>
                <w:szCs w:val="20"/>
              </w:rPr>
              <w:t xml:space="preserve">Why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Build the twin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VitalDB</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Only public dataset with paired intervention-response at OR resolution; satisfies all four twin requirements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Validate the twin generalizes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MOVER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b w:val="false"/>
                <w:bCs w:val="false"/>
                <w:color w:val="000000"/>
                <w:sz w:val="20"/>
                <w:szCs w:val="20"/>
              </w:rPr>
              <w:t xml:space="preserve">Different hospital, different population, equivalent data structure — the second jet engine of the same model</w:t>
            </w:r>
          </w:p>
        </w:tc>
      </w:tr>
    </w:tbl>
    <w:p>
      <w:pPr>
        <w:pStyle w:val="Heading2"/>
        <w:spacing w:after="160" w:before="280"/>
      </w:pPr>
      <w:r>
        <w:t xml:space="preserve">4.1 What this means for the FYP timeline</w:t>
      </w:r>
    </w:p>
    <w:p>
      <w:pPr>
        <w:pStyle w:val="ListParagraph"/>
        <w:numPr>
          <w:ilvl w:val="0"/>
          <w:numId w:val="2"/>
        </w:numPr>
        <w:spacing w:after="80" w:line="280"/>
      </w:pPr>
      <w:r>
        <w:rPr>
          <w:b/>
          <w:bCs/>
        </w:rPr>
        <w:t xml:space="preserve">Week 1. </w:t>
      </w:r>
      <w:r>
        <w:t xml:space="preserve">Accept the VitalDB DUA, install the python library, pull the cases / trks / labs CSVs, and apply the cohort filter from Section 3.4.1 of the report. The MOVER application can be submitted in parallel since its turnaround is the slowest.</w:t>
      </w:r>
    </w:p>
    <w:p>
      <w:pPr>
        <w:pStyle w:val="ListParagraph"/>
        <w:numPr>
          <w:ilvl w:val="0"/>
          <w:numId w:val="2"/>
        </w:numPr>
        <w:spacing w:after="80" w:line="280"/>
      </w:pPr>
      <w:r>
        <w:rPr>
          <w:b/>
          <w:bCs/>
        </w:rPr>
        <w:t xml:space="preserve">Phases 1–3. </w:t>
      </w:r>
      <w:r>
        <w:t xml:space="preserve">All training, validation, and mechanistic-engine work happens on VitalDB only. The model never sees MOVER during this time.</w:t>
      </w:r>
    </w:p>
    <w:p>
      <w:pPr>
        <w:pStyle w:val="ListParagraph"/>
        <w:numPr>
          <w:ilvl w:val="0"/>
          <w:numId w:val="2"/>
        </w:numPr>
        <w:spacing w:after="80" w:line="280"/>
      </w:pPr>
      <w:r>
        <w:rPr>
          <w:b/>
          <w:bCs/>
        </w:rPr>
        <w:t xml:space="preserve">Phase 4. </w:t>
      </w:r>
      <w:r>
        <w:t xml:space="preserve">Once the twin is frozen, run the full evaluation protocol on the held-out VitalDB test set, then run it again on MOVER with no model changes. The two sets of numbers, side by side, are the headline result of the thesis.</w:t>
      </w:r>
    </w:p>
    <w:p>
      <w:pPr>
        <w:pStyle w:val="Heading2"/>
        <w:spacing w:after="160" w:before="280"/>
      </w:pPr>
      <w:r>
        <w:t xml:space="preserve">4.2 What this rules out — and why that is good</w:t>
      </w:r>
    </w:p>
    <w:p>
      <w:pPr>
        <w:spacing w:after="140" w:line="300"/>
      </w:pPr>
      <w:r>
        <w:t xml:space="preserve">The twin framing forces a discipline that is easy to lose sight of when surveying datasets. Adding a pretraining step on MIMIC, or a covariate-only validation on INSPIRE, or a PPG-only comparison on PulseDB, can each be defended in isolation but none of them helps the twin do its actual job. They help a hypotension predictor; they do not help a digital twin. Keeping the dataset list to two — VitalDB and MOVER — keeps the project's dataset story aligned with its conceptual story, and that alignment is one of the things that distinguishes a strong thesis from a busy one.</w:t>
      </w:r>
    </w:p>
    <w:p>
      <w:pPr>
        <w:pStyle w:val="Heading1"/>
        <w:spacing w:after="200" w:before="360"/>
      </w:pPr>
      <w:r>
        <w:t xml:space="preserve">5. Closing</w:t>
      </w:r>
    </w:p>
    <w:p>
      <w:pPr>
        <w:shd w:fill="F4F7FB" w:val="clear"/>
        <w:spacing w:after="160" w:before="120" w:line="320"/>
        <w:ind w:left="720" w:right="720"/>
      </w:pPr>
      <w:r>
        <w:rPr>
          <w:i/>
          <w:iCs/>
          <w:color w:val="1F3864"/>
        </w:rPr>
        <w:t xml:space="preserve">If a jet-engine twin is validated by load-testing the physical engine and checking that the virtual engine agrees, the surgical-patient twin is validated by examining every intraoperative drug bolus and fluid event in VitalDB as a natural experiment, then checking that the virtual patient's projected response matches the real patient's recorded one. The dataset selection in this document exists to make that validation possible.</w:t>
      </w:r>
    </w:p>
    <w:p>
      <w:pPr>
        <w:spacing w:before="320"/>
        <w:jc w:val="center"/>
      </w:pPr>
      <w:r>
        <w:rPr>
          <w:i/>
          <w:iCs/>
          <w:color w:val="808080"/>
          <w:sz w:val="20"/>
          <w:szCs w:val="20"/>
        </w:rPr>
        <w:t xml:space="preserve">— End of dataset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2026-05-07T07:03:24.281Z</dcterms:created>
  <dcterms:modified xsi:type="dcterms:W3CDTF">2026-05-07T07:03:24.283Z</dcterms:modified>
</cp:coreProperties>
</file>

<file path=docProps/custom.xml><?xml version="1.0" encoding="utf-8"?>
<Properties xmlns="http://schemas.openxmlformats.org/officeDocument/2006/custom-properties" xmlns:vt="http://schemas.openxmlformats.org/officeDocument/2006/docPropsVTypes"/>
</file>