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Expected Outcomes &amp; Honest Limitations</w:t>
      </w:r>
    </w:p>
    <w:p>
      <w:pPr>
        <w:spacing w:after="80"/>
        <w:jc w:val="center"/>
      </w:pPr>
      <w:r>
        <w:rPr>
          <w:color w:val="595959"/>
          <w:sz w:val="26"/>
          <w:szCs w:val="26"/>
        </w:rPr>
        <w:t xml:space="preserve">What This FYP Can Realistically Solve, and What It Cannot</w:t>
      </w:r>
    </w:p>
    <w:p>
      <w:pPr>
        <w:spacing w:after="360"/>
        <w:jc w:val="center"/>
      </w:pPr>
      <w:r>
        <w:rPr>
          <w:i/>
          <w:iCs/>
          <w:color w:val="808080"/>
          <w:sz w:val="22"/>
          <w:szCs w:val="22"/>
        </w:rPr>
        <w:t xml:space="preserve">Surgical Patient Digital Twin Project</w:t>
      </w:r>
    </w:p>
    <w:p>
      <w:pPr>
        <w:pStyle w:val="Heading1"/>
        <w:spacing w:after="200" w:before="360"/>
      </w:pPr>
      <w:r>
        <w:t xml:space="preserve">1. Three Levels of Solving the Problem</w:t>
      </w:r>
    </w:p>
    <w:p>
      <w:pPr>
        <w:spacing w:after="140" w:line="300"/>
      </w:pPr>
      <w:r>
        <w:t xml:space="preserve">The phrase "solving intraoperative hypotension" carries three different meanings in the published literature, with three different levels of evidence. Stating which one this project targets — and which it does not — is the foundation of an honest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80"/>
        <w:gridCol w:w="2880"/>
      </w:tblGrid>
      <w:t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Level</w:t>
            </w:r>
          </w:p>
        </w:tc>
        <w:tc>
          <w:tcPr>
            <w:tcW w:type="dxa" w:w="48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it means</w:t>
            </w:r>
          </w:p>
        </w:tc>
        <w:tc>
          <w:tcPr>
            <w:tcW w:type="dxa" w:w="28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Evidence status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Level 1 — Prediction</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Forecasting hypotensive events before they occur</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Established. AUROC 0.85–0.94 across published systems on internal validation; ~0.83 on external.</w:t>
            </w:r>
          </w:p>
        </w:tc>
      </w:tr>
      <w:tr>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Level 2 — Burden reduction</w:t>
            </w:r>
          </w:p>
        </w:tc>
        <w:tc>
          <w:tcPr>
            <w:tcW w:type="dxa" w:w="4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Reducing time-weighted hypotension during surgery when clinicians use the tool</w:t>
            </w:r>
          </w:p>
        </w:tc>
        <w:tc>
          <w:tcPr>
            <w:tcW w:type="dxa" w:w="2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Demonstrated. HYPE RCT (Wijnberge 2020) showed ~75% reduction in time-weighted MAP burden vs. standard care.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Level 3 — Outcome improvement</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Reducing actual postoperative AKI, myocardial injury, mortality</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Contested. 2025 meta-analysis of RCTs found no statistically significant difference between high vs. low MAP target arms.</w:t>
            </w:r>
          </w:p>
        </w:tc>
      </w:tr>
    </w:tbl>
    <w:p>
      <w:pPr>
        <w:pBdr>
          <w:left w:val="single" w:color="C0392B" w:sz="24" w:space="6"/>
        </w:pBdr>
        <w:shd w:fill="F4F7FB" w:val="clear"/>
        <w:spacing w:after="160" w:before="120" w:line="320"/>
        <w:ind w:left="360" w:right="360"/>
      </w:pPr>
      <w:r>
        <w:rPr>
          <w:color w:val="C0392B"/>
          <w:sz w:val="22"/>
          <w:szCs w:val="22"/>
        </w:rPr>
        <w:t xml:space="preserve">This FYP targets Level 1 directly and contributes substrate toward Level 2. It does NOT — and cannot — claim Level 3. That requires multi-year prospective clinical trials well outside any FYP scope.</w:t>
      </w:r>
    </w:p>
    <w:p>
      <w:pPr>
        <w:pStyle w:val="Heading1"/>
        <w:spacing w:after="200" w:before="360"/>
      </w:pPr>
      <w:r>
        <w:t xml:space="preserve">2. Realistic Performance Bands</w:t>
      </w:r>
    </w:p>
    <w:p>
      <w:pPr>
        <w:spacing w:after="140" w:line="300"/>
      </w:pPr>
      <w:r>
        <w:t xml:space="preserve">Based on what comparable systems have achieved on VitalDB and on the methodological choices specified in Chapter 3 of the report, a competent FYP-scope implementation should land in the ranges below. The middle column is what a defensible thesis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60"/>
        <w:gridCol w:w="1860"/>
        <w:gridCol w:w="1860"/>
        <w:gridCol w:w="580"/>
      </w:tblGrid>
      <w:t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Metric</w:t>
            </w:r>
          </w:p>
        </w:tc>
        <w:tc>
          <w:tcPr>
            <w:tcW w:type="dxa" w:w="1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Pessimistic</w:t>
            </w:r>
          </w:p>
        </w:tc>
        <w:tc>
          <w:tcPr>
            <w:tcW w:type="dxa" w:w="1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Realistic</w:t>
            </w:r>
          </w:p>
        </w:tc>
        <w:tc>
          <w:tcPr>
            <w:tcW w:type="dxa" w:w="1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Optimistic</w:t>
            </w:r>
          </w:p>
        </w:tc>
        <w:tc>
          <w:tcPr>
            <w:tcW w:type="dxa" w:w="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Ref.</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AUROC at 5-min horizon (internal validation)</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0.85</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0.89–0.91</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0.93</w:t>
            </w:r>
          </w:p>
        </w:tc>
        <w:tc>
          <w:tcPr>
            <w:tcW w:type="dxa" w:w="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[8,10,11]</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AUROC at 5-min horizon (MOVER external)</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0.78</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0.82–0.85</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0.88</w:t>
            </w:r>
          </w:p>
        </w:tc>
        <w:tc>
          <w:tcPr>
            <w:tcW w:type="dxa" w:w="5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[9]</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AUPRC at 5-min (positive class ~5–10%)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0.40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0.55–0.65</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0.75</w:t>
            </w:r>
          </w:p>
        </w:tc>
        <w:tc>
          <w:tcPr>
            <w:tcW w:type="dxa" w:w="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Expected calibration error on gray zone</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0.10</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0.05–0.07</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0.03</w:t>
            </w:r>
          </w:p>
        </w:tc>
        <w:tc>
          <w:tcPr>
            <w:tcW w:type="dxa" w:w="5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[12,13]</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MdAPE reduction (calibrated PKPD vs. population)</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15–20%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30%</w:t>
            </w:r>
          </w:p>
        </w:tc>
        <w:tc>
          <w:tcPr>
            <w:tcW w:type="dxa" w:w="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[27,28]</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Top-1 intervention ranking agreement</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45%</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55–65%</w:t>
            </w:r>
          </w:p>
        </w:tc>
        <w:tc>
          <w:tcPr>
            <w:tcW w:type="dxa" w:w="1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75%</w:t>
            </w:r>
          </w:p>
        </w:tc>
        <w:tc>
          <w:tcPr>
            <w:tcW w:type="dxa" w:w="5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w:t>
            </w:r>
          </w:p>
        </w:tc>
      </w:tr>
    </w:tbl>
    <w:p>
      <w:pPr>
        <w:spacing w:after="140" w:line="300"/>
      </w:pPr>
      <w:r>
        <w:t xml:space="preserve">A pessimistic outcome is not a failure — it would still constitute a publishable methodological finding, particularly if it surfaces selection-bias effects in the gray zone that the prior literature has only partially characterized.</w:t>
      </w:r>
    </w:p>
    <w:p>
      <w:pPr>
        <w:pStyle w:val="Heading1"/>
        <w:spacing w:after="200" w:before="360"/>
      </w:pPr>
      <w:r>
        <w:t xml:space="preserve">3. The Structural Ceiling — What Even a Perfect Model Cannot Do</w:t>
      </w:r>
    </w:p>
    <w:p>
      <w:pPr>
        <w:spacing w:after="140" w:line="300"/>
      </w:pPr>
      <w:r>
        <w:t xml:space="preserve">Intraoperative hypotensive episodes have multiple etiologies, and not all are predictable from the available signal stream. Even a flawless implementation of this design has a structural ceiling on what fraction of episodes it can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Episode class</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Approx. share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Predictability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Drug- and fluid-driven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~50–60%</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Predictable with 5-min lead time. The model can warn about these.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Sudden / catastrophic</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~25–30%</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60"/>
            </w:pPr>
            <w:r>
              <w:rPr>
                <w:b w:val="false"/>
                <w:bCs w:val="false"/>
                <w:color w:val="000000"/>
                <w:sz w:val="20"/>
                <w:szCs w:val="20"/>
              </w:rPr>
              <w:t xml:space="preserve">Bleeding, vagal reflexes, anaphylaxis, embolism. Often invisible until they happen — the model will miss most of these.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Borderline / multifactorial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~15–20%</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Predictable in retrospect but driven by causes the model only sees indirectly.</w:t>
            </w:r>
          </w:p>
        </w:tc>
      </w:tr>
    </w:tbl>
    <w:p>
      <w:pPr>
        <w:pBdr>
          <w:left w:val="single" w:color="1F3864" w:sz="24" w:space="6"/>
        </w:pBdr>
        <w:shd w:fill="F4F7FB" w:val="clear"/>
        <w:spacing w:after="160" w:before="120" w:line="320"/>
        <w:ind w:left="360" w:right="360"/>
      </w:pPr>
      <w:r>
        <w:rPr>
          <w:color w:val="1F3864"/>
          <w:sz w:val="22"/>
          <w:szCs w:val="22"/>
        </w:rPr>
        <w:t xml:space="preserve">Implication: even a perfect implementation of this design caps out at preventing roughly half of intraoperative hypotensive episodes. This is the ceiling imposed by the problem itself, not by the model. Communicating this ceiling honestly is part of a defensible thesis.</w:t>
      </w:r>
    </w:p>
    <w:p>
      <w:pPr>
        <w:pStyle w:val="Heading1"/>
        <w:spacing w:after="200" w:before="360"/>
      </w:pPr>
      <w:r>
        <w:t xml:space="preserve">4. What the Twin Adds Beyond a Predictor</w:t>
      </w:r>
    </w:p>
    <w:p>
      <w:pPr>
        <w:spacing w:after="140" w:line="300"/>
      </w:pPr>
      <w:r>
        <w:t xml:space="preserve">The HPI and its deep-learning successors are pure predictors: they tell the clinician an event is coming. The proposed digital twin adds two capabilities that pure predictors do not have.</w:t>
      </w:r>
    </w:p>
    <w:p>
      <w:pPr>
        <w:pStyle w:val="Heading2"/>
        <w:spacing w:after="160" w:before="280"/>
      </w:pPr>
      <w:r>
        <w:t xml:space="preserve">4.1 Counterfactual reasoning</w:t>
      </w:r>
    </w:p>
    <w:p>
      <w:pPr>
        <w:spacing w:after="140" w:line="300"/>
      </w:pPr>
      <w:r>
        <w:t xml:space="preserve">When the alarm fires, a predictor says "hypotension coming." The twin says "hypotension coming, AND if you give 100 µg phenylephrine the projected MAP at 3 minutes is 78 mmHg with confidence band 70–85, vs. 62 mmHg with no intervention." That is a different class of clinical utility. It moves the system from a warning device to a decision-support tool.</w:t>
      </w:r>
    </w:p>
    <w:p>
      <w:pPr>
        <w:pStyle w:val="Heading2"/>
        <w:spacing w:after="160" w:before="280"/>
      </w:pPr>
      <w:r>
        <w:t xml:space="preserve">4.2 Personalized pharmacology</w:t>
      </w:r>
    </w:p>
    <w:p>
      <w:pPr>
        <w:spacing w:after="140" w:line="300"/>
      </w:pPr>
      <w:r>
        <w:t xml:space="preserve">A predictor uses population-averaged drug models invisibly inside its features. The twin exposes them and personalizes them online via the calibration head. For patients who deviate from population norms — the obese, the elderly, the metabolically unusual — this matters substantially, and these are exactly the patients on whom population predictors fail most often.</w:t>
      </w:r>
    </w:p>
    <w:p>
      <w:pPr>
        <w:pBdr>
          <w:left w:val="single" w:color="C0392B" w:sz="24" w:space="6"/>
        </w:pBdr>
        <w:shd w:fill="F4F7FB" w:val="clear"/>
        <w:spacing w:after="160" w:before="120" w:line="320"/>
        <w:ind w:left="360" w:right="360"/>
      </w:pPr>
      <w:r>
        <w:rPr>
          <w:color w:val="C0392B"/>
          <w:sz w:val="22"/>
          <w:szCs w:val="22"/>
        </w:rPr>
        <w:t xml:space="preserve">Important caveat: neither of these contributions is fully evaluable in an FYP-scope retrospective study. Counterfactual quality requires clinician interaction studies. PKPD personalization requires bedside calibration data the dataset only partially supplies. The FYP evaluates these via Hypothesis 3 (MdAPE reduction) and Hypothesis 4 (intervention-ranking agreement) — the strongest evidence the scope allows.</w:t>
      </w:r>
    </w:p>
    <w:p>
      <w:pPr>
        <w:pStyle w:val="Heading1"/>
        <w:spacing w:after="200" w:before="360"/>
      </w:pPr>
      <w:r>
        <w:t xml:space="preserve">5. What This FYP Will and Will Not Produce</w:t>
      </w:r>
    </w:p>
    <w:p>
      <w:pPr>
        <w:pStyle w:val="Heading2"/>
        <w:spacing w:after="160" w:before="280"/>
      </w:pPr>
      <w:r>
        <w:t xml:space="preserve">5.1 What it WILL produce</w:t>
      </w:r>
    </w:p>
    <w:p>
      <w:pPr>
        <w:pStyle w:val="ListParagraph"/>
        <w:numPr>
          <w:ilvl w:val="0"/>
          <w:numId w:val="2"/>
        </w:numPr>
        <w:spacing w:after="80" w:line="280"/>
      </w:pPr>
      <w:r>
        <w:rPr>
          <w:b/>
          <w:bCs/>
        </w:rPr>
        <w:t xml:space="preserve">A working hypotension predictor </w:t>
      </w:r>
      <w:r>
        <w:t xml:space="preserve">with discrimination performance comparable to published baselines (AUROC ~0.90, calibrated, with stratified subgroup analysis).</w:t>
      </w:r>
    </w:p>
    <w:p>
      <w:pPr>
        <w:pStyle w:val="ListParagraph"/>
        <w:numPr>
          <w:ilvl w:val="0"/>
          <w:numId w:val="2"/>
        </w:numPr>
        <w:spacing w:after="80" w:line="280"/>
      </w:pPr>
      <w:r>
        <w:rPr>
          <w:b/>
          <w:bCs/>
        </w:rPr>
        <w:t xml:space="preserve">A methodological demonstration </w:t>
      </w:r>
      <w:r>
        <w:t xml:space="preserve">that the predictive layer and the mechanistic PKPD engine can be integrated into a single per-patient state representation, end-to-end on a public dataset.</w:t>
      </w:r>
    </w:p>
    <w:p>
      <w:pPr>
        <w:pStyle w:val="ListParagraph"/>
        <w:numPr>
          <w:ilvl w:val="0"/>
          <w:numId w:val="2"/>
        </w:numPr>
        <w:spacing w:after="80" w:line="280"/>
      </w:pPr>
      <w:r>
        <w:rPr>
          <w:b/>
          <w:bCs/>
        </w:rPr>
        <w:t xml:space="preserve">A measurable improvement </w:t>
      </w:r>
      <w:r>
        <w:t xml:space="preserve">of approximately 15–20% in personalized MAP trajectory prediction over the population PKPD baseline.</w:t>
      </w:r>
    </w:p>
    <w:p>
      <w:pPr>
        <w:pStyle w:val="ListParagraph"/>
        <w:numPr>
          <w:ilvl w:val="0"/>
          <w:numId w:val="2"/>
        </w:numPr>
        <w:spacing w:after="80" w:line="280"/>
      </w:pPr>
      <w:r>
        <w:rPr>
          <w:b/>
          <w:bCs/>
        </w:rPr>
        <w:t xml:space="preserve">An open-source software substrate </w:t>
      </w:r>
      <w:r>
        <w:t xml:space="preserve">with versioned API contracts between the predictive, mechanistic, and decision-support layers, designed so that components can be replaced as the field advances without rebuilding the whole.</w:t>
      </w:r>
    </w:p>
    <w:p>
      <w:pPr>
        <w:pStyle w:val="ListParagraph"/>
        <w:numPr>
          <w:ilvl w:val="0"/>
          <w:numId w:val="2"/>
        </w:numPr>
        <w:spacing w:after="80" w:line="280"/>
      </w:pPr>
      <w:r>
        <w:rPr>
          <w:b/>
          <w:bCs/>
        </w:rPr>
        <w:t xml:space="preserve">A documented evaluation framework </w:t>
      </w:r>
      <w:r>
        <w:t xml:space="preserve">that goes beyond AUROC to include calibration on gray-zone samples, decision-curve analysis, and subgroup-stratified reporting — addressing the methodological concerns raised by the HPI critique literature.</w:t>
      </w:r>
    </w:p>
    <w:p>
      <w:pPr>
        <w:pStyle w:val="Heading2"/>
        <w:spacing w:after="160" w:before="280"/>
      </w:pPr>
      <w:r>
        <w:t xml:space="preserve">5.2 What it WILL NOT produce</w:t>
      </w:r>
    </w:p>
    <w:p>
      <w:pPr>
        <w:pStyle w:val="ListParagraph"/>
        <w:numPr>
          <w:ilvl w:val="0"/>
          <w:numId w:val="2"/>
        </w:numPr>
        <w:spacing w:after="80" w:line="280"/>
      </w:pPr>
      <w:r>
        <w:rPr>
          <w:b/>
          <w:bCs/>
        </w:rPr>
        <w:t xml:space="preserve">Proof that patient outcomes improve. </w:t>
      </w:r>
      <w:r>
        <w:t xml:space="preserve">That requires a multi-year prospective randomized trial. Outside FYP scope.</w:t>
      </w:r>
    </w:p>
    <w:p>
      <w:pPr>
        <w:pStyle w:val="ListParagraph"/>
        <w:numPr>
          <w:ilvl w:val="0"/>
          <w:numId w:val="2"/>
        </w:numPr>
        <w:spacing w:after="80" w:line="280"/>
      </w:pPr>
      <w:r>
        <w:rPr>
          <w:b/>
          <w:bCs/>
        </w:rPr>
        <w:t xml:space="preserve">A clinically deployable tool. </w:t>
      </w:r>
      <w:r>
        <w:t xml:space="preserve">Deployment requires SaMD-grade validation, regulatory submission, prospective clinical evaluation, and IRB-approved bedside testing. Outside FYP scope.</w:t>
      </w:r>
    </w:p>
    <w:p>
      <w:pPr>
        <w:pStyle w:val="ListParagraph"/>
        <w:numPr>
          <w:ilvl w:val="0"/>
          <w:numId w:val="2"/>
        </w:numPr>
        <w:spacing w:after="80" w:line="280"/>
      </w:pPr>
      <w:r>
        <w:rPr>
          <w:b/>
          <w:bCs/>
        </w:rPr>
        <w:t xml:space="preserve">Cross-population external validation at scale. </w:t>
      </w:r>
      <w:r>
        <w:t xml:space="preserve">MOVER held-out evaluation provides one cross-center data point. True multi-population generalization requires federated training across institutions, identified as future work in Section 3.9.6 of the report.</w:t>
      </w:r>
    </w:p>
    <w:p>
      <w:pPr>
        <w:pStyle w:val="ListParagraph"/>
        <w:numPr>
          <w:ilvl w:val="0"/>
          <w:numId w:val="2"/>
        </w:numPr>
        <w:spacing w:after="80" w:line="280"/>
      </w:pPr>
      <w:r>
        <w:rPr>
          <w:b/>
          <w:bCs/>
        </w:rPr>
        <w:t xml:space="preserve">Catastrophic-event prediction. </w:t>
      </w:r>
      <w:r>
        <w:t xml:space="preserve">The system is designed for routine drug- and fluid-driven hypotension, not for sudden bleeding, anaphylaxis, or embolic events. The system's scope is explicit in user-facing documentation.</w:t>
      </w:r>
    </w:p>
    <w:p>
      <w:pPr>
        <w:pStyle w:val="ListParagraph"/>
        <w:numPr>
          <w:ilvl w:val="0"/>
          <w:numId w:val="2"/>
        </w:numPr>
        <w:spacing w:after="80" w:line="280"/>
      </w:pPr>
      <w:r>
        <w:rPr>
          <w:b/>
          <w:bCs/>
        </w:rPr>
        <w:t xml:space="preserve">A new neural network architecture or a new pharmacokinetic equation. </w:t>
      </w:r>
      <w:r>
        <w:t xml:space="preserve">The contribution is the integration, not novel components in isolation.</w:t>
      </w:r>
    </w:p>
    <w:p>
      <w:pPr>
        <w:pStyle w:val="Heading1"/>
        <w:spacing w:after="200" w:before="360"/>
      </w:pPr>
      <w:r>
        <w:t xml:space="preserve">6. The Defense Framing</w:t>
      </w:r>
    </w:p>
    <w:p>
      <w:pPr>
        <w:spacing w:after="140" w:line="300"/>
      </w:pPr>
      <w:r>
        <w:t xml:space="preserve">The right framing for the panel — and the most defensible one — is that this project produces the substrate for solving the clinical problem, not the clinical solution itself. The actual problem of intraoperative hypotension will take 5–10 more years and a series of clinical trials to solve at the patient-outcome level. The contribution of this FYP is moving the substrate forward — making it easier for the next group of researchers to design and run the trial.</w:t>
      </w:r>
    </w:p>
    <w:p>
      <w:pPr>
        <w:spacing w:after="140" w:line="300"/>
      </w:pPr>
      <w:r>
        <w:t xml:space="preserve">Stated as a defensible claim:</w:t>
      </w:r>
    </w:p>
    <w:p>
      <w:pPr>
        <w:pBdr>
          <w:left w:val="single" w:color="1F3864" w:sz="24" w:space="6"/>
        </w:pBdr>
        <w:shd w:fill="F4F7FB" w:val="clear"/>
        <w:spacing w:after="160" w:before="120" w:line="320"/>
        <w:ind w:left="360" w:right="360"/>
      </w:pPr>
      <w:r>
        <w:rPr>
          <w:color w:val="1F3864"/>
          <w:sz w:val="22"/>
          <w:szCs w:val="22"/>
        </w:rPr>
        <w:t xml:space="preserve">"This thesis demonstrates, on a public dataset, by a single researcher, that a perioperative patient digital twin combining a deep-learning hypotension predictor with a personalized pharmacokinetic-pharmacodynamic engine is implementable end-to-end, that its evaluation can be carried out with methodological discipline consistent with the current state of the field, and that its components achieve performance comparable to or improving upon published single-purpose baselines. The thesis does not claim, and does not need to claim, that the system improves patient outcomes. It claims that the substrate for testing such a system at clinical scale now exists, where it did not before."</w:t>
      </w:r>
    </w:p>
    <w:p>
      <w:pPr>
        <w:pStyle w:val="Heading1"/>
        <w:spacing w:after="200" w:before="360"/>
      </w:pPr>
      <w:r>
        <w:t xml:space="preserve">7. The Honest One-Liner</w:t>
      </w:r>
    </w:p>
    <w:p>
      <w:pPr>
        <w:pBdr>
          <w:left w:val="single" w:color="1F3864" w:sz="24" w:space="6"/>
        </w:pBdr>
        <w:shd w:fill="F4F7FB" w:val="clear"/>
        <w:spacing w:after="160" w:before="120" w:line="320"/>
        <w:ind w:left="360" w:right="360"/>
      </w:pPr>
      <w:r>
        <w:rPr>
          <w:color w:val="1F3864"/>
          <w:sz w:val="22"/>
          <w:szCs w:val="22"/>
        </w:rPr>
        <w:t xml:space="preserve">If a jet-engine digital twin in 1995 was "a research demonstration that becomes routine industrial practice by 2015," this thesis is the medical equivalent — a research demonstration in 2026 of a substrate that, if pursued through the necessary clinical trials, becomes routine perioperative practice some time after 2035. The FYP is not the solution. It is the seed of the solution.</w:t>
      </w:r>
    </w:p>
    <w:p>
      <w:pPr>
        <w:spacing w:before="320"/>
        <w:jc w:val="center"/>
      </w:pPr>
      <w:r>
        <w:rPr>
          <w:i/>
          <w:iCs/>
          <w:color w:val="808080"/>
          <w:sz w:val="20"/>
          <w:szCs w:val="20"/>
        </w:rPr>
        <w:t xml:space="preserve">— End of expected outcomes &amp; limitations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2026-05-07T07:10:32.488Z</dcterms:created>
  <dcterms:modified xsi:type="dcterms:W3CDTF">2026-05-07T07:10:32.488Z</dcterms:modified>
</cp:coreProperties>
</file>

<file path=docProps/custom.xml><?xml version="1.0" encoding="utf-8"?>
<Properties xmlns="http://schemas.openxmlformats.org/officeDocument/2006/custom-properties" xmlns:vt="http://schemas.openxmlformats.org/officeDocument/2006/docPropsVTypes"/>
</file>