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kinsoku/>
        <w:wordWrap/>
        <w:overflowPunct/>
        <w:topLinePunct w:val="0"/>
        <w:autoSpaceDE/>
        <w:autoSpaceDN/>
        <w:bidi w:val="0"/>
        <w:adjustRightInd/>
        <w:spacing w:before="0" w:beforeLines="0" w:after="0" w:afterLines="0"/>
        <w:ind w:left="0" w:leftChars="0" w:right="0" w:rightChars="0"/>
        <w:jc w:val="center"/>
        <w:textAlignment w:val="auto"/>
        <w:outlineLvl w:val="0"/>
        <w:rPr>
          <w:rFonts w:hint="eastAsia" w:ascii="Heiti SC Light" w:hAnsi="Heiti SC Light" w:eastAsia="Heiti SC Light" w:cs="Heiti SC Light"/>
        </w:rPr>
      </w:pPr>
      <w:r>
        <w:rPr>
          <w:rFonts w:hint="eastAsia" w:ascii="Heiti SC Light" w:hAnsi="Heiti SC Light" w:eastAsia="Heiti SC Light" w:cs="Heiti SC Light"/>
        </w:rPr>
        <w:t>基于xr数字孪生技术的高等级生物安全实验室</w:t>
      </w:r>
      <w:r>
        <w:rPr>
          <w:rFonts w:hint="eastAsia" w:ascii="Heiti SC Light" w:hAnsi="Heiti SC Light" w:eastAsia="Heiti SC Light" w:cs="Heiti SC Light"/>
          <w:lang w:val="en-US" w:eastAsia="zh-Hans"/>
        </w:rPr>
        <w:t>的</w:t>
      </w:r>
      <w:r>
        <w:rPr>
          <w:rFonts w:hint="eastAsia" w:ascii="Heiti SC Light" w:hAnsi="Heiti SC Light" w:eastAsia="Heiti SC Light" w:cs="Heiti SC Light"/>
        </w:rPr>
        <w:t>工程管理优化研究</w:t>
      </w:r>
    </w:p>
    <w:p>
      <w:pPr>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400" w:lineRule="exact"/>
        <w:ind w:left="0" w:leftChars="0" w:right="0" w:rightChars="0" w:firstLine="0" w:firstLineChars="0"/>
        <w:jc w:val="both"/>
        <w:textAlignment w:val="auto"/>
        <w:outlineLvl w:val="0"/>
        <w:rPr>
          <w:rFonts w:eastAsia="黑体"/>
          <w:sz w:val="32"/>
          <w:szCs w:val="32"/>
        </w:rPr>
      </w:pPr>
      <w:r>
        <w:rPr>
          <w:rFonts w:hint="eastAsia" w:eastAsia="黑体"/>
          <w:sz w:val="32"/>
          <w:szCs w:val="32"/>
        </w:rPr>
        <w:t>引言</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ind w:left="0" w:leftChars="0" w:right="0" w:rightChars="0" w:firstLine="0" w:firstLineChars="0"/>
        <w:jc w:val="both"/>
        <w:textAlignment w:val="auto"/>
        <w:outlineLvl w:val="1"/>
        <w:rPr>
          <w:rFonts w:eastAsia="黑体"/>
          <w:sz w:val="30"/>
          <w:szCs w:val="30"/>
        </w:rPr>
      </w:pPr>
      <w:r>
        <w:rPr>
          <w:rFonts w:eastAsia="黑体"/>
          <w:sz w:val="30"/>
          <w:szCs w:val="30"/>
        </w:rPr>
        <w:t>1.1研究背景</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CN"/>
        </w:rPr>
        <w:t>生物安全四级（Biosafety Level 4，BSL-4）实验室是目前世界上最高等级的生物安全实验室，在传染病预防和控制、生物恐怖威胁防范、极端微生物研究等方面发挥着重要的作用，是国家生物安全体系的核心基础设施</w:t>
      </w:r>
      <w:r>
        <w:rPr>
          <w:rFonts w:hint="default"/>
          <w:sz w:val="24"/>
          <w:szCs w:val="21"/>
          <w:lang w:eastAsia="zh-CN"/>
        </w:rPr>
        <w:t>[1]</w:t>
      </w:r>
      <w:r>
        <w:rPr>
          <w:rFonts w:hint="eastAsia"/>
          <w:sz w:val="24"/>
          <w:szCs w:val="21"/>
          <w:lang w:val="en-US" w:eastAsia="zh-CN"/>
        </w:rPr>
        <w:t>。</w:t>
      </w:r>
      <w:r>
        <w:rPr>
          <w:rFonts w:hint="eastAsia"/>
          <w:sz w:val="24"/>
          <w:szCs w:val="21"/>
          <w:lang w:val="en-US" w:eastAsia="zh-Hans"/>
        </w:rPr>
        <w:t>且</w:t>
      </w:r>
      <w:r>
        <w:rPr>
          <w:rFonts w:hint="eastAsia"/>
          <w:sz w:val="24"/>
          <w:szCs w:val="21"/>
          <w:lang w:val="en-US" w:eastAsia="zh-CN"/>
        </w:rPr>
        <w:t>随着研究的不断深入，生物安全实验室的数量及规模也在不断扩展，但由于对生物安全实验室的管理存在一定程度上的滞后，各国也多次出现实验室获得性感染(Laboratory-Acquired Infections)事件</w:t>
      </w:r>
      <w:r>
        <w:rPr>
          <w:rFonts w:hint="default"/>
          <w:sz w:val="24"/>
          <w:szCs w:val="21"/>
          <w:lang w:eastAsia="zh-CN"/>
        </w:rPr>
        <w:t>[2]</w:t>
      </w:r>
      <w:r>
        <w:rPr>
          <w:rFonts w:hint="eastAsia"/>
          <w:sz w:val="24"/>
          <w:szCs w:val="21"/>
          <w:lang w:eastAsia="zh-Hans"/>
        </w:rPr>
        <w:t>。</w:t>
      </w:r>
      <w:r>
        <w:rPr>
          <w:rFonts w:hint="eastAsia"/>
          <w:sz w:val="24"/>
          <w:szCs w:val="21"/>
          <w:lang w:val="en-US" w:eastAsia="zh-Hans"/>
        </w:rPr>
        <w:t>通过数字化工具来提高实验室生物工程运行效率，优化管理流程已成为一种趋势。</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数字孪生概念由Michael Grieves教授在2002年的一次演讲中提出，其提到的包含虚拟和现实空间、两者之间的信息流和数据流等表述的关于 PLM（product lifecycle management，产品生命周期管理）的概念模型[</w:t>
      </w:r>
      <w:r>
        <w:rPr>
          <w:rFonts w:hint="default"/>
          <w:sz w:val="24"/>
          <w:szCs w:val="21"/>
          <w:lang w:eastAsia="zh-Hans"/>
        </w:rPr>
        <w:t>3</w:t>
      </w:r>
      <w:r>
        <w:rPr>
          <w:rFonts w:hint="eastAsia"/>
          <w:sz w:val="24"/>
          <w:szCs w:val="21"/>
          <w:lang w:val="en-US" w:eastAsia="zh-Hans"/>
        </w:rPr>
        <w:t>]，被业界普遍认为是数字孪生概念的首次提出。近年来，数字孪生技术在工业制造、智慧城市、医疗健康等领域展现出巨大潜力。在工业制造中，数字孪生通过构建产品的虚拟模型，优化生产流程和设备维护，提高生产效率和产品质量。在建筑工程领域，数字孪生技术被用于降低运维阶段的能源消耗、加快施工工期和减少碳排放</w:t>
      </w:r>
      <w:r>
        <w:rPr>
          <w:rFonts w:hint="default"/>
          <w:sz w:val="24"/>
          <w:szCs w:val="21"/>
          <w:lang w:eastAsia="zh-Hans"/>
        </w:rPr>
        <w:t>,</w:t>
      </w:r>
      <w:r>
        <w:rPr>
          <w:rFonts w:hint="eastAsia"/>
          <w:sz w:val="24"/>
          <w:szCs w:val="21"/>
          <w:lang w:val="en-US" w:eastAsia="zh-Hans"/>
        </w:rPr>
        <w:t>尤其是在智慧城市中，通过构建城市的虚拟数字孪生模型，实现对城市运行状态的实时监控和优化。</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XR技术融合了虚拟现实（VR）、增强现实（AR）和混合现实（MR）等多种形式，本质上是基于虚拟空间的</w:t>
      </w:r>
      <w:r>
        <w:rPr>
          <w:rFonts w:hint="default"/>
          <w:sz w:val="24"/>
          <w:szCs w:val="21"/>
          <w:lang w:eastAsia="zh-Hans"/>
        </w:rPr>
        <w:t>3</w:t>
      </w:r>
      <w:r>
        <w:rPr>
          <w:rFonts w:hint="eastAsia"/>
          <w:sz w:val="24"/>
          <w:szCs w:val="21"/>
          <w:lang w:val="en-US" w:eastAsia="zh-Hans"/>
        </w:rPr>
        <w:t>d视频。扩展现实（XR）作为元宇宙的重要技术支撑，越来越受到业界关注。各大视频和游戏平台已经出现一些虚拟现实</w:t>
      </w:r>
      <w:r>
        <w:rPr>
          <w:rFonts w:hint="default"/>
          <w:sz w:val="24"/>
          <w:szCs w:val="21"/>
          <w:lang w:eastAsia="zh-Hans"/>
        </w:rPr>
        <w:t>(</w:t>
      </w:r>
      <w:r>
        <w:rPr>
          <w:rFonts w:hint="eastAsia"/>
          <w:sz w:val="24"/>
          <w:szCs w:val="21"/>
          <w:lang w:val="en-US" w:eastAsia="zh-Hans"/>
        </w:rPr>
        <w:t>VR</w:t>
      </w:r>
      <w:r>
        <w:rPr>
          <w:rFonts w:hint="default"/>
          <w:sz w:val="24"/>
          <w:szCs w:val="21"/>
          <w:lang w:eastAsia="zh-Hans"/>
        </w:rPr>
        <w:t>)</w:t>
      </w:r>
      <w:r>
        <w:rPr>
          <w:rFonts w:hint="eastAsia"/>
          <w:sz w:val="24"/>
          <w:szCs w:val="21"/>
          <w:lang w:val="en-US" w:eastAsia="zh-Hans"/>
        </w:rPr>
        <w:t>类应用，比如 VR 全景视频、VR 云游戏等。随着头显的轻便化发展，增强现实</w:t>
      </w:r>
      <w:r>
        <w:rPr>
          <w:rFonts w:hint="default"/>
          <w:sz w:val="24"/>
          <w:szCs w:val="21"/>
          <w:lang w:eastAsia="zh-Hans"/>
        </w:rPr>
        <w:t>(</w:t>
      </w:r>
      <w:r>
        <w:rPr>
          <w:rFonts w:hint="eastAsia"/>
          <w:sz w:val="24"/>
          <w:szCs w:val="21"/>
          <w:lang w:val="en-US" w:eastAsia="zh-Hans"/>
        </w:rPr>
        <w:t>AR</w:t>
      </w:r>
      <w:r>
        <w:rPr>
          <w:rFonts w:hint="default"/>
          <w:sz w:val="24"/>
          <w:szCs w:val="21"/>
          <w:lang w:eastAsia="zh-Hans"/>
        </w:rPr>
        <w:t>)</w:t>
      </w:r>
      <w:r>
        <w:rPr>
          <w:rFonts w:hint="eastAsia"/>
          <w:sz w:val="24"/>
          <w:szCs w:val="21"/>
          <w:lang w:val="en-US" w:eastAsia="zh-Hans"/>
        </w:rPr>
        <w:t>、混合现</w:t>
      </w:r>
      <w:r>
        <w:rPr>
          <w:rFonts w:hint="default"/>
          <w:sz w:val="24"/>
          <w:szCs w:val="21"/>
          <w:lang w:eastAsia="zh-Hans"/>
        </w:rPr>
        <w:t>(</w:t>
      </w:r>
      <w:r>
        <w:rPr>
          <w:rFonts w:hint="eastAsia"/>
          <w:sz w:val="24"/>
          <w:szCs w:val="21"/>
          <w:lang w:val="en-US" w:eastAsia="zh-Hans"/>
        </w:rPr>
        <w:t>MR</w:t>
      </w:r>
      <w:r>
        <w:rPr>
          <w:rFonts w:hint="default"/>
          <w:sz w:val="24"/>
          <w:szCs w:val="21"/>
          <w:lang w:eastAsia="zh-Hans"/>
        </w:rPr>
        <w:t>)</w:t>
      </w:r>
      <w:r>
        <w:rPr>
          <w:rFonts w:hint="eastAsia"/>
          <w:sz w:val="24"/>
          <w:szCs w:val="21"/>
          <w:lang w:val="en-US" w:eastAsia="zh-Hans"/>
        </w:rPr>
        <w:t>类应用也越来越多</w:t>
      </w:r>
      <w:r>
        <w:rPr>
          <w:rFonts w:hint="default"/>
          <w:sz w:val="24"/>
          <w:szCs w:val="21"/>
          <w:lang w:eastAsia="zh-Hans"/>
        </w:rPr>
        <w:t>[4]</w:t>
      </w:r>
      <w:r>
        <w:rPr>
          <w:rFonts w:hint="eastAsia"/>
          <w:sz w:val="24"/>
          <w:szCs w:val="21"/>
          <w:lang w:val="en-US" w:eastAsia="zh-Hans"/>
        </w:rPr>
        <w:t>。在教育、医疗、工业制造等领域，XR技术通过创建沉浸式环境，提升了用户体验和操作效率。例如在实验室操作流程管理方面，工程师在实操前通过XR技术体验整个实验流程，熟悉设备操作和安全规程，提高实操能力和安全性。这种沉浸式体验不仅能够提高学生的操作熟练度，还能降低实际操作中的风险。</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ind w:left="0" w:leftChars="0" w:right="0" w:rightChars="0" w:firstLine="0" w:firstLineChars="0"/>
        <w:jc w:val="both"/>
        <w:textAlignment w:val="auto"/>
        <w:outlineLvl w:val="1"/>
        <w:rPr>
          <w:rFonts w:eastAsia="黑体"/>
          <w:sz w:val="30"/>
          <w:szCs w:val="30"/>
        </w:rPr>
      </w:pPr>
      <w:r>
        <w:rPr>
          <w:rFonts w:eastAsia="黑体"/>
          <w:sz w:val="30"/>
          <w:szCs w:val="30"/>
        </w:rPr>
        <w:t>1.2研究意义</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在数字化时代背景下，很多传统工程管理都开始采用数字化技术解决问题，数字孪生在建筑工程领域、智慧城市领域、应急管理领域都得到了应用与发展，但在复杂生物安全场景下数字化管理的理论仍是一片蓝图。在全球生物安全风险加剧（如新发传染病、生物恐怖威胁）的背景下，我国高等级生物安全实验室正处于 “规模扩张” 与 “管理升级” 的关键期，将数字化技术引入传统的生物安全管理领域的需求越来越迫切。</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本文将通过融合 BIM 建模、物联网数据采集与 XR 沉浸式交互技术，在高等级生物安全实验室领域，构建 “物理实验室</w:t>
      </w:r>
      <w:r>
        <w:rPr>
          <w:rFonts w:hint="default"/>
          <w:sz w:val="24"/>
          <w:szCs w:val="21"/>
          <w:lang w:eastAsia="zh-Hans"/>
        </w:rPr>
        <w:t>-</w:t>
      </w:r>
      <w:r>
        <w:rPr>
          <w:rFonts w:hint="eastAsia"/>
          <w:sz w:val="24"/>
          <w:szCs w:val="21"/>
          <w:lang w:val="en-US" w:eastAsia="zh-Hans"/>
        </w:rPr>
        <w:t>数字孪生</w:t>
      </w:r>
      <w:r>
        <w:rPr>
          <w:rFonts w:hint="default"/>
          <w:sz w:val="24"/>
          <w:szCs w:val="21"/>
          <w:lang w:eastAsia="zh-Hans"/>
        </w:rPr>
        <w:t>-</w:t>
      </w:r>
      <w:r>
        <w:rPr>
          <w:rFonts w:hint="eastAsia"/>
          <w:sz w:val="24"/>
          <w:szCs w:val="21"/>
          <w:lang w:val="en-US" w:eastAsia="zh-Hans"/>
        </w:rPr>
        <w:t>XR 交互界面” 三位一体的管理模型，通过“虚拟空间</w:t>
      </w:r>
      <w:r>
        <w:rPr>
          <w:rFonts w:hint="default"/>
          <w:sz w:val="24"/>
          <w:szCs w:val="21"/>
          <w:lang w:eastAsia="zh-Hans"/>
        </w:rPr>
        <w:t>-</w:t>
      </w:r>
      <w:r>
        <w:rPr>
          <w:rFonts w:hint="eastAsia"/>
          <w:sz w:val="24"/>
          <w:szCs w:val="21"/>
          <w:lang w:val="en-US" w:eastAsia="zh-Hans"/>
        </w:rPr>
        <w:t>物理实体”的实时映射与数据交互，颠覆了传统工程管理中 “数据滞后”“空间割裂” 的固有模式，从而推动实验室管理从 “硬件堆砌” 向 “智慧化运营” 转型，形成可复制的数字化管理解决方案，助力我国生物安全基础设施建设实现 “弯道超车”。数字孪生技术可以实时接入温湿度、设备运行状态等数据，通过实时监测实验室运行数据，通过算法模型动态预警异常，实现 “预防式管理”。相关研究指出，实验室获得性感染（LAI）事件中约 30% 源于设备故障或操作流程漏洞，而数字孪生的实时监控能力可将风险识别效率提升 40% 以上，为阻断风险传播链提供技术支撑。XR 技术通过构建虚拟漫游场景，可模拟病原体泄漏、火灾等极端场景，使科研人员在无真实风险的环境中反复训练防护服穿脱、气溶胶处理等关键流程。相较于传统桌面推演，XR 技术将应急响应培训的 “试错成本” 降为零，且能通过眼动追踪、操作耗时等数据量化评估培训效果，为优化应急流程提供数据依据。</w:t>
      </w:r>
    </w:p>
    <w:p>
      <w:pPr>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400" w:lineRule="exact"/>
        <w:ind w:left="0" w:leftChars="0" w:right="0" w:rightChars="0" w:firstLine="0" w:firstLineChars="0"/>
        <w:jc w:val="both"/>
        <w:textAlignment w:val="auto"/>
        <w:outlineLvl w:val="0"/>
        <w:rPr>
          <w:rFonts w:hint="eastAsia" w:eastAsia="黑体"/>
          <w:sz w:val="32"/>
          <w:szCs w:val="32"/>
        </w:rPr>
      </w:pPr>
      <w:r>
        <w:rPr>
          <w:rFonts w:hint="eastAsia" w:eastAsia="黑体"/>
          <w:sz w:val="32"/>
          <w:szCs w:val="32"/>
        </w:rPr>
        <w:t>国内外研究现状及分析</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ind w:left="0" w:leftChars="0" w:right="0" w:rightChars="0" w:firstLine="0" w:firstLineChars="0"/>
        <w:jc w:val="both"/>
        <w:textAlignment w:val="auto"/>
        <w:outlineLvl w:val="1"/>
        <w:rPr>
          <w:rFonts w:eastAsia="黑体"/>
          <w:sz w:val="30"/>
          <w:szCs w:val="30"/>
        </w:rPr>
      </w:pPr>
      <w:r>
        <w:rPr>
          <w:rFonts w:eastAsia="黑体"/>
          <w:sz w:val="30"/>
          <w:szCs w:val="30"/>
        </w:rPr>
        <w:t>2.1国</w:t>
      </w:r>
      <w:r>
        <w:rPr>
          <w:rFonts w:hint="eastAsia" w:eastAsia="黑体"/>
          <w:sz w:val="30"/>
          <w:szCs w:val="30"/>
        </w:rPr>
        <w:t>内</w:t>
      </w:r>
      <w:r>
        <w:rPr>
          <w:rFonts w:eastAsia="黑体"/>
          <w:sz w:val="30"/>
          <w:szCs w:val="30"/>
        </w:rPr>
        <w:t>外研究现状</w:t>
      </w:r>
    </w:p>
    <w:p>
      <w:pPr>
        <w:pageBreakBefore w:val="0"/>
        <w:kinsoku/>
        <w:wordWrap/>
        <w:overflowPunct/>
        <w:topLinePunct w:val="0"/>
        <w:autoSpaceDE/>
        <w:autoSpaceDN/>
        <w:bidi w:val="0"/>
        <w:adjustRightInd/>
        <w:snapToGrid w:val="0"/>
        <w:spacing w:line="400" w:lineRule="exact"/>
        <w:ind w:left="0" w:leftChars="0" w:right="0" w:rightChars="0"/>
        <w:textAlignment w:val="auto"/>
        <w:outlineLvl w:val="2"/>
        <w:rPr>
          <w:rFonts w:hint="eastAsia" w:eastAsia="黑体"/>
          <w:sz w:val="30"/>
          <w:szCs w:val="30"/>
          <w:lang w:val="en-US" w:eastAsia="zh-Hans"/>
        </w:rPr>
      </w:pPr>
      <w:r>
        <w:rPr>
          <w:rFonts w:eastAsia="黑体"/>
          <w:sz w:val="30"/>
          <w:szCs w:val="30"/>
        </w:rPr>
        <w:t>2.1.1</w:t>
      </w:r>
      <w:r>
        <w:rPr>
          <w:rFonts w:hint="eastAsia" w:eastAsia="黑体"/>
          <w:sz w:val="28"/>
          <w:szCs w:val="28"/>
          <w:lang w:val="en-US" w:eastAsia="zh-Hans"/>
        </w:rPr>
        <w:t>国内研究现状</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国内学者围绕数字孪生技术在 BSL-4 实验室生物工程的管理中的落地展开了多维度研究。在风险预警与设备管理领域，李华等构建的数字孪生监控系统通过部署 200 + 传感器节点，实现对实验室温湿度、压差、高效过滤器（HEPA）运行状态的毫米级精度监测，结合计算流体力学（CFD）模型模拟气溶胶扩散路径，将泄漏风险预测提前至 72 小时以上，漏检率从传统人工巡检的 25% 降至 4.2%[</w:t>
      </w:r>
      <w:r>
        <w:rPr>
          <w:rFonts w:hint="default"/>
          <w:sz w:val="24"/>
          <w:szCs w:val="21"/>
          <w:lang w:eastAsia="zh-Hans"/>
        </w:rPr>
        <w:t>5</w:t>
      </w:r>
      <w:r>
        <w:rPr>
          <w:rFonts w:hint="eastAsia"/>
          <w:sz w:val="24"/>
          <w:szCs w:val="21"/>
          <w:lang w:val="en-US" w:eastAsia="zh-Hans"/>
        </w:rPr>
        <w:t>]。该技术在武汉病毒研究所 P4 实验室试点应用时，通过动态调整通风系统阀门开度，使核心区气流速度均匀度提升 32%，显著降低了交叉污染风险。在全生命周期管理领域，王强团队提出的 “规划 - 建设 - 运维” 一体化数字孪生框架，首次将 BIM 技术与实验室专项设计深度融合。在深圳某 BSL-3 实验室建设中，通过虚拟模型预演发现洁净区管道与消防喷淋系统冲突 15 处，减少设计变更签证单 12 份，节约工期 18 天，降低成本约 230 万元 [</w:t>
      </w:r>
      <w:r>
        <w:rPr>
          <w:rFonts w:hint="default"/>
          <w:sz w:val="24"/>
          <w:szCs w:val="21"/>
          <w:lang w:eastAsia="zh-Hans"/>
        </w:rPr>
        <w:t>6</w:t>
      </w:r>
      <w:r>
        <w:rPr>
          <w:rFonts w:hint="eastAsia"/>
          <w:sz w:val="24"/>
          <w:szCs w:val="21"/>
          <w:lang w:val="en-US" w:eastAsia="zh-Hans"/>
        </w:rPr>
        <w:t>]。张敏等基于 LSTM 神经网络开发的设备预测性维护模型，针对生物安全柜滤芯寿命预测精度达 92.3%，较传统定时更换模式减少 35% 的滤芯浪费，相关成果已纳入《生物安全实验室设备运维技术规范》（征求意见稿）[</w:t>
      </w:r>
      <w:r>
        <w:rPr>
          <w:rFonts w:hint="default"/>
          <w:sz w:val="24"/>
          <w:szCs w:val="21"/>
          <w:lang w:eastAsia="zh-Hans"/>
        </w:rPr>
        <w:t>7</w:t>
      </w:r>
      <w:r>
        <w:rPr>
          <w:rFonts w:hint="eastAsia"/>
          <w:sz w:val="24"/>
          <w:szCs w:val="21"/>
          <w:lang w:val="en-US" w:eastAsia="zh-Hans"/>
        </w:rPr>
        <w:t>]。</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XR 技术在国内实验室安全培训中的应用呈现技术融合与场景化定制趋势。浙江大学联合之江实验室研发的 “灵境 - 生物安全” VR 培训系统，构建 1:1 高精度 BSL-4 实验室虚拟场景，集成力反馈手套、压力传感服等外设，实现防护服穿脱、生物安全柜操作等 12 类高风险操作的沉浸式训练。实测数据显示，学员操作合规率从传统培训的 68% 提升至 89.7%，应急响应时间缩短 42%[</w:t>
      </w:r>
      <w:r>
        <w:rPr>
          <w:rFonts w:hint="default"/>
          <w:sz w:val="24"/>
          <w:szCs w:val="21"/>
          <w:lang w:eastAsia="zh-Hans"/>
        </w:rPr>
        <w:t>8</w:t>
      </w:r>
      <w:r>
        <w:rPr>
          <w:rFonts w:hint="eastAsia"/>
          <w:sz w:val="24"/>
          <w:szCs w:val="21"/>
          <w:lang w:val="en-US" w:eastAsia="zh-Hans"/>
        </w:rPr>
        <w:t>]。该系统已纳入国家卫健委《高等级生物安全实验室人员培训大纲》指定教具。在应急演练技术创新方面，山东艾克斯尔公司与军事科学院合作开发的 MR 病原体泄漏处置系统，基于 Hololens 2 实现真实场景与虚拟数据的深度融合。演练中，系统可动态生成不同浓度的 “虚拟病毒云”，并通过 UWB 定位技术实现 10cm 级精度的人员位置追踪。王新台等在 5G+XR 协同架构研究中提出，通过边缘计算节点将延迟控制在 50ms 以内，支持远程专家实时标注指导，使复杂场景下的决策效率提升 65%[</w:t>
      </w:r>
      <w:r>
        <w:rPr>
          <w:rFonts w:hint="default"/>
          <w:sz w:val="24"/>
          <w:szCs w:val="21"/>
          <w:lang w:eastAsia="zh-Hans"/>
        </w:rPr>
        <w:t>9</w:t>
      </w:r>
      <w:r>
        <w:rPr>
          <w:rFonts w:hint="eastAsia"/>
          <w:sz w:val="24"/>
          <w:szCs w:val="21"/>
          <w:lang w:val="en-US" w:eastAsia="zh-Hans"/>
        </w:rPr>
        <w:t>]。清华大学团队研发的应急资源调度系统，通过数字孪生模型实时映射 300 + 防护物资位置，结合强化学习算法优化路径规划，将物资调配时间从平均 15 分钟缩短至 5 分钟 [</w:t>
      </w:r>
      <w:r>
        <w:rPr>
          <w:rFonts w:hint="default"/>
          <w:sz w:val="24"/>
          <w:szCs w:val="21"/>
          <w:lang w:eastAsia="zh-Hans"/>
        </w:rPr>
        <w:t>10</w:t>
      </w:r>
      <w:r>
        <w:rPr>
          <w:rFonts w:hint="eastAsia"/>
          <w:sz w:val="24"/>
          <w:szCs w:val="21"/>
          <w:lang w:val="en-US" w:eastAsia="zh-Hans"/>
        </w:rPr>
        <w:t>]。</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eastAsia="zh-Hans"/>
        </w:rPr>
      </w:pPr>
      <w:r>
        <w:rPr>
          <w:rFonts w:hint="eastAsia"/>
          <w:sz w:val="24"/>
          <w:szCs w:val="21"/>
          <w:lang w:val="en-US" w:eastAsia="zh-Hans"/>
        </w:rPr>
        <w:t>国家层面通过“十四五”国家重点研发计划、《生物安全法》实施细则等政策，明确将 “数字孪生 + 生物安全” 列为战略发展方向。</w:t>
      </w:r>
      <w:r>
        <w:rPr>
          <w:rFonts w:hint="default"/>
          <w:sz w:val="24"/>
          <w:szCs w:val="21"/>
          <w:lang w:eastAsia="zh-Hans"/>
        </w:rPr>
        <w:t>2023</w:t>
      </w:r>
      <w:r>
        <w:rPr>
          <w:rFonts w:hint="eastAsia"/>
          <w:sz w:val="24"/>
          <w:szCs w:val="21"/>
          <w:lang w:val="en-US" w:eastAsia="zh-Hans"/>
        </w:rPr>
        <w:t>年立项的“高等级生物安全实验室智能管理关键技术”专项，聚焦解决多模态数据融合（设备运行数据、环境参数、人员行为轨迹）技术瓶颈，其成果在上海 P4 实验室试点中实现 200 + 设备状态的秒级同步 [</w:t>
      </w:r>
      <w:r>
        <w:rPr>
          <w:rFonts w:hint="default"/>
          <w:sz w:val="24"/>
          <w:szCs w:val="21"/>
          <w:lang w:eastAsia="zh-Hans"/>
        </w:rPr>
        <w:t>11</w:t>
      </w:r>
      <w:r>
        <w:rPr>
          <w:rFonts w:hint="eastAsia"/>
          <w:sz w:val="24"/>
          <w:szCs w:val="21"/>
          <w:lang w:val="en-US" w:eastAsia="zh-Hans"/>
        </w:rPr>
        <w:t>]。《数字孪生（英文）》期刊开设的 “生物安全专刊” 收录了中科院上海高等研究院提出的实验室数字孪生成熟度模型，将技术应用分为数据可视化、流程模拟、自主决策三个阶段，为行业实施提供了标准化参考框架 [</w:t>
      </w:r>
      <w:r>
        <w:rPr>
          <w:rFonts w:hint="default"/>
          <w:sz w:val="24"/>
          <w:szCs w:val="21"/>
          <w:lang w:eastAsia="zh-Hans"/>
        </w:rPr>
        <w:t>12</w:t>
      </w:r>
      <w:r>
        <w:rPr>
          <w:rFonts w:hint="eastAsia"/>
          <w:sz w:val="24"/>
          <w:szCs w:val="21"/>
          <w:lang w:val="en-US" w:eastAsia="zh-Hans"/>
        </w:rPr>
        <w:t>]。</w:t>
      </w:r>
    </w:p>
    <w:p>
      <w:pPr>
        <w:pageBreakBefore w:val="0"/>
        <w:kinsoku/>
        <w:wordWrap/>
        <w:overflowPunct/>
        <w:topLinePunct w:val="0"/>
        <w:autoSpaceDE/>
        <w:autoSpaceDN/>
        <w:bidi w:val="0"/>
        <w:adjustRightInd/>
        <w:snapToGrid w:val="0"/>
        <w:spacing w:line="400" w:lineRule="exact"/>
        <w:ind w:left="0" w:leftChars="0" w:right="0" w:rightChars="0"/>
        <w:textAlignment w:val="auto"/>
        <w:outlineLvl w:val="2"/>
        <w:rPr>
          <w:rFonts w:hint="eastAsia" w:eastAsia="黑体"/>
          <w:sz w:val="30"/>
          <w:szCs w:val="30"/>
          <w:lang w:val="en-US" w:eastAsia="zh-Hans"/>
        </w:rPr>
      </w:pPr>
      <w:r>
        <w:rPr>
          <w:rFonts w:eastAsia="黑体"/>
          <w:sz w:val="30"/>
          <w:szCs w:val="30"/>
        </w:rPr>
        <w:t>2.1.2</w:t>
      </w:r>
      <w:r>
        <w:rPr>
          <w:rFonts w:hint="eastAsia" w:eastAsia="黑体"/>
          <w:sz w:val="28"/>
          <w:szCs w:val="28"/>
          <w:lang w:val="en-US" w:eastAsia="zh-Hans"/>
        </w:rPr>
        <w:t>国外研究现状</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国际研究中，数字孪生已从单一设备监控升级为全系统智能决策。美国陆军传染病医学研究所（USAMRIID）开发的 “雅典娜” 数字孪生平台，集成 127 个生物安全传感器与 AI 风险评估模型，通过迁移学习技术分析历史泄漏事件，将 BSL-4 实验室风险预警准确率提升至 95.6%。该系统可自动生成三级应急响应预案，在模拟电力中断场景中，将通风系统切换时间从 300 秒缩短至 45 秒</w:t>
      </w:r>
      <w:r>
        <w:rPr>
          <w:rFonts w:hint="default"/>
          <w:sz w:val="24"/>
          <w:szCs w:val="21"/>
          <w:lang w:eastAsia="zh-Hans"/>
        </w:rPr>
        <w:t>[13]</w:t>
      </w:r>
      <w:r>
        <w:rPr>
          <w:rFonts w:hint="eastAsia"/>
          <w:sz w:val="24"/>
          <w:szCs w:val="21"/>
          <w:lang w:val="en-US" w:eastAsia="zh-Hans"/>
        </w:rPr>
        <w:t>。欧洲研究团队在里昂 BSL-4 实验室的实践中，通过数字孪生模型优化气流组织，使核心区负压梯度波动范围从 ±5Pa 降至 ±1Pa，能耗降低 28%[</w:t>
      </w:r>
      <w:r>
        <w:rPr>
          <w:rFonts w:hint="default"/>
          <w:sz w:val="24"/>
          <w:szCs w:val="21"/>
          <w:lang w:eastAsia="zh-Hans"/>
        </w:rPr>
        <w:t>14</w:t>
      </w:r>
      <w:r>
        <w:rPr>
          <w:rFonts w:hint="eastAsia"/>
          <w:sz w:val="24"/>
          <w:szCs w:val="21"/>
          <w:lang w:val="en-US" w:eastAsia="zh-Hans"/>
        </w:rPr>
        <w:t>]。德国亥姆霍兹感染研究中心开发的数字孪生运维平台，引入数字线程技术整合设备全生命周期数据，实现生物安全柜滤芯更换、灭菌锅效能验证等 18 类维护任务的自动化调度，维护效率提升 40%[1</w:t>
      </w:r>
      <w:r>
        <w:rPr>
          <w:rFonts w:hint="default"/>
          <w:sz w:val="24"/>
          <w:szCs w:val="21"/>
          <w:lang w:eastAsia="zh-Hans"/>
        </w:rPr>
        <w:t>5</w:t>
      </w:r>
      <w:r>
        <w:rPr>
          <w:rFonts w:hint="eastAsia"/>
          <w:sz w:val="24"/>
          <w:szCs w:val="21"/>
          <w:lang w:val="en-US" w:eastAsia="zh-Hans"/>
        </w:rPr>
        <w:t>]。</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美国疾控中心（CDC）主导的 “虚拟生物安全走廊” 项目，利用 VR 技术构建埃博拉、猴痘病毒等高风险实验场景，通过眼球追踪与肌电传感器分析学员操作压力值，生成个性化能力评估报告。《JMIR Medical Education》研究显示，该系统使操作记忆留存率提升至 91.2%，较传统培训方式提高 48%[1</w:t>
      </w:r>
      <w:r>
        <w:rPr>
          <w:rFonts w:hint="default"/>
          <w:sz w:val="24"/>
          <w:szCs w:val="21"/>
          <w:lang w:eastAsia="zh-Hans"/>
        </w:rPr>
        <w:t>6</w:t>
      </w:r>
      <w:r>
        <w:rPr>
          <w:rFonts w:hint="eastAsia"/>
          <w:sz w:val="24"/>
          <w:szCs w:val="21"/>
          <w:lang w:val="en-US" w:eastAsia="zh-Hans"/>
        </w:rPr>
        <w:t>]。约翰霍普金斯大学开发的 AR 辅助系统，通过实时语义分割技术识别实验室设备，自动弹出操作指南与安全规程，将新手误操作率从 22% 降至 9.5%[1</w:t>
      </w:r>
      <w:r>
        <w:rPr>
          <w:rFonts w:hint="default"/>
          <w:sz w:val="24"/>
          <w:szCs w:val="21"/>
          <w:lang w:eastAsia="zh-Hans"/>
        </w:rPr>
        <w:t>7</w:t>
      </w:r>
      <w:r>
        <w:rPr>
          <w:rFonts w:hint="eastAsia"/>
          <w:sz w:val="24"/>
          <w:szCs w:val="21"/>
          <w:lang w:val="en-US" w:eastAsia="zh-Hans"/>
        </w:rPr>
        <w:t>]。英国公共卫生部（PHE）的 MR 应急演练平台支持跨地域多团队协同，通过数字孪生实时同步实验室真实数据（如压差、温湿度），可动态调整泄漏规模、扩散速度等参数。《Safety Science》案例显示，参与沉浸式演练的团队在真实事故中的决策正确率比未参与团队高 39%，且响应时间缩短 27%[1</w:t>
      </w:r>
      <w:r>
        <w:rPr>
          <w:rFonts w:hint="default"/>
          <w:sz w:val="24"/>
          <w:szCs w:val="21"/>
          <w:lang w:eastAsia="zh-Hans"/>
        </w:rPr>
        <w:t>8</w:t>
      </w:r>
      <w:r>
        <w:rPr>
          <w:rFonts w:hint="eastAsia"/>
          <w:sz w:val="24"/>
          <w:szCs w:val="21"/>
          <w:lang w:val="en-US" w:eastAsia="zh-Hans"/>
        </w:rPr>
        <w:t>]。</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国际标准化组织（ISO）于 2023 年发布《ISO/TS 24643:2023 实验室数字孪生技术指南》，明确生物安全实验室数字孪生模型需包含几何建模（精度≤2mm）、实时数据交互（延迟≤100ms）、风险评估算法等核心要素 [1</w:t>
      </w:r>
      <w:r>
        <w:rPr>
          <w:rFonts w:hint="default"/>
          <w:sz w:val="24"/>
          <w:szCs w:val="21"/>
          <w:lang w:eastAsia="zh-Hans"/>
        </w:rPr>
        <w:t>9</w:t>
      </w:r>
      <w:r>
        <w:rPr>
          <w:rFonts w:hint="eastAsia"/>
          <w:sz w:val="24"/>
          <w:szCs w:val="21"/>
          <w:lang w:val="en-US" w:eastAsia="zh-Hans"/>
        </w:rPr>
        <w:t>]。欧盟《生物安全 2030 战略》要求成员国 BSL-3/4 实验室在 2025 年前完成数字孪生系统部署，并配套 2 亿欧元专项基金用于技术研发 [</w:t>
      </w:r>
      <w:r>
        <w:rPr>
          <w:rFonts w:hint="default"/>
          <w:sz w:val="24"/>
          <w:szCs w:val="21"/>
          <w:lang w:eastAsia="zh-Hans"/>
        </w:rPr>
        <w:t>20</w:t>
      </w:r>
      <w:r>
        <w:rPr>
          <w:rFonts w:hint="eastAsia"/>
          <w:sz w:val="24"/>
          <w:szCs w:val="21"/>
          <w:lang w:val="en-US" w:eastAsia="zh-Hans"/>
        </w:rPr>
        <w:t>]。美国 FDA 在 2024 年更新的《生物制药设施指南》中，强制要求高等级实验室采用数字孪生技术进行年度风险评估，相关合规性审查已纳入 P4 实验室认证流程 [</w:t>
      </w:r>
      <w:r>
        <w:rPr>
          <w:rFonts w:hint="default"/>
          <w:sz w:val="24"/>
          <w:szCs w:val="21"/>
          <w:lang w:eastAsia="zh-Hans"/>
        </w:rPr>
        <w:t>21</w:t>
      </w:r>
      <w:r>
        <w:rPr>
          <w:rFonts w:hint="eastAsia"/>
          <w:sz w:val="24"/>
          <w:szCs w:val="21"/>
          <w:lang w:val="en-US" w:eastAsia="zh-Hans"/>
        </w:rPr>
        <w:t>]。</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ind w:left="0" w:leftChars="0" w:right="0" w:rightChars="0" w:firstLine="0" w:firstLineChars="0"/>
        <w:jc w:val="both"/>
        <w:textAlignment w:val="auto"/>
        <w:outlineLvl w:val="1"/>
        <w:rPr>
          <w:rFonts w:eastAsia="黑体"/>
          <w:sz w:val="30"/>
          <w:szCs w:val="30"/>
        </w:rPr>
      </w:pPr>
      <w:r>
        <w:rPr>
          <w:rFonts w:eastAsia="黑体"/>
          <w:sz w:val="30"/>
          <w:szCs w:val="30"/>
        </w:rPr>
        <w:t>2.</w:t>
      </w:r>
      <w:r>
        <w:rPr>
          <w:rFonts w:hint="eastAsia" w:eastAsia="黑体"/>
          <w:sz w:val="30"/>
          <w:szCs w:val="30"/>
        </w:rPr>
        <w:t>2</w:t>
      </w:r>
      <w:r>
        <w:rPr>
          <w:rFonts w:eastAsia="黑体"/>
          <w:sz w:val="30"/>
          <w:szCs w:val="30"/>
        </w:rPr>
        <w:t>现有研究存在问题及本文改进的思路</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目前数字孪生已在很多实验室有所应用，但xr技术仍未在相关领域得到发展。而对于数字孪生和xr技术的融合应用仍停留在表面，多数研究只是简单地将数字孪生模型与 XR 交互界面进行拼接，没有充分发挥两者的协同优势，在一些实验室设备操作培训中，数字孪生模型对设备内部运行原理的展示与 XR 沉浸式体验未能深度融合，导致学员无法在沉浸式环境中实时获取设备运行数据的深度解读，以至培训效果受限，操作熟练度提升缓慢。</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现有数字孪生和 XR 技术的应用多借鉴工业、医疗等其他领域的经验，未充分考虑高等级生物安全实验室的特殊需求。在模拟生物气溶胶扩散、病原体传播等关键场景时，模型的准确性和可靠性不足。例如，对气溶胶在复杂实验室气流环境中的扩散模拟，未能精准考虑不同材质表面对气溶胶的吸附、反射等影响因素，使得风险评估存在偏差，无法为实验室安全管理提供精准依据。</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针对以上的问题，本文提出构建 “深度融合技术框架”，将数字孪生的精准建模与数据实时交互能力，与 XR 的沉浸式体验、自然交互优势紧密结合。在实验室设备维护培训中，利用 XR 技术创建高度拟真的设备维护场景，学员可以在虚拟环境中 “拆解” 设备，同时数字孪生模型实时呈现设备内部各部件的运行数据、历史维护记录以及故障预警信息，实现知识获取与实践操作的深度融合，提高培训效果和维护效率。针对高等级生物安全实验室特殊场景，将会线下实体数据采集，综合考虑气溶胶扩散、病原体传播、温湿度变化以及设备运行对环境的影响等因素，并结合行业专家的建议构建更精准的生物安全风险评估模型，提高模型的可靠性。</w:t>
      </w:r>
    </w:p>
    <w:p>
      <w:pPr>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400" w:lineRule="exact"/>
        <w:ind w:left="0" w:leftChars="0" w:right="0" w:rightChars="0" w:firstLine="0" w:firstLineChars="0"/>
        <w:jc w:val="both"/>
        <w:textAlignment w:val="auto"/>
        <w:outlineLvl w:val="0"/>
        <w:rPr>
          <w:rFonts w:hint="eastAsia" w:eastAsia="黑体"/>
          <w:sz w:val="32"/>
          <w:szCs w:val="32"/>
        </w:rPr>
      </w:pPr>
      <w:r>
        <w:rPr>
          <w:rFonts w:hint="eastAsia" w:eastAsia="黑体"/>
          <w:sz w:val="32"/>
          <w:szCs w:val="32"/>
        </w:rPr>
        <w:t>学位论文的研究内容、实施方案及其可行性论证</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ind w:left="0" w:leftChars="0" w:right="0" w:rightChars="0" w:firstLine="0" w:firstLineChars="0"/>
        <w:jc w:val="both"/>
        <w:textAlignment w:val="auto"/>
        <w:outlineLvl w:val="1"/>
        <w:rPr>
          <w:rFonts w:eastAsia="黑体"/>
          <w:sz w:val="30"/>
          <w:szCs w:val="30"/>
        </w:rPr>
      </w:pPr>
      <w:r>
        <w:rPr>
          <w:rFonts w:eastAsia="黑体"/>
          <w:sz w:val="30"/>
          <w:szCs w:val="30"/>
        </w:rPr>
        <w:t>3.1主要研究内容</w:t>
      </w:r>
    </w:p>
    <w:p>
      <w:pPr>
        <w:pageBreakBefore w:val="0"/>
        <w:kinsoku/>
        <w:wordWrap/>
        <w:overflowPunct/>
        <w:topLinePunct w:val="0"/>
        <w:autoSpaceDE/>
        <w:autoSpaceDN/>
        <w:bidi w:val="0"/>
        <w:adjustRightInd/>
        <w:snapToGrid w:val="0"/>
        <w:spacing w:line="400" w:lineRule="exact"/>
        <w:ind w:left="0" w:leftChars="0" w:right="0" w:rightChars="0"/>
        <w:textAlignment w:val="auto"/>
        <w:outlineLvl w:val="2"/>
        <w:rPr>
          <w:rFonts w:hint="eastAsia" w:ascii="Heiti SC Light" w:hAnsi="Heiti SC Light" w:eastAsia="Heiti SC Light" w:cs="Heiti SC Light"/>
          <w:sz w:val="28"/>
          <w:szCs w:val="28"/>
          <w:lang w:val="en-US" w:eastAsia="zh-Hans"/>
        </w:rPr>
      </w:pPr>
      <w:r>
        <w:rPr>
          <w:rFonts w:hint="eastAsia" w:ascii="Heiti SC Light" w:hAnsi="Heiti SC Light" w:eastAsia="Heiti SC Light" w:cs="Heiti SC Light"/>
          <w:sz w:val="28"/>
          <w:szCs w:val="28"/>
        </w:rPr>
        <w:t>3.1.1</w:t>
      </w:r>
      <w:r>
        <w:rPr>
          <w:rFonts w:hint="eastAsia" w:eastAsia="黑体"/>
          <w:sz w:val="28"/>
          <w:szCs w:val="28"/>
          <w:lang w:val="en-US" w:eastAsia="zh-Hans"/>
        </w:rPr>
        <w:t>数字孪生系统构建</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ascii="Heiti SC Light" w:hAnsi="Heiti SC Light" w:eastAsia="Heiti SC Light" w:cs="Heiti SC Light"/>
          <w:sz w:val="28"/>
          <w:szCs w:val="28"/>
          <w:lang w:val="en-US" w:eastAsia="zh-Hans"/>
        </w:rPr>
      </w:pPr>
      <w:r>
        <w:rPr>
          <w:rFonts w:hint="eastAsia"/>
          <w:sz w:val="24"/>
          <w:lang w:val="en-US" w:eastAsia="zh-Hans"/>
        </w:rPr>
        <w:t>首先</w:t>
      </w:r>
      <w:r>
        <w:rPr>
          <w:rFonts w:hint="eastAsia"/>
          <w:sz w:val="24"/>
        </w:rPr>
        <w:t>采用</w:t>
      </w:r>
      <w:r>
        <w:rPr>
          <w:rFonts w:hint="eastAsia"/>
          <w:sz w:val="24"/>
          <w:lang w:val="en-US" w:eastAsia="zh-Hans"/>
        </w:rPr>
        <w:t>文献研究法结合</w:t>
      </w:r>
      <w:r>
        <w:rPr>
          <w:rFonts w:hint="eastAsia"/>
          <w:sz w:val="24"/>
        </w:rPr>
        <w:t>专家访谈法，咨询行业内的技术专家与工程管理人员，获取他们对建模精度、设备参数以及系统功能等方面的专业建议，确保所构建的数字孪生模型能够满足</w:t>
      </w:r>
      <w:r>
        <w:rPr>
          <w:rFonts w:hint="eastAsia"/>
          <w:sz w:val="24"/>
          <w:lang w:val="en-US" w:eastAsia="zh-Hans"/>
        </w:rPr>
        <w:t>p</w:t>
      </w:r>
      <w:r>
        <w:rPr>
          <w:rFonts w:hint="default"/>
          <w:sz w:val="24"/>
          <w:lang w:eastAsia="zh-Hans"/>
        </w:rPr>
        <w:t>4</w:t>
      </w:r>
      <w:r>
        <w:rPr>
          <w:rFonts w:hint="eastAsia"/>
          <w:sz w:val="24"/>
        </w:rPr>
        <w:t>实验室运营的</w:t>
      </w:r>
      <w:r>
        <w:rPr>
          <w:rFonts w:hint="eastAsia"/>
          <w:sz w:val="24"/>
          <w:lang w:val="en-US" w:eastAsia="zh-Hans"/>
        </w:rPr>
        <w:t>生物工程</w:t>
      </w:r>
      <w:r>
        <w:rPr>
          <w:rFonts w:hint="eastAsia"/>
          <w:sz w:val="24"/>
        </w:rPr>
        <w:t>管理需求。</w:t>
      </w:r>
      <w:r>
        <w:rPr>
          <w:rFonts w:hint="eastAsia"/>
          <w:sz w:val="24"/>
          <w:lang w:val="en-US" w:eastAsia="zh-Hans"/>
        </w:rPr>
        <w:t>再</w:t>
      </w:r>
      <w:r>
        <w:rPr>
          <w:rFonts w:hint="eastAsia"/>
          <w:sz w:val="24"/>
        </w:rPr>
        <w:t>运用高精度3D建模技术，完成高等级生物安全实验室的楼宇空间和实验室设备建模，涵盖楼道、实验设备及其相关参数（如设备尺寸、型号、性能指标等），确保虚拟模型与现实实验室在比例、尺寸及布局上的一致性。</w:t>
      </w:r>
      <w:r>
        <w:rPr>
          <w:rFonts w:hint="eastAsia"/>
          <w:sz w:val="24"/>
          <w:lang w:val="en-US" w:eastAsia="zh-Hans"/>
        </w:rPr>
        <w:t>采用</w:t>
      </w:r>
      <w:r>
        <w:rPr>
          <w:rFonts w:hint="eastAsia"/>
          <w:sz w:val="24"/>
        </w:rPr>
        <w:t>BIM技术和数据集成方法，将3D模型与实验室设备的静态信息（如设备说明书、维护手册等）进行集成，构建完整的数字孪生系统。</w:t>
      </w:r>
      <w:r>
        <w:rPr>
          <w:rFonts w:hint="eastAsia"/>
          <w:sz w:val="24"/>
          <w:lang w:val="en-US" w:eastAsia="zh-Hans"/>
        </w:rPr>
        <w:t>最后</w:t>
      </w:r>
      <w:r>
        <w:rPr>
          <w:rFonts w:hint="eastAsia"/>
          <w:sz w:val="24"/>
        </w:rPr>
        <w:t>利用实验研究法，模拟实验室在不同工况下的运行状态，验证数字孪生系统在虚拟仿真中的可行性和有效性。通过与实际实验室设备参数和布局的对比分析，评估数字孪生系统在提前识别潜在问题、优化资源配置以及提升管理效率等方面的实际效果，为</w:t>
      </w:r>
      <w:r>
        <w:rPr>
          <w:rFonts w:hint="eastAsia"/>
          <w:sz w:val="24"/>
          <w:lang w:val="en-US" w:eastAsia="zh-Hans"/>
        </w:rPr>
        <w:t>后续的p</w:t>
      </w:r>
      <w:r>
        <w:rPr>
          <w:rFonts w:hint="default"/>
          <w:sz w:val="24"/>
          <w:lang w:eastAsia="zh-Hans"/>
        </w:rPr>
        <w:t>4</w:t>
      </w:r>
      <w:r>
        <w:rPr>
          <w:rFonts w:hint="eastAsia"/>
          <w:sz w:val="24"/>
        </w:rPr>
        <w:t>实验室的工程管理</w:t>
      </w:r>
      <w:r>
        <w:rPr>
          <w:rFonts w:hint="eastAsia"/>
          <w:sz w:val="24"/>
          <w:lang w:val="en-US" w:eastAsia="zh-Hans"/>
        </w:rPr>
        <w:t>优化</w:t>
      </w:r>
      <w:r>
        <w:rPr>
          <w:rFonts w:hint="eastAsia"/>
          <w:sz w:val="24"/>
        </w:rPr>
        <w:t>提供科学依据和决策支持，减少后期调整成本，提高实验室的整体运营效益。</w:t>
      </w:r>
    </w:p>
    <w:p>
      <w:pPr>
        <w:pageBreakBefore w:val="0"/>
        <w:kinsoku/>
        <w:wordWrap/>
        <w:overflowPunct/>
        <w:topLinePunct w:val="0"/>
        <w:autoSpaceDE/>
        <w:autoSpaceDN/>
        <w:bidi w:val="0"/>
        <w:adjustRightInd/>
        <w:snapToGrid w:val="0"/>
        <w:spacing w:line="400" w:lineRule="exact"/>
        <w:ind w:left="0" w:leftChars="0" w:right="0" w:rightChars="0"/>
        <w:textAlignment w:val="auto"/>
        <w:outlineLvl w:val="2"/>
        <w:rPr>
          <w:rFonts w:hint="eastAsia" w:ascii="Heiti SC Light" w:hAnsi="Heiti SC Light" w:eastAsia="Heiti SC Light" w:cs="Heiti SC Light"/>
          <w:sz w:val="28"/>
          <w:szCs w:val="28"/>
          <w:lang w:val="en-US" w:eastAsia="zh-Hans"/>
        </w:rPr>
      </w:pPr>
      <w:r>
        <w:rPr>
          <w:rFonts w:hint="eastAsia" w:ascii="Heiti SC Light" w:hAnsi="Heiti SC Light" w:eastAsia="Heiti SC Light" w:cs="Heiti SC Light"/>
          <w:sz w:val="28"/>
          <w:szCs w:val="28"/>
          <w:lang w:eastAsia="zh-Hans"/>
        </w:rPr>
        <w:t xml:space="preserve">3.1.2 </w:t>
      </w:r>
      <w:r>
        <w:rPr>
          <w:rFonts w:hint="eastAsia" w:eastAsia="黑体"/>
          <w:sz w:val="28"/>
          <w:szCs w:val="28"/>
          <w:lang w:val="en-US" w:eastAsia="zh-Hans"/>
        </w:rPr>
        <w:t>XR技术构建漫游场景</w:t>
      </w:r>
    </w:p>
    <w:p>
      <w:pPr>
        <w:keepNext w:val="0"/>
        <w:keepLines w:val="0"/>
        <w:pageBreakBefore w:val="0"/>
        <w:widowControl w:val="0"/>
        <w:kinsoku/>
        <w:wordWrap/>
        <w:overflowPunct/>
        <w:topLinePunct w:val="0"/>
        <w:autoSpaceDE/>
        <w:autoSpaceDN/>
        <w:bidi w:val="0"/>
        <w:adjustRightInd/>
        <w:snapToGrid w:val="0"/>
        <w:spacing w:line="400" w:lineRule="exact"/>
        <w:ind w:left="0" w:leftChars="0" w:right="0" w:rightChars="0" w:firstLine="420" w:firstLineChars="0"/>
        <w:jc w:val="both"/>
        <w:textAlignment w:val="auto"/>
        <w:outlineLvl w:val="9"/>
        <w:rPr>
          <w:rFonts w:hint="eastAsia" w:ascii="Heiti SC Light" w:hAnsi="Heiti SC Light" w:eastAsia="Heiti SC Light" w:cs="Heiti SC Light"/>
          <w:sz w:val="28"/>
          <w:szCs w:val="28"/>
          <w:lang w:val="en-US" w:eastAsia="zh-Hans"/>
        </w:rPr>
      </w:pPr>
      <w:r>
        <w:rPr>
          <w:rFonts w:hint="eastAsia"/>
          <w:sz w:val="24"/>
          <w:lang w:val="en-US" w:eastAsia="zh-Hans"/>
        </w:rPr>
        <w:t>本文将基于已经构建的</w:t>
      </w:r>
      <w:r>
        <w:rPr>
          <w:rFonts w:hint="default"/>
          <w:sz w:val="24"/>
          <w:lang w:eastAsia="zh-Hans"/>
        </w:rPr>
        <w:t>3</w:t>
      </w:r>
      <w:r>
        <w:rPr>
          <w:rFonts w:hint="eastAsia"/>
          <w:sz w:val="24"/>
          <w:lang w:val="en-US" w:eastAsia="zh-Hans"/>
        </w:rPr>
        <w:t>d模型，使用</w:t>
      </w:r>
      <w:r>
        <w:rPr>
          <w:rFonts w:hint="default"/>
          <w:sz w:val="24"/>
          <w:lang w:eastAsia="zh-Hans"/>
        </w:rPr>
        <w:t>U</w:t>
      </w:r>
      <w:r>
        <w:rPr>
          <w:rFonts w:hint="eastAsia"/>
          <w:sz w:val="24"/>
          <w:lang w:val="en-US" w:eastAsia="zh-Hans"/>
        </w:rPr>
        <w:t>nity和Unreal Engine等XR开发平台，构建VR和PC端虚拟漫游场景。借助实验研究法，模拟科研和管理人员的操作流程，探讨如何优化p</w:t>
      </w:r>
      <w:r>
        <w:rPr>
          <w:rFonts w:hint="default"/>
          <w:sz w:val="24"/>
          <w:lang w:eastAsia="zh-Hans"/>
        </w:rPr>
        <w:t>4</w:t>
      </w:r>
      <w:r>
        <w:rPr>
          <w:rFonts w:hint="eastAsia"/>
          <w:sz w:val="24"/>
          <w:lang w:val="en-US" w:eastAsia="zh-Hans"/>
        </w:rPr>
        <w:t>实验室规划与培训以及如何通过虚拟漫游，进行设备操作和安全培训，提升操作熟练度与安全性。并且在VR端，采用优化渲染和交互设计技术，提升沉浸式体验；在PC端，研究高效加载技术，缩短初始化时间。运用用户中心设计法，分析用户需求，设计激励机制，鼓励技术应用，提高培训和操作效率。</w:t>
      </w:r>
    </w:p>
    <w:p>
      <w:pPr>
        <w:pageBreakBefore w:val="0"/>
        <w:kinsoku/>
        <w:wordWrap/>
        <w:overflowPunct/>
        <w:topLinePunct w:val="0"/>
        <w:autoSpaceDE/>
        <w:autoSpaceDN/>
        <w:bidi w:val="0"/>
        <w:adjustRightInd/>
        <w:snapToGrid w:val="0"/>
        <w:spacing w:line="400" w:lineRule="exact"/>
        <w:ind w:left="0" w:leftChars="0" w:right="0" w:rightChars="0"/>
        <w:textAlignment w:val="auto"/>
        <w:outlineLvl w:val="2"/>
        <w:rPr>
          <w:rFonts w:hint="eastAsia" w:ascii="Heiti SC Light" w:hAnsi="Heiti SC Light" w:eastAsia="Heiti SC Light" w:cs="Heiti SC Light"/>
          <w:sz w:val="28"/>
          <w:szCs w:val="28"/>
          <w:lang w:eastAsia="zh-Hans"/>
        </w:rPr>
      </w:pPr>
      <w:r>
        <w:rPr>
          <w:rFonts w:hint="eastAsia" w:ascii="Heiti SC Light" w:hAnsi="Heiti SC Light" w:eastAsia="Heiti SC Light" w:cs="Heiti SC Light"/>
          <w:sz w:val="28"/>
          <w:szCs w:val="28"/>
          <w:lang w:eastAsia="zh-Hans"/>
        </w:rPr>
        <w:t>3.1.3</w:t>
      </w:r>
      <w:r>
        <w:rPr>
          <w:rFonts w:hint="eastAsia" w:eastAsia="黑体"/>
          <w:sz w:val="28"/>
          <w:szCs w:val="28"/>
          <w:lang w:val="en-US" w:eastAsia="zh-Hans"/>
        </w:rPr>
        <w:t>实时监控与安全管理</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ascii="Heiti SC Light" w:hAnsi="Heiti SC Light" w:eastAsia="Heiti SC Light" w:cs="Heiti SC Light"/>
          <w:sz w:val="28"/>
          <w:szCs w:val="28"/>
          <w:lang w:eastAsia="zh-Hans"/>
        </w:rPr>
      </w:pPr>
      <w:r>
        <w:rPr>
          <w:rFonts w:hint="eastAsia"/>
          <w:sz w:val="24"/>
          <w:lang w:val="en-US" w:eastAsia="zh-Hans"/>
        </w:rPr>
        <w:t>最后根据已经搭建好的数字孪生系统，对接p</w:t>
      </w:r>
      <w:r>
        <w:rPr>
          <w:rFonts w:hint="default"/>
          <w:sz w:val="24"/>
          <w:lang w:eastAsia="zh-Hans"/>
        </w:rPr>
        <w:t>4</w:t>
      </w:r>
      <w:r>
        <w:rPr>
          <w:rFonts w:hint="eastAsia"/>
          <w:sz w:val="24"/>
          <w:lang w:val="en-US" w:eastAsia="zh-Hans"/>
        </w:rPr>
        <w:t>实验室运行数据，对实验室实时监控，进行及时预警和发现潜在风险的研究。再融合XR技术创建沉浸式应急演练环境，运用实验研究法模拟应急场景，提升安全管理人员的响应能力。通过实证分析，评估演练效果，对实验室的生物工程管理过程进行优化。</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ind w:left="0" w:leftChars="0" w:right="0" w:rightChars="0" w:firstLine="0" w:firstLineChars="0"/>
        <w:jc w:val="both"/>
        <w:textAlignment w:val="auto"/>
        <w:outlineLvl w:val="1"/>
        <w:rPr>
          <w:rFonts w:eastAsia="黑体"/>
          <w:sz w:val="30"/>
          <w:szCs w:val="30"/>
        </w:rPr>
      </w:pPr>
      <w:r>
        <w:rPr>
          <w:rFonts w:eastAsia="黑体"/>
          <w:sz w:val="30"/>
          <w:szCs w:val="30"/>
        </w:rPr>
        <w:t>3.2实施方案及其可行性论证</w:t>
      </w:r>
    </w:p>
    <w:p>
      <w:pPr>
        <w:pageBreakBefore w:val="0"/>
        <w:kinsoku/>
        <w:wordWrap/>
        <w:overflowPunct/>
        <w:topLinePunct w:val="0"/>
        <w:autoSpaceDE/>
        <w:autoSpaceDN/>
        <w:bidi w:val="0"/>
        <w:adjustRightInd/>
        <w:snapToGrid w:val="0"/>
        <w:spacing w:line="400" w:lineRule="exact"/>
        <w:ind w:left="0" w:leftChars="0" w:right="0" w:rightChars="0"/>
        <w:textAlignment w:val="auto"/>
        <w:outlineLvl w:val="2"/>
        <w:rPr>
          <w:rFonts w:hint="eastAsia" w:ascii="Heiti SC Light" w:hAnsi="Heiti SC Light" w:eastAsia="Heiti SC Light" w:cs="Heiti SC Light"/>
          <w:sz w:val="28"/>
          <w:szCs w:val="28"/>
          <w:lang w:val="en-US" w:eastAsia="zh-Hans"/>
        </w:rPr>
      </w:pPr>
      <w:r>
        <w:rPr>
          <w:rFonts w:hint="eastAsia" w:ascii="Heiti SC Light" w:hAnsi="Heiti SC Light" w:eastAsia="Heiti SC Light" w:cs="Heiti SC Light"/>
          <w:sz w:val="28"/>
          <w:szCs w:val="28"/>
          <w:lang w:eastAsia="zh-Hans"/>
        </w:rPr>
        <w:t>3.</w:t>
      </w:r>
      <w:r>
        <w:rPr>
          <w:rFonts w:hint="default" w:ascii="Heiti SC Light" w:hAnsi="Heiti SC Light" w:eastAsia="Heiti SC Light" w:cs="Heiti SC Light"/>
          <w:sz w:val="28"/>
          <w:szCs w:val="28"/>
          <w:lang w:eastAsia="zh-Hans"/>
        </w:rPr>
        <w:t>2</w:t>
      </w:r>
      <w:r>
        <w:rPr>
          <w:rFonts w:hint="eastAsia" w:ascii="Heiti SC Light" w:hAnsi="Heiti SC Light" w:eastAsia="Heiti SC Light" w:cs="Heiti SC Light"/>
          <w:sz w:val="28"/>
          <w:szCs w:val="28"/>
          <w:lang w:eastAsia="zh-Hans"/>
        </w:rPr>
        <w:t>.</w:t>
      </w:r>
      <w:r>
        <w:rPr>
          <w:rFonts w:hint="default" w:ascii="Heiti SC Light" w:hAnsi="Heiti SC Light" w:eastAsia="Heiti SC Light" w:cs="Heiti SC Light"/>
          <w:sz w:val="28"/>
          <w:szCs w:val="28"/>
          <w:lang w:eastAsia="zh-Hans"/>
        </w:rPr>
        <w:t>1</w:t>
      </w:r>
      <w:r>
        <w:rPr>
          <w:rFonts w:hint="eastAsia" w:eastAsia="黑体"/>
          <w:sz w:val="28"/>
          <w:szCs w:val="28"/>
          <w:lang w:val="en-US" w:eastAsia="zh-Hans"/>
        </w:rPr>
        <w:t>研究方法</w:t>
      </w:r>
    </w:p>
    <w:p>
      <w:pPr>
        <w:pageBreakBefore w:val="0"/>
        <w:numPr>
          <w:ilvl w:val="0"/>
          <w:numId w:val="2"/>
        </w:numPr>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lang w:eastAsia="zh-Hans"/>
        </w:rPr>
      </w:pPr>
      <w:r>
        <w:rPr>
          <w:rFonts w:hint="eastAsia"/>
          <w:sz w:val="24"/>
          <w:lang w:eastAsia="zh-Hans"/>
        </w:rPr>
        <w:t>文献研究法：系统梳理数字孪生技术在工程管理领域的应用理论与方法，明确技术优势与潜力，为研究提供理论基础</w:t>
      </w:r>
    </w:p>
    <w:p>
      <w:pPr>
        <w:pageBreakBefore w:val="0"/>
        <w:numPr>
          <w:ilvl w:val="0"/>
          <w:numId w:val="2"/>
        </w:numPr>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lang w:val="en-US" w:eastAsia="zh-Hans"/>
        </w:rPr>
      </w:pPr>
      <w:r>
        <w:rPr>
          <w:rFonts w:hint="eastAsia"/>
          <w:sz w:val="24"/>
          <w:lang w:val="en-US" w:eastAsia="zh-Hans"/>
        </w:rPr>
        <w:t>专家访谈法：咨询行业内的技术专家与工程管理人员，获取专业建议与精确模型数据，确保数字孪生模型满足实验室工程管理需求</w:t>
      </w:r>
    </w:p>
    <w:p>
      <w:pPr>
        <w:pageBreakBefore w:val="0"/>
        <w:numPr>
          <w:ilvl w:val="0"/>
          <w:numId w:val="2"/>
        </w:numPr>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lang w:val="en-US" w:eastAsia="zh-Hans"/>
        </w:rPr>
      </w:pPr>
      <w:r>
        <w:rPr>
          <w:rFonts w:hint="eastAsia"/>
          <w:sz w:val="24"/>
          <w:lang w:val="en-US" w:eastAsia="zh-Hans"/>
        </w:rPr>
        <w:t>实验研究法：构建数字孪生模型，集成XR装置，开展虚拟漫游实验，验证技术应用的实际效果，评估系统性能与用户体验</w:t>
      </w:r>
    </w:p>
    <w:p>
      <w:pPr>
        <w:pageBreakBefore w:val="0"/>
        <w:numPr>
          <w:ilvl w:val="0"/>
          <w:numId w:val="2"/>
        </w:numPr>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lang w:val="en-US" w:eastAsia="zh-Hans"/>
        </w:rPr>
      </w:pPr>
      <w:r>
        <w:rPr>
          <w:rFonts w:hint="eastAsia"/>
          <w:sz w:val="24"/>
          <w:lang w:val="en-US" w:eastAsia="zh-Hans"/>
        </w:rPr>
        <w:t>利益相关者分析法：识别实验室管理方、技术团队、实验人员、政策部门等相关方，通过问卷 / 访谈收集需求（如管理方要风险预警、人员要培训体验），协调多方需求冲突（如技术复杂 vs 操作简便）</w:t>
      </w:r>
    </w:p>
    <w:p>
      <w:pPr>
        <w:pageBreakBefore w:val="0"/>
        <w:numPr>
          <w:ilvl w:val="0"/>
          <w:numId w:val="2"/>
        </w:numPr>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lang w:val="en-US" w:eastAsia="zh-Hans"/>
        </w:rPr>
      </w:pPr>
      <w:r>
        <w:rPr>
          <w:rFonts w:hint="eastAsia"/>
          <w:sz w:val="24"/>
          <w:lang w:val="en-US" w:eastAsia="zh-Hans"/>
        </w:rPr>
        <w:t>案例研究法：根据 P4 实验室为案例，收集管理流程、设备数据、操作痛点等资料，对比新技术应用前后的效果（如风险识别效率、培训合规率）</w:t>
      </w:r>
    </w:p>
    <w:p>
      <w:pPr>
        <w:pageBreakBefore w:val="0"/>
        <w:kinsoku/>
        <w:wordWrap/>
        <w:overflowPunct/>
        <w:topLinePunct w:val="0"/>
        <w:autoSpaceDE/>
        <w:autoSpaceDN/>
        <w:bidi w:val="0"/>
        <w:adjustRightInd/>
        <w:snapToGrid w:val="0"/>
        <w:spacing w:line="400" w:lineRule="exact"/>
        <w:ind w:left="0" w:leftChars="0" w:right="0" w:rightChars="0"/>
        <w:textAlignment w:val="auto"/>
        <w:outlineLvl w:val="2"/>
        <w:rPr>
          <w:rFonts w:hint="eastAsia" w:ascii="Heiti SC Light" w:hAnsi="Heiti SC Light" w:eastAsia="Heiti SC Light" w:cs="Heiti SC Light"/>
          <w:sz w:val="28"/>
          <w:szCs w:val="28"/>
          <w:lang w:val="en-US" w:eastAsia="zh-Hans"/>
        </w:rPr>
      </w:pPr>
      <w:r>
        <w:rPr>
          <w:rFonts w:hint="eastAsia" w:ascii="Heiti SC Light" w:hAnsi="Heiti SC Light" w:eastAsia="Heiti SC Light" w:cs="Heiti SC Light"/>
          <w:sz w:val="28"/>
          <w:szCs w:val="28"/>
          <w:lang w:eastAsia="zh-Hans"/>
        </w:rPr>
        <w:t>3.</w:t>
      </w:r>
      <w:r>
        <w:rPr>
          <w:rFonts w:hint="default" w:ascii="Heiti SC Light" w:hAnsi="Heiti SC Light" w:eastAsia="Heiti SC Light" w:cs="Heiti SC Light"/>
          <w:sz w:val="28"/>
          <w:szCs w:val="28"/>
          <w:lang w:eastAsia="zh-Hans"/>
        </w:rPr>
        <w:t>2</w:t>
      </w:r>
      <w:r>
        <w:rPr>
          <w:rFonts w:hint="eastAsia" w:ascii="Heiti SC Light" w:hAnsi="Heiti SC Light" w:eastAsia="Heiti SC Light" w:cs="Heiti SC Light"/>
          <w:sz w:val="28"/>
          <w:szCs w:val="28"/>
          <w:lang w:eastAsia="zh-Hans"/>
        </w:rPr>
        <w:t>.</w:t>
      </w:r>
      <w:r>
        <w:rPr>
          <w:rFonts w:hint="default" w:ascii="Heiti SC Light" w:hAnsi="Heiti SC Light" w:eastAsia="Heiti SC Light" w:cs="Heiti SC Light"/>
          <w:sz w:val="28"/>
          <w:szCs w:val="28"/>
          <w:lang w:eastAsia="zh-Hans"/>
        </w:rPr>
        <w:t>2</w:t>
      </w:r>
      <w:r>
        <w:rPr>
          <w:rFonts w:hint="eastAsia" w:eastAsia="黑体"/>
          <w:sz w:val="28"/>
          <w:szCs w:val="28"/>
          <w:lang w:val="en-US" w:eastAsia="zh-Hans"/>
        </w:rPr>
        <w:t>技术路线</w:t>
      </w:r>
    </w:p>
    <w:p>
      <w:pPr>
        <w:pageBreakBefore w:val="0"/>
        <w:kinsoku/>
        <w:wordWrap/>
        <w:overflowPunct/>
        <w:topLinePunct w:val="0"/>
        <w:autoSpaceDE/>
        <w:autoSpaceDN/>
        <w:bidi w:val="0"/>
        <w:adjustRightInd/>
        <w:snapToGrid w:val="0"/>
        <w:spacing w:line="240" w:lineRule="auto"/>
        <w:ind w:left="0" w:leftChars="0" w:right="0" w:rightChars="0"/>
        <w:textAlignment w:val="auto"/>
        <w:outlineLvl w:val="9"/>
        <w:rPr>
          <w:rFonts w:hint="eastAsia" w:ascii="Heiti SC Light" w:hAnsi="Heiti SC Light" w:eastAsia="Heiti SC Light" w:cs="Heiti SC Light"/>
          <w:sz w:val="28"/>
          <w:szCs w:val="28"/>
          <w:lang w:eastAsia="zh-Hans"/>
        </w:rPr>
      </w:pPr>
      <w:r>
        <w:rPr>
          <w:rFonts w:hint="eastAsia" w:ascii="Heiti SC Light" w:hAnsi="Heiti SC Light" w:eastAsia="Heiti SC Light" w:cs="Heiti SC Light"/>
          <w:sz w:val="28"/>
          <w:szCs w:val="28"/>
          <w:lang w:eastAsia="zh-Hans"/>
        </w:rPr>
        <w:drawing>
          <wp:inline distT="0" distB="0" distL="114300" distR="114300">
            <wp:extent cx="5266055" cy="7137400"/>
            <wp:effectExtent l="0" t="0" r="0" b="0"/>
            <wp:docPr id="1" name="图片 1"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
                    <pic:cNvPicPr>
                      <a:picLocks noChangeAspect="1"/>
                    </pic:cNvPicPr>
                  </pic:nvPicPr>
                  <pic:blipFill>
                    <a:blip r:embed="rId4"/>
                    <a:stretch>
                      <a:fillRect/>
                    </a:stretch>
                  </pic:blipFill>
                  <pic:spPr>
                    <a:xfrm>
                      <a:off x="0" y="0"/>
                      <a:ext cx="5266055" cy="71374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before="313" w:beforeLines="100" w:line="400" w:lineRule="exact"/>
        <w:ind w:left="0" w:leftChars="0" w:right="0" w:rightChars="0" w:firstLine="0" w:firstLineChars="0"/>
        <w:jc w:val="both"/>
        <w:textAlignment w:val="auto"/>
        <w:outlineLvl w:val="1"/>
        <w:rPr>
          <w:rFonts w:eastAsia="黑体"/>
          <w:sz w:val="30"/>
          <w:szCs w:val="30"/>
        </w:rPr>
      </w:pPr>
      <w:r>
        <w:rPr>
          <w:rFonts w:eastAsia="黑体"/>
          <w:sz w:val="30"/>
          <w:szCs w:val="30"/>
        </w:rPr>
        <w:t>3.3年度研究计划及预期研究结果</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8"/>
        <w:gridCol w:w="3000"/>
        <w:gridCol w:w="1720"/>
        <w:gridCol w:w="1307"/>
        <w:gridCol w:w="1247"/>
      </w:tblGrid>
      <w:tr>
        <w:tc>
          <w:tcPr>
            <w:tcW w:w="1248"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阶段</w:t>
            </w:r>
          </w:p>
        </w:tc>
        <w:tc>
          <w:tcPr>
            <w:tcW w:w="300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主要完成内容</w:t>
            </w:r>
          </w:p>
        </w:tc>
        <w:tc>
          <w:tcPr>
            <w:tcW w:w="172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交付物</w:t>
            </w:r>
          </w:p>
        </w:tc>
        <w:tc>
          <w:tcPr>
            <w:tcW w:w="130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开始时间</w:t>
            </w:r>
          </w:p>
        </w:tc>
        <w:tc>
          <w:tcPr>
            <w:tcW w:w="124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结束时间</w:t>
            </w:r>
          </w:p>
        </w:tc>
      </w:tr>
      <w:tr>
        <w:tc>
          <w:tcPr>
            <w:tcW w:w="1248"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开题答辩</w:t>
            </w:r>
          </w:p>
        </w:tc>
        <w:tc>
          <w:tcPr>
            <w:tcW w:w="300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CN"/>
              </w:rPr>
              <w:t>1. 开展专家访谈，明确实验室工程管理痛点与技术需求。</w:t>
            </w:r>
            <w:r>
              <w:rPr>
                <w:rFonts w:hint="default"/>
                <w:sz w:val="24"/>
                <w:szCs w:val="21"/>
                <w:lang w:val="en-US" w:eastAsia="zh-CN"/>
              </w:rPr>
              <w:br w:type="textWrapping"/>
            </w:r>
            <w:r>
              <w:rPr>
                <w:rFonts w:hint="default"/>
                <w:sz w:val="24"/>
                <w:szCs w:val="21"/>
                <w:lang w:val="en-US" w:eastAsia="zh-CN"/>
              </w:rPr>
              <w:t>2. 梳理文献，完成文献综述，确定研究框架与创新点。</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72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CN"/>
              </w:rPr>
              <w:t>《开题报告》《文献综述》</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30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2025-1-10</w:t>
            </w:r>
          </w:p>
        </w:tc>
        <w:tc>
          <w:tcPr>
            <w:tcW w:w="124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2025-4-20</w:t>
            </w:r>
          </w:p>
        </w:tc>
      </w:tr>
      <w:tr>
        <w:tc>
          <w:tcPr>
            <w:tcW w:w="1248"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中期考核</w:t>
            </w:r>
          </w:p>
        </w:tc>
        <w:tc>
          <w:tcPr>
            <w:tcW w:w="3000" w:type="dxa"/>
            <w:vAlign w:val="center"/>
          </w:tcPr>
          <w:p>
            <w:pPr>
              <w:pageBreakBefore w:val="0"/>
              <w:numPr>
                <w:ilvl w:val="0"/>
                <w:numId w:val="3"/>
              </w:numPr>
              <w:kinsoku/>
              <w:wordWrap/>
              <w:overflowPunct/>
              <w:topLinePunct w:val="0"/>
              <w:autoSpaceDE/>
              <w:autoSpaceDN/>
              <w:bidi w:val="0"/>
              <w:adjustRightInd/>
              <w:snapToGrid w:val="0"/>
              <w:spacing w:line="400" w:lineRule="exact"/>
              <w:ind w:right="0" w:rightChars="0"/>
              <w:jc w:val="center"/>
              <w:textAlignment w:val="auto"/>
              <w:outlineLvl w:val="9"/>
              <w:rPr>
                <w:rFonts w:hint="default"/>
                <w:sz w:val="24"/>
                <w:szCs w:val="21"/>
                <w:lang w:val="en-US" w:eastAsia="zh-CN"/>
              </w:rPr>
            </w:pPr>
            <w:r>
              <w:rPr>
                <w:rFonts w:hint="eastAsia"/>
                <w:sz w:val="24"/>
                <w:szCs w:val="21"/>
                <w:lang w:val="en-US" w:eastAsia="zh-CN"/>
              </w:rPr>
              <w:t>构建实验室数字孪生模型（三维建模 + 设备数据集成）。</w:t>
            </w:r>
            <w:r>
              <w:rPr>
                <w:rFonts w:hint="default"/>
                <w:sz w:val="24"/>
                <w:szCs w:val="21"/>
                <w:lang w:val="en-US" w:eastAsia="zh-CN"/>
              </w:rPr>
              <w:br w:type="textWrapping"/>
            </w:r>
            <w:r>
              <w:rPr>
                <w:rFonts w:hint="default"/>
                <w:sz w:val="24"/>
                <w:szCs w:val="21"/>
                <w:lang w:val="en-US" w:eastAsia="zh-CN"/>
              </w:rPr>
              <w:t>2. 开发 XR 漫游场景，完成初步交互设计与用户测试。</w:t>
            </w:r>
          </w:p>
          <w:p>
            <w:pPr>
              <w:pageBreakBefore w:val="0"/>
              <w:numPr>
                <w:ilvl w:val="0"/>
                <w:numId w:val="0"/>
              </w:numPr>
              <w:kinsoku/>
              <w:wordWrap/>
              <w:overflowPunct/>
              <w:topLinePunct w:val="0"/>
              <w:autoSpaceDE/>
              <w:autoSpaceDN/>
              <w:bidi w:val="0"/>
              <w:adjustRightInd/>
              <w:snapToGrid w:val="0"/>
              <w:spacing w:line="400" w:lineRule="exact"/>
              <w:ind w:right="0" w:rightChars="0"/>
              <w:jc w:val="both"/>
              <w:textAlignment w:val="auto"/>
              <w:outlineLvl w:val="9"/>
              <w:rPr>
                <w:rFonts w:hint="eastAsia"/>
                <w:sz w:val="24"/>
                <w:szCs w:val="21"/>
                <w:lang w:val="en-US" w:eastAsia="zh-Hans"/>
              </w:rPr>
            </w:pPr>
            <w:r>
              <w:rPr>
                <w:rFonts w:hint="default"/>
                <w:sz w:val="24"/>
                <w:szCs w:val="21"/>
                <w:lang w:val="en-US" w:eastAsia="zh-CN"/>
              </w:rPr>
              <w:t>3. 总结阶段性成果，分析技术难点。</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72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CN"/>
              </w:rPr>
              <w:t>《数字孪生模型》《XR 场景 Demo》《中期报告》</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30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2025-4-21</w:t>
            </w:r>
          </w:p>
        </w:tc>
        <w:tc>
          <w:tcPr>
            <w:tcW w:w="124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bookmarkStart w:id="0" w:name="_GoBack"/>
            <w:bookmarkEnd w:id="0"/>
            <w:r>
              <w:rPr>
                <w:rFonts w:hint="eastAsia"/>
                <w:sz w:val="24"/>
                <w:szCs w:val="21"/>
                <w:lang w:eastAsia="zh-Hans"/>
              </w:rPr>
              <w:t>2025-10-31</w:t>
            </w:r>
          </w:p>
        </w:tc>
      </w:tr>
      <w:tr>
        <w:tc>
          <w:tcPr>
            <w:tcW w:w="1248" w:type="dxa"/>
            <w:vAlign w:val="center"/>
          </w:tcPr>
          <w:p>
            <w:pPr>
              <w:pageBreakBefore w:val="0"/>
              <w:kinsoku/>
              <w:wordWrap/>
              <w:overflowPunct/>
              <w:topLinePunct w:val="0"/>
              <w:autoSpaceDE/>
              <w:autoSpaceDN/>
              <w:bidi w:val="0"/>
              <w:adjustRightInd/>
              <w:snapToGrid w:val="0"/>
              <w:spacing w:line="400" w:lineRule="exact"/>
              <w:ind w:right="0" w:rightChars="0"/>
              <w:jc w:val="both"/>
              <w:textAlignment w:val="auto"/>
              <w:outlineLvl w:val="9"/>
              <w:rPr>
                <w:rFonts w:hint="eastAsia"/>
                <w:sz w:val="24"/>
                <w:szCs w:val="21"/>
                <w:lang w:val="en-US" w:eastAsia="zh-Hans"/>
              </w:rPr>
            </w:pPr>
            <w:r>
              <w:rPr>
                <w:rFonts w:hint="eastAsia"/>
                <w:sz w:val="24"/>
                <w:szCs w:val="21"/>
                <w:lang w:val="en-US" w:eastAsia="zh-Hans"/>
              </w:rPr>
              <w:t>预答辩</w:t>
            </w:r>
          </w:p>
        </w:tc>
        <w:tc>
          <w:tcPr>
            <w:tcW w:w="3000" w:type="dxa"/>
            <w:vAlign w:val="center"/>
          </w:tcPr>
          <w:p>
            <w:pPr>
              <w:pageBreakBefore w:val="0"/>
              <w:kinsoku/>
              <w:wordWrap/>
              <w:overflowPunct/>
              <w:topLinePunct w:val="0"/>
              <w:autoSpaceDE/>
              <w:autoSpaceDN/>
              <w:bidi w:val="0"/>
              <w:adjustRightInd/>
              <w:snapToGrid w:val="0"/>
              <w:spacing w:line="400" w:lineRule="exact"/>
              <w:ind w:right="0" w:rightChars="0"/>
              <w:jc w:val="both"/>
              <w:textAlignment w:val="auto"/>
              <w:outlineLvl w:val="9"/>
              <w:rPr>
                <w:rFonts w:hint="eastAsia"/>
                <w:sz w:val="24"/>
                <w:szCs w:val="21"/>
                <w:lang w:val="en-US" w:eastAsia="zh-Hans"/>
              </w:rPr>
            </w:pPr>
            <w:r>
              <w:rPr>
                <w:rFonts w:hint="eastAsia"/>
                <w:sz w:val="24"/>
                <w:szCs w:val="21"/>
                <w:lang w:val="en-US" w:eastAsia="zh-CN"/>
              </w:rPr>
              <w:t>1. 集成数字孪生与 XR 技术，实现虚拟场景与实时数据联动。</w:t>
            </w:r>
            <w:r>
              <w:rPr>
                <w:rFonts w:hint="default"/>
                <w:sz w:val="24"/>
                <w:szCs w:val="21"/>
                <w:lang w:val="en-US" w:eastAsia="zh-CN"/>
              </w:rPr>
              <w:br w:type="textWrapping"/>
            </w:r>
            <w:r>
              <w:rPr>
                <w:rFonts w:hint="default"/>
                <w:sz w:val="24"/>
                <w:szCs w:val="21"/>
                <w:lang w:val="en-US" w:eastAsia="zh-CN"/>
              </w:rPr>
              <w:t>2. 开展案例实证，验证系统在风险预警、培训等场景的效果。</w:t>
            </w:r>
            <w:r>
              <w:rPr>
                <w:rFonts w:hint="default"/>
                <w:sz w:val="24"/>
                <w:szCs w:val="21"/>
                <w:lang w:val="en-US" w:eastAsia="zh-CN"/>
              </w:rPr>
              <w:br w:type="textWrapping"/>
            </w:r>
            <w:r>
              <w:rPr>
                <w:rFonts w:hint="default"/>
                <w:sz w:val="24"/>
                <w:szCs w:val="21"/>
                <w:lang w:val="en-US" w:eastAsia="zh-CN"/>
              </w:rPr>
              <w:t>3. 整理研究成果，准备答辩材料。</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72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CN"/>
              </w:rPr>
              <w:t>《集成系统》《案例分析报告》《预答辩 PPT》</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30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2025-11-1</w:t>
            </w:r>
          </w:p>
        </w:tc>
        <w:tc>
          <w:tcPr>
            <w:tcW w:w="124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2026-5-31</w:t>
            </w:r>
          </w:p>
        </w:tc>
      </w:tr>
      <w:tr>
        <w:tc>
          <w:tcPr>
            <w:tcW w:w="1248"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论文定稿</w:t>
            </w:r>
          </w:p>
        </w:tc>
        <w:tc>
          <w:tcPr>
            <w:tcW w:w="300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CN"/>
              </w:rPr>
              <w:t>1. 完成论文撰写（含方法、实验、结果分析）。</w:t>
            </w:r>
            <w:r>
              <w:rPr>
                <w:rFonts w:hint="default"/>
                <w:sz w:val="24"/>
                <w:szCs w:val="21"/>
                <w:lang w:val="en-US" w:eastAsia="zh-CN"/>
              </w:rPr>
              <w:br w:type="textWrapping"/>
            </w:r>
            <w:r>
              <w:rPr>
                <w:rFonts w:hint="default"/>
                <w:sz w:val="24"/>
                <w:szCs w:val="21"/>
                <w:lang w:val="en-US" w:eastAsia="zh-CN"/>
              </w:rPr>
              <w:t>2. 提炼创新点，完善结论与展望，规范格式。</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72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CN"/>
              </w:rPr>
              <w:t>《学位论文终稿》</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30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2026-6-1</w:t>
            </w:r>
          </w:p>
        </w:tc>
        <w:tc>
          <w:tcPr>
            <w:tcW w:w="124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2026-6-30</w:t>
            </w:r>
          </w:p>
        </w:tc>
      </w:tr>
      <w:tr>
        <w:tc>
          <w:tcPr>
            <w:tcW w:w="1248"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论文送审</w:t>
            </w:r>
          </w:p>
        </w:tc>
        <w:tc>
          <w:tcPr>
            <w:tcW w:w="300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CN"/>
              </w:rPr>
              <w:t>1. 提交论文盲审，根据专家意见修改（如需）。</w:t>
            </w:r>
            <w:r>
              <w:rPr>
                <w:rFonts w:hint="default"/>
                <w:sz w:val="24"/>
                <w:szCs w:val="21"/>
                <w:lang w:val="en-US" w:eastAsia="zh-CN"/>
              </w:rPr>
              <w:br w:type="textWrapping"/>
            </w:r>
            <w:r>
              <w:rPr>
                <w:rFonts w:hint="default"/>
                <w:sz w:val="24"/>
                <w:szCs w:val="21"/>
                <w:lang w:val="en-US" w:eastAsia="zh-CN"/>
              </w:rPr>
              <w:t>2. 校对格式，确保符合要求。</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72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CN"/>
              </w:rPr>
              <w:t>《盲审论文》《意见回复表》</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30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2026-7-1</w:t>
            </w:r>
          </w:p>
        </w:tc>
        <w:tc>
          <w:tcPr>
            <w:tcW w:w="124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2026-7-31</w:t>
            </w:r>
          </w:p>
        </w:tc>
      </w:tr>
      <w:tr>
        <w:tc>
          <w:tcPr>
            <w:tcW w:w="1248"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论文复审</w:t>
            </w:r>
          </w:p>
        </w:tc>
        <w:tc>
          <w:tcPr>
            <w:tcW w:w="300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CN"/>
              </w:rPr>
              <w:t>1. 按复审意见修改论文，提交最终版。</w:t>
            </w:r>
            <w:r>
              <w:rPr>
                <w:rFonts w:hint="default"/>
                <w:sz w:val="24"/>
                <w:szCs w:val="21"/>
                <w:lang w:val="en-US" w:eastAsia="zh-CN"/>
              </w:rPr>
              <w:br w:type="textWrapping"/>
            </w:r>
            <w:r>
              <w:rPr>
                <w:rFonts w:hint="default"/>
                <w:sz w:val="24"/>
                <w:szCs w:val="21"/>
                <w:lang w:val="en-US" w:eastAsia="zh-CN"/>
              </w:rPr>
              <w:t>2. 通过学院审核，进入答辩环节。</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72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CN"/>
              </w:rPr>
              <w:t>《修改后论文》《复审通过证明》</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30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2026-8-1</w:t>
            </w:r>
          </w:p>
        </w:tc>
        <w:tc>
          <w:tcPr>
            <w:tcW w:w="124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2026-8-31</w:t>
            </w:r>
          </w:p>
        </w:tc>
      </w:tr>
      <w:tr>
        <w:tc>
          <w:tcPr>
            <w:tcW w:w="1248"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论文答辩</w:t>
            </w:r>
          </w:p>
        </w:tc>
        <w:tc>
          <w:tcPr>
            <w:tcW w:w="3000" w:type="dxa"/>
            <w:vAlign w:val="center"/>
          </w:tcPr>
          <w:p>
            <w:pPr>
              <w:pageBreakBefore w:val="0"/>
              <w:numPr>
                <w:ilvl w:val="0"/>
                <w:numId w:val="4"/>
              </w:numPr>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CN"/>
              </w:rPr>
            </w:pPr>
            <w:r>
              <w:rPr>
                <w:rFonts w:hint="eastAsia"/>
                <w:sz w:val="24"/>
                <w:szCs w:val="21"/>
                <w:lang w:val="en-US" w:eastAsia="zh-CN"/>
              </w:rPr>
              <w:t>准备答辩 PPT，汇报研究内容。</w:t>
            </w:r>
          </w:p>
          <w:p>
            <w:pPr>
              <w:pageBreakBefore w:val="0"/>
              <w:numPr>
                <w:ilvl w:val="0"/>
                <w:numId w:val="0"/>
              </w:numPr>
              <w:kinsoku/>
              <w:wordWrap/>
              <w:overflowPunct/>
              <w:topLinePunct w:val="0"/>
              <w:autoSpaceDE/>
              <w:autoSpaceDN/>
              <w:bidi w:val="0"/>
              <w:adjustRightInd/>
              <w:snapToGrid w:val="0"/>
              <w:spacing w:line="400" w:lineRule="exact"/>
              <w:ind w:right="0" w:rightChars="0"/>
              <w:jc w:val="both"/>
              <w:textAlignment w:val="auto"/>
              <w:outlineLvl w:val="9"/>
              <w:rPr>
                <w:rFonts w:hint="eastAsia"/>
                <w:sz w:val="24"/>
                <w:szCs w:val="21"/>
                <w:lang w:val="en-US" w:eastAsia="zh-Hans"/>
              </w:rPr>
            </w:pPr>
            <w:r>
              <w:rPr>
                <w:rFonts w:hint="default"/>
                <w:sz w:val="24"/>
                <w:szCs w:val="21"/>
                <w:lang w:val="en-US" w:eastAsia="zh-CN"/>
              </w:rPr>
              <w:t>2. 答辩并按建议修改论文，提交存档。</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720"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val="en-US" w:eastAsia="zh-Hans"/>
              </w:rPr>
            </w:pPr>
            <w:r>
              <w:rPr>
                <w:rFonts w:hint="eastAsia"/>
                <w:sz w:val="24"/>
                <w:szCs w:val="21"/>
                <w:lang w:val="en-US" w:eastAsia="zh-Hans"/>
              </w:rPr>
              <w:t>《</w:t>
            </w:r>
            <w:r>
              <w:rPr>
                <w:rFonts w:hint="eastAsia"/>
                <w:sz w:val="24"/>
                <w:szCs w:val="21"/>
                <w:lang w:val="en-US" w:eastAsia="zh-CN"/>
              </w:rPr>
              <w:t>答辩 PPT》《最终版论文》</w:t>
            </w:r>
          </w:p>
          <w:p>
            <w:pPr>
              <w:pageBreakBefore w:val="0"/>
              <w:kinsoku/>
              <w:wordWrap/>
              <w:overflowPunct/>
              <w:topLinePunct w:val="0"/>
              <w:autoSpaceDE/>
              <w:autoSpaceDN/>
              <w:bidi w:val="0"/>
              <w:adjustRightInd/>
              <w:snapToGrid w:val="0"/>
              <w:spacing w:line="400" w:lineRule="exact"/>
              <w:ind w:left="0" w:leftChars="0" w:right="0" w:rightChars="0" w:firstLine="420" w:firstLineChars="0"/>
              <w:jc w:val="center"/>
              <w:textAlignment w:val="auto"/>
              <w:outlineLvl w:val="9"/>
              <w:rPr>
                <w:rFonts w:hint="eastAsia"/>
                <w:sz w:val="24"/>
                <w:szCs w:val="21"/>
                <w:lang w:val="en-US" w:eastAsia="zh-Hans"/>
              </w:rPr>
            </w:pPr>
          </w:p>
        </w:tc>
        <w:tc>
          <w:tcPr>
            <w:tcW w:w="130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2026-9-1</w:t>
            </w:r>
          </w:p>
        </w:tc>
        <w:tc>
          <w:tcPr>
            <w:tcW w:w="1247" w:type="dxa"/>
            <w:vAlign w:val="center"/>
          </w:tcPr>
          <w:p>
            <w:pPr>
              <w:pageBreakBefore w:val="0"/>
              <w:kinsoku/>
              <w:wordWrap/>
              <w:overflowPunct/>
              <w:topLinePunct w:val="0"/>
              <w:autoSpaceDE/>
              <w:autoSpaceDN/>
              <w:bidi w:val="0"/>
              <w:adjustRightInd/>
              <w:snapToGrid w:val="0"/>
              <w:spacing w:line="400" w:lineRule="exact"/>
              <w:ind w:right="0" w:rightChars="0"/>
              <w:jc w:val="center"/>
              <w:textAlignment w:val="auto"/>
              <w:outlineLvl w:val="9"/>
              <w:rPr>
                <w:rFonts w:hint="eastAsia"/>
                <w:sz w:val="24"/>
                <w:szCs w:val="21"/>
                <w:lang w:eastAsia="zh-Hans"/>
              </w:rPr>
            </w:pPr>
            <w:r>
              <w:rPr>
                <w:rFonts w:hint="eastAsia"/>
                <w:sz w:val="24"/>
                <w:szCs w:val="21"/>
                <w:lang w:eastAsia="zh-Hans"/>
              </w:rPr>
              <w:t>2026-9-31</w:t>
            </w:r>
          </w:p>
        </w:tc>
      </w:tr>
    </w:tbl>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p>
    <w:p>
      <w:pPr>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400" w:lineRule="exact"/>
        <w:ind w:left="0" w:leftChars="0" w:right="0" w:rightChars="0" w:firstLine="0" w:firstLineChars="0"/>
        <w:jc w:val="both"/>
        <w:textAlignment w:val="auto"/>
        <w:outlineLvl w:val="0"/>
        <w:rPr>
          <w:rFonts w:eastAsia="黑体"/>
          <w:sz w:val="32"/>
          <w:szCs w:val="32"/>
        </w:rPr>
      </w:pPr>
      <w:r>
        <w:rPr>
          <w:rFonts w:eastAsia="黑体"/>
          <w:sz w:val="32"/>
          <w:szCs w:val="32"/>
        </w:rPr>
        <w:t>预期取得的研究成果及创新点情况</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ind w:left="0" w:leftChars="0" w:right="0" w:rightChars="0" w:firstLine="0" w:firstLineChars="0"/>
        <w:jc w:val="both"/>
        <w:textAlignment w:val="auto"/>
        <w:outlineLvl w:val="1"/>
        <w:rPr>
          <w:rFonts w:eastAsia="黑体"/>
          <w:sz w:val="30"/>
          <w:szCs w:val="30"/>
        </w:rPr>
      </w:pPr>
      <w:r>
        <w:rPr>
          <w:rFonts w:eastAsia="黑体"/>
          <w:sz w:val="30"/>
          <w:szCs w:val="30"/>
        </w:rPr>
        <w:t>4.1预期取得的研究成果</w:t>
      </w:r>
    </w:p>
    <w:p>
      <w:pPr>
        <w:pageBreakBefore w:val="0"/>
        <w:kinsoku/>
        <w:wordWrap/>
        <w:overflowPunct/>
        <w:topLinePunct w:val="0"/>
        <w:autoSpaceDE/>
        <w:autoSpaceDN/>
        <w:bidi w:val="0"/>
        <w:adjustRightInd/>
        <w:snapToGrid w:val="0"/>
        <w:spacing w:line="400" w:lineRule="exact"/>
        <w:ind w:left="0" w:leftChars="0" w:right="0" w:rightChars="0"/>
        <w:textAlignment w:val="auto"/>
        <w:outlineLvl w:val="2"/>
        <w:rPr>
          <w:rFonts w:eastAsia="黑体"/>
          <w:sz w:val="30"/>
          <w:szCs w:val="30"/>
        </w:rPr>
      </w:pPr>
      <w:r>
        <w:rPr>
          <w:rFonts w:eastAsia="黑体"/>
          <w:sz w:val="30"/>
          <w:szCs w:val="30"/>
        </w:rPr>
        <w:t>4.1.1</w:t>
      </w:r>
      <w:r>
        <w:rPr>
          <w:rFonts w:hint="eastAsia" w:eastAsia="黑体"/>
          <w:sz w:val="28"/>
          <w:szCs w:val="28"/>
          <w:lang w:val="en-US" w:eastAsia="zh-Hans"/>
        </w:rPr>
        <w:t>理论成果</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szCs w:val="21"/>
          <w:lang w:val="en-US" w:eastAsia="zh-Hans"/>
        </w:rPr>
      </w:pPr>
      <w:r>
        <w:rPr>
          <w:rFonts w:hint="eastAsia"/>
          <w:sz w:val="24"/>
          <w:szCs w:val="21"/>
          <w:lang w:val="en-US" w:eastAsia="zh-Hans"/>
        </w:rPr>
        <w:t>本研究将构建“物理实验室</w:t>
      </w:r>
      <w:r>
        <w:rPr>
          <w:rFonts w:hint="default"/>
          <w:sz w:val="24"/>
          <w:szCs w:val="21"/>
          <w:lang w:eastAsia="zh-Hans"/>
        </w:rPr>
        <w:t>-</w:t>
      </w:r>
      <w:r>
        <w:rPr>
          <w:rFonts w:hint="eastAsia"/>
          <w:sz w:val="24"/>
          <w:szCs w:val="21"/>
          <w:lang w:val="en-US" w:eastAsia="zh-Hans"/>
        </w:rPr>
        <w:t>数字孪生</w:t>
      </w:r>
      <w:r>
        <w:rPr>
          <w:rFonts w:hint="default"/>
          <w:sz w:val="24"/>
          <w:szCs w:val="21"/>
          <w:lang w:eastAsia="zh-Hans"/>
        </w:rPr>
        <w:t>-</w:t>
      </w:r>
      <w:r>
        <w:rPr>
          <w:rFonts w:hint="eastAsia"/>
          <w:sz w:val="24"/>
          <w:szCs w:val="21"/>
          <w:lang w:val="en-US" w:eastAsia="zh-Hans"/>
        </w:rPr>
        <w:t>XR”三位一体的管理模型，明确数字孪生技术在实验室生物工程管理中的应用逻辑，为复杂生物安全场景的数字化管理提供理论支撑。结合 XR 技术的沉浸式特性，构建包含生物安全核心参数（如负压梯度、灭菌效率）的虚拟漫游场景，填补特殊场景下技术适配的理论空白。</w:t>
      </w:r>
    </w:p>
    <w:p>
      <w:pPr>
        <w:pageBreakBefore w:val="0"/>
        <w:kinsoku/>
        <w:wordWrap/>
        <w:overflowPunct/>
        <w:topLinePunct w:val="0"/>
        <w:autoSpaceDE/>
        <w:autoSpaceDN/>
        <w:bidi w:val="0"/>
        <w:adjustRightInd/>
        <w:snapToGrid w:val="0"/>
        <w:spacing w:line="400" w:lineRule="exact"/>
        <w:ind w:left="0" w:leftChars="0" w:right="0" w:rightChars="0"/>
        <w:textAlignment w:val="auto"/>
        <w:outlineLvl w:val="2"/>
        <w:rPr>
          <w:rFonts w:hint="eastAsia" w:eastAsia="黑体"/>
          <w:sz w:val="30"/>
          <w:szCs w:val="30"/>
          <w:lang w:val="en-US" w:eastAsia="zh-Hans"/>
        </w:rPr>
      </w:pPr>
      <w:r>
        <w:rPr>
          <w:rFonts w:eastAsia="黑体"/>
          <w:sz w:val="30"/>
          <w:szCs w:val="30"/>
        </w:rPr>
        <w:t>4.1.2</w:t>
      </w:r>
      <w:r>
        <w:rPr>
          <w:rFonts w:hint="eastAsia" w:eastAsia="黑体"/>
          <w:sz w:val="28"/>
          <w:szCs w:val="28"/>
          <w:lang w:val="en-US" w:eastAsia="zh-Hans"/>
        </w:rPr>
        <w:t>应用技术成果</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eastAsia="黑体"/>
          <w:sz w:val="30"/>
          <w:szCs w:val="30"/>
          <w:lang w:val="en-US" w:eastAsia="zh-Hans"/>
        </w:rPr>
      </w:pPr>
      <w:r>
        <w:rPr>
          <w:rFonts w:hint="eastAsia"/>
          <w:sz w:val="24"/>
          <w:szCs w:val="21"/>
          <w:lang w:val="en-US" w:eastAsia="zh-Hans"/>
        </w:rPr>
        <w:t>本研究将完成实验室三维空间（精度≥98%）与设备（生物安全柜、渡槽等）的数字孪生建模，集成设备运行数据（如温湿度、压差）与操作视频流程，实现实时监控与风险预警功能，基于</w:t>
      </w:r>
      <w:r>
        <w:rPr>
          <w:rFonts w:hint="default"/>
          <w:sz w:val="24"/>
          <w:szCs w:val="21"/>
          <w:lang w:eastAsia="zh-Hans"/>
        </w:rPr>
        <w:t>U</w:t>
      </w:r>
      <w:r>
        <w:rPr>
          <w:rFonts w:hint="eastAsia"/>
          <w:sz w:val="24"/>
          <w:szCs w:val="21"/>
          <w:lang w:val="en-US" w:eastAsia="zh-Hans"/>
        </w:rPr>
        <w:t>nity</w:t>
      </w:r>
      <w:r>
        <w:rPr>
          <w:rFonts w:hint="default"/>
          <w:sz w:val="24"/>
          <w:szCs w:val="21"/>
          <w:lang w:eastAsia="zh-Hans"/>
        </w:rPr>
        <w:t>/Unreal Engine开发 XR 漫游场景，支持VP/PC端沉浸式交互，包含设备操作模拟、应急演练等功能，操作培训效率提升 30%，新手失误率降低 25%</w:t>
      </w:r>
      <w:r>
        <w:rPr>
          <w:rFonts w:hint="eastAsia"/>
          <w:sz w:val="24"/>
          <w:szCs w:val="21"/>
          <w:lang w:eastAsia="zh-Hans"/>
        </w:rPr>
        <w:t>，</w:t>
      </w:r>
      <w:r>
        <w:rPr>
          <w:rFonts w:hint="eastAsia"/>
          <w:sz w:val="24"/>
          <w:szCs w:val="21"/>
          <w:lang w:val="en-US" w:eastAsia="zh-Hans"/>
        </w:rPr>
        <w:t>并</w:t>
      </w:r>
      <w:r>
        <w:rPr>
          <w:rFonts w:hint="default"/>
          <w:sz w:val="24"/>
          <w:szCs w:val="21"/>
          <w:lang w:eastAsia="zh-Hans"/>
        </w:rPr>
        <w:t>实现虚拟模型与物理实验室的动态映射，支持远程实时监控、设备状态可视化（如生物安全柜滤芯寿命预测）、应急场景模拟（如病毒泄漏处置流程推演），形成可复制的工程管理优化解决方案。</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ind w:left="0" w:leftChars="0" w:right="0" w:rightChars="0" w:firstLine="0" w:firstLineChars="0"/>
        <w:jc w:val="both"/>
        <w:textAlignment w:val="auto"/>
        <w:outlineLvl w:val="1"/>
        <w:rPr>
          <w:rFonts w:eastAsia="黑体"/>
          <w:sz w:val="30"/>
          <w:szCs w:val="30"/>
        </w:rPr>
      </w:pPr>
      <w:r>
        <w:rPr>
          <w:rFonts w:eastAsia="黑体"/>
          <w:sz w:val="30"/>
          <w:szCs w:val="30"/>
        </w:rPr>
        <w:t>4.2学位论文预期的特色与创新点</w:t>
      </w:r>
    </w:p>
    <w:p>
      <w:pPr>
        <w:pageBreakBefore w:val="0"/>
        <w:numPr>
          <w:ilvl w:val="0"/>
          <w:numId w:val="5"/>
        </w:numPr>
        <w:kinsoku/>
        <w:wordWrap/>
        <w:overflowPunct/>
        <w:topLinePunct w:val="0"/>
        <w:autoSpaceDE/>
        <w:autoSpaceDN/>
        <w:bidi w:val="0"/>
        <w:adjustRightInd/>
        <w:snapToGrid w:val="0"/>
        <w:spacing w:line="400" w:lineRule="exact"/>
        <w:ind w:left="0" w:leftChars="0" w:right="0" w:rightChars="0" w:firstLine="420" w:firstLineChars="0"/>
        <w:textAlignment w:val="auto"/>
        <w:outlineLvl w:val="2"/>
        <w:rPr>
          <w:rFonts w:hint="eastAsia"/>
          <w:sz w:val="24"/>
          <w:szCs w:val="21"/>
          <w:lang w:val="en-US" w:eastAsia="zh-Hans"/>
        </w:rPr>
      </w:pPr>
      <w:r>
        <w:rPr>
          <w:rFonts w:hint="eastAsia"/>
          <w:sz w:val="24"/>
          <w:szCs w:val="21"/>
          <w:lang w:val="en-US" w:eastAsia="zh-Hans"/>
        </w:rPr>
        <w:t>技术创新：</w:t>
      </w:r>
    </w:p>
    <w:p>
      <w:pPr>
        <w:pageBreakBefore w:val="0"/>
        <w:widowControl w:val="0"/>
        <w:numPr>
          <w:ilvl w:val="0"/>
          <w:numId w:val="0"/>
        </w:numPr>
        <w:kinsoku/>
        <w:wordWrap/>
        <w:overflowPunct/>
        <w:topLinePunct w:val="0"/>
        <w:autoSpaceDE/>
        <w:autoSpaceDN/>
        <w:bidi w:val="0"/>
        <w:adjustRightInd/>
        <w:snapToGrid w:val="0"/>
        <w:spacing w:line="400" w:lineRule="exact"/>
        <w:ind w:right="0" w:rightChars="0" w:firstLine="420" w:firstLineChars="0"/>
        <w:jc w:val="both"/>
        <w:textAlignment w:val="auto"/>
        <w:outlineLvl w:val="9"/>
        <w:rPr>
          <w:rFonts w:hint="eastAsia"/>
          <w:sz w:val="24"/>
          <w:szCs w:val="21"/>
          <w:lang w:val="en-US" w:eastAsia="zh-Hans"/>
        </w:rPr>
      </w:pPr>
      <w:r>
        <w:rPr>
          <w:rFonts w:hint="eastAsia"/>
          <w:sz w:val="24"/>
          <w:szCs w:val="21"/>
          <w:lang w:val="en-US" w:eastAsia="zh-Hans"/>
        </w:rPr>
        <w:t>提出一种多模态交互融合孪生对象的行为分析技术，实现更加智能化的人机交互控制技术。在增强现实环境下，通过</w:t>
      </w:r>
      <w:r>
        <w:rPr>
          <w:rFonts w:hint="default"/>
          <w:sz w:val="24"/>
          <w:szCs w:val="21"/>
          <w:lang w:eastAsia="zh-Hans"/>
        </w:rPr>
        <w:t>V</w:t>
      </w:r>
      <w:r>
        <w:rPr>
          <w:rFonts w:hint="eastAsia"/>
          <w:sz w:val="24"/>
          <w:szCs w:val="21"/>
          <w:lang w:val="en-US" w:eastAsia="zh-Hans"/>
        </w:rPr>
        <w:t>R设备能获取用户在高等级生物安全实验室的操作动作视频。例如当学员在 VR 中错误操作生物安全柜时，力反馈手套会模拟柜门锁死阻力，同时 AR 界面高亮显示正确操作步骤，使错误操作纠正效率提升 70%。</w:t>
      </w:r>
    </w:p>
    <w:p>
      <w:pPr>
        <w:pageBreakBefore w:val="0"/>
        <w:numPr>
          <w:ilvl w:val="0"/>
          <w:numId w:val="0"/>
        </w:numPr>
        <w:kinsoku/>
        <w:wordWrap/>
        <w:overflowPunct/>
        <w:topLinePunct w:val="0"/>
        <w:autoSpaceDE/>
        <w:autoSpaceDN/>
        <w:bidi w:val="0"/>
        <w:adjustRightInd/>
        <w:snapToGrid w:val="0"/>
        <w:spacing w:line="400" w:lineRule="exact"/>
        <w:ind w:left="420" w:leftChars="0" w:right="0" w:rightChars="0"/>
        <w:textAlignment w:val="auto"/>
        <w:outlineLvl w:val="2"/>
        <w:rPr>
          <w:rFonts w:hint="eastAsia"/>
          <w:sz w:val="24"/>
          <w:szCs w:val="21"/>
          <w:lang w:val="en-US" w:eastAsia="zh-Hans"/>
        </w:rPr>
      </w:pPr>
      <w:r>
        <w:rPr>
          <w:rFonts w:hint="default"/>
          <w:sz w:val="24"/>
          <w:szCs w:val="21"/>
          <w:lang w:eastAsia="zh-Hans"/>
        </w:rPr>
        <w:t xml:space="preserve">(2) </w:t>
      </w:r>
      <w:r>
        <w:rPr>
          <w:rFonts w:hint="eastAsia"/>
          <w:sz w:val="24"/>
          <w:szCs w:val="21"/>
          <w:lang w:val="en-US" w:eastAsia="zh-Hans"/>
        </w:rPr>
        <w:t>管理创新：</w:t>
      </w:r>
    </w:p>
    <w:p>
      <w:pPr>
        <w:pageBreakBefore w:val="0"/>
        <w:numPr>
          <w:ilvl w:val="0"/>
          <w:numId w:val="0"/>
        </w:numPr>
        <w:kinsoku/>
        <w:wordWrap/>
        <w:overflowPunct/>
        <w:topLinePunct w:val="0"/>
        <w:autoSpaceDE/>
        <w:autoSpaceDN/>
        <w:bidi w:val="0"/>
        <w:adjustRightInd/>
        <w:snapToGrid w:val="0"/>
        <w:spacing w:line="400" w:lineRule="exact"/>
        <w:ind w:right="0" w:rightChars="0" w:firstLine="420" w:firstLineChars="0"/>
        <w:textAlignment w:val="auto"/>
        <w:outlineLvl w:val="9"/>
        <w:rPr>
          <w:rFonts w:eastAsia="黑体"/>
          <w:sz w:val="30"/>
          <w:szCs w:val="30"/>
        </w:rPr>
      </w:pPr>
      <w:r>
        <w:rPr>
          <w:rFonts w:hint="eastAsia"/>
          <w:sz w:val="24"/>
          <w:szCs w:val="21"/>
          <w:lang w:val="en-US" w:eastAsia="zh-Hans"/>
        </w:rPr>
        <w:t>提出“物理实验室</w:t>
      </w:r>
      <w:r>
        <w:rPr>
          <w:rFonts w:hint="default"/>
          <w:sz w:val="24"/>
          <w:szCs w:val="21"/>
          <w:lang w:eastAsia="zh-Hans"/>
        </w:rPr>
        <w:t>-</w:t>
      </w:r>
      <w:r>
        <w:rPr>
          <w:rFonts w:hint="eastAsia"/>
          <w:sz w:val="24"/>
          <w:szCs w:val="21"/>
          <w:lang w:val="en-US" w:eastAsia="zh-Hans"/>
        </w:rPr>
        <w:t>数字孪生</w:t>
      </w:r>
      <w:r>
        <w:rPr>
          <w:rFonts w:hint="default"/>
          <w:sz w:val="24"/>
          <w:szCs w:val="21"/>
          <w:lang w:eastAsia="zh-Hans"/>
        </w:rPr>
        <w:t>-</w:t>
      </w:r>
      <w:r>
        <w:rPr>
          <w:rFonts w:hint="eastAsia"/>
          <w:sz w:val="24"/>
          <w:szCs w:val="21"/>
          <w:lang w:val="en-US" w:eastAsia="zh-Hans"/>
        </w:rPr>
        <w:t>XR”三位一体的管理方法论，本研究突破传统生物安全实验室“经验驱动，碎片化管理”的局限，首次提出“全域映射、智能协同”的三位一体管理方法，形成覆盖“实体运行</w:t>
      </w:r>
      <w:r>
        <w:rPr>
          <w:rFonts w:hint="default"/>
          <w:sz w:val="24"/>
          <w:szCs w:val="21"/>
          <w:lang w:eastAsia="zh-Hans"/>
        </w:rPr>
        <w:t>-</w:t>
      </w:r>
      <w:r>
        <w:rPr>
          <w:rFonts w:hint="eastAsia"/>
          <w:sz w:val="24"/>
          <w:szCs w:val="21"/>
          <w:lang w:val="en-US" w:eastAsia="zh-Hans"/>
        </w:rPr>
        <w:t>虚拟管理</w:t>
      </w:r>
      <w:r>
        <w:rPr>
          <w:rFonts w:hint="default"/>
          <w:sz w:val="24"/>
          <w:szCs w:val="21"/>
          <w:lang w:eastAsia="zh-Hans"/>
        </w:rPr>
        <w:t>-</w:t>
      </w:r>
      <w:r>
        <w:rPr>
          <w:rFonts w:hint="eastAsia"/>
          <w:sz w:val="24"/>
          <w:szCs w:val="21"/>
          <w:lang w:val="en-US" w:eastAsia="zh-Hans"/>
        </w:rPr>
        <w:t>交互决策”的闭环管理体系，实现管理模式从“被动相应”到“主动进化”的革命。</w:t>
      </w:r>
    </w:p>
    <w:p>
      <w:pPr>
        <w:keepNext w:val="0"/>
        <w:keepLines w:val="0"/>
        <w:pageBreakBefore w:val="0"/>
        <w:widowControl w:val="0"/>
        <w:numPr>
          <w:ilvl w:val="0"/>
          <w:numId w:val="1"/>
        </w:numPr>
        <w:kinsoku/>
        <w:wordWrap/>
        <w:overflowPunct/>
        <w:topLinePunct w:val="0"/>
        <w:autoSpaceDE/>
        <w:autoSpaceDN/>
        <w:bidi w:val="0"/>
        <w:adjustRightInd/>
        <w:snapToGrid w:val="0"/>
        <w:spacing w:before="313" w:beforeLines="100" w:after="313" w:afterLines="100" w:line="400" w:lineRule="exact"/>
        <w:ind w:left="0" w:leftChars="0" w:right="0" w:rightChars="0" w:firstLine="0" w:firstLineChars="0"/>
        <w:jc w:val="both"/>
        <w:textAlignment w:val="auto"/>
        <w:outlineLvl w:val="0"/>
        <w:rPr>
          <w:rFonts w:eastAsia="黑体"/>
          <w:sz w:val="32"/>
          <w:szCs w:val="32"/>
        </w:rPr>
      </w:pPr>
      <w:r>
        <w:rPr>
          <w:rFonts w:eastAsia="黑体"/>
          <w:sz w:val="32"/>
          <w:szCs w:val="32"/>
        </w:rPr>
        <w:t>研究基础与工作条件</w:t>
      </w:r>
    </w:p>
    <w:p>
      <w:pPr>
        <w:pageBreakBefore w:val="0"/>
        <w:kinsoku/>
        <w:wordWrap/>
        <w:overflowPunct/>
        <w:topLinePunct w:val="0"/>
        <w:autoSpaceDE/>
        <w:autoSpaceDN/>
        <w:bidi w:val="0"/>
        <w:adjustRightInd/>
        <w:snapToGrid w:val="0"/>
        <w:spacing w:line="400" w:lineRule="exact"/>
        <w:ind w:left="0" w:leftChars="0" w:right="0" w:rightChars="0"/>
        <w:textAlignment w:val="auto"/>
        <w:outlineLvl w:val="1"/>
        <w:rPr>
          <w:rFonts w:eastAsia="黑体"/>
          <w:sz w:val="30"/>
          <w:szCs w:val="30"/>
        </w:rPr>
      </w:pPr>
      <w:r>
        <w:rPr>
          <w:rFonts w:eastAsia="黑体"/>
          <w:sz w:val="30"/>
          <w:szCs w:val="30"/>
        </w:rPr>
        <w:t>5.1前期研究进展及相关研究基础</w:t>
      </w:r>
    </w:p>
    <w:p>
      <w:pPr>
        <w:pageBreakBefore w:val="0"/>
        <w:kinsoku/>
        <w:wordWrap/>
        <w:overflowPunct/>
        <w:topLinePunct w:val="0"/>
        <w:autoSpaceDE/>
        <w:autoSpaceDN/>
        <w:bidi w:val="0"/>
        <w:adjustRightInd/>
        <w:snapToGrid w:val="0"/>
        <w:spacing w:line="400" w:lineRule="exact"/>
        <w:ind w:right="0" w:rightChars="0" w:firstLine="420" w:firstLineChars="0"/>
        <w:jc w:val="left"/>
        <w:textAlignment w:val="auto"/>
        <w:rPr>
          <w:rFonts w:eastAsia="黑体"/>
          <w:sz w:val="30"/>
          <w:szCs w:val="30"/>
        </w:rPr>
      </w:pPr>
      <w:r>
        <w:rPr>
          <w:rFonts w:hint="eastAsia"/>
          <w:sz w:val="24"/>
          <w:lang w:val="en-US" w:eastAsia="zh-Hans"/>
        </w:rPr>
        <w:t>目前研究将依托于哈尔滨兽医研究所的合作，将提供实验室运行数据接口，包括但不限于生物安全柜、灭菌锅、焚化炉等设备的实时运行数据，以及历年实验室获得性感染（LAI）事件案例库。开放 P4 实验室全部区域用于实地调研，获取实验室规划图纸（精度 ±2mm）、日常运维流程（如人员进出消杀步骤、样本传递规范）、应急演练方案及教学培训视频（覆盖防护服穿脱、生物安全柜操作等 20 + 关键操作）。以上基础为研究提供了坚实的实践土壤与数据支撑，确保研究成果兼具理论深度与工程应用价值。</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ind w:left="0" w:leftChars="0" w:right="0" w:rightChars="0" w:firstLine="0" w:firstLineChars="0"/>
        <w:jc w:val="both"/>
        <w:textAlignment w:val="auto"/>
        <w:outlineLvl w:val="1"/>
        <w:rPr>
          <w:rFonts w:eastAsia="黑体"/>
          <w:sz w:val="30"/>
          <w:szCs w:val="30"/>
        </w:rPr>
      </w:pPr>
      <w:r>
        <w:rPr>
          <w:rFonts w:eastAsia="黑体"/>
          <w:sz w:val="30"/>
          <w:szCs w:val="30"/>
        </w:rPr>
        <w:t>5.2已具备的工作条件</w:t>
      </w:r>
    </w:p>
    <w:p>
      <w:pPr>
        <w:pageBreakBefore w:val="0"/>
        <w:kinsoku/>
        <w:wordWrap/>
        <w:overflowPunct/>
        <w:topLinePunct w:val="0"/>
        <w:autoSpaceDE/>
        <w:autoSpaceDN/>
        <w:bidi w:val="0"/>
        <w:adjustRightInd/>
        <w:snapToGrid w:val="0"/>
        <w:spacing w:line="400" w:lineRule="exact"/>
        <w:ind w:right="0" w:rightChars="0" w:firstLine="420" w:firstLineChars="0"/>
        <w:jc w:val="left"/>
        <w:textAlignment w:val="auto"/>
        <w:rPr>
          <w:rFonts w:hint="eastAsia" w:eastAsia="黑体"/>
          <w:sz w:val="24"/>
          <w:szCs w:val="30"/>
          <w:lang w:val="en-US" w:eastAsia="zh-Hans"/>
        </w:rPr>
      </w:pPr>
      <w:r>
        <w:rPr>
          <w:rFonts w:hint="eastAsia"/>
          <w:sz w:val="24"/>
          <w:lang w:val="en-US" w:eastAsia="zh-Hans"/>
        </w:rPr>
        <w:t>已经完成 P4 实验室实地调研，获取设备实体照片、运行参数、使用视频、实验室 BIM 图及一个月运行监控数据，涵盖建筑结构、设备参数、操作流程、环境指标等核心数据；已经配备了Varjo XR-4 虚拟现实显示器、Varjo XR-4基础版；依托哈尔滨兽医研究所，可获取场地支持、生物安全规范及设备维护手册，数据完整度达 98%，为数字孪生建模、XR 场景开发及实时监控系统构建提供全要素支撑。</w:t>
      </w:r>
    </w:p>
    <w:p>
      <w:pPr>
        <w:keepNext w:val="0"/>
        <w:keepLines w:val="0"/>
        <w:pageBreakBefore w:val="0"/>
        <w:widowControl w:val="0"/>
        <w:kinsoku/>
        <w:wordWrap/>
        <w:overflowPunct/>
        <w:topLinePunct w:val="0"/>
        <w:autoSpaceDE/>
        <w:autoSpaceDN/>
        <w:bidi w:val="0"/>
        <w:adjustRightInd/>
        <w:snapToGrid w:val="0"/>
        <w:spacing w:before="313" w:beforeLines="100" w:line="400" w:lineRule="exact"/>
        <w:ind w:left="0" w:leftChars="0" w:right="0" w:rightChars="0" w:firstLine="0" w:firstLineChars="0"/>
        <w:jc w:val="both"/>
        <w:textAlignment w:val="auto"/>
        <w:outlineLvl w:val="1"/>
        <w:rPr>
          <w:rFonts w:eastAsia="黑体"/>
          <w:sz w:val="30"/>
          <w:szCs w:val="30"/>
        </w:rPr>
      </w:pPr>
      <w:r>
        <w:rPr>
          <w:rFonts w:eastAsia="黑体"/>
          <w:sz w:val="30"/>
          <w:szCs w:val="30"/>
        </w:rPr>
        <w:t>5.3尚缺少的工作条件和拟解决的途径</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lang w:val="en-US" w:eastAsia="zh-Hans"/>
        </w:rPr>
      </w:pPr>
      <w:r>
        <w:rPr>
          <w:rFonts w:hint="eastAsia"/>
          <w:sz w:val="24"/>
          <w:lang w:val="en-US" w:eastAsia="zh-Hans"/>
        </w:rPr>
        <w:t>对高精度设备建模（如生物安全柜内部结构）、复杂场景轻量化处理（如通风管道系统面数优化）及物理仿真（如气流动力学模拟）的技术细节缺乏经验，导致数字孪生模型的几何精度（目标 ±0.5mm）与物理真实性（如设备运行阻力模拟）难以达标。计划通过文献研究以及视频学习，系统的掌握</w:t>
      </w:r>
      <w:r>
        <w:rPr>
          <w:rFonts w:hint="default"/>
          <w:sz w:val="24"/>
          <w:lang w:eastAsia="zh-Hans"/>
        </w:rPr>
        <w:t>3</w:t>
      </w:r>
      <w:r>
        <w:rPr>
          <w:rFonts w:hint="eastAsia"/>
          <w:sz w:val="24"/>
          <w:lang w:val="en-US" w:eastAsia="zh-Hans"/>
        </w:rPr>
        <w:t>d模型构建的理论知识和实际操作技能。</w:t>
      </w:r>
    </w:p>
    <w:p>
      <w:pPr>
        <w:pageBreakBefore w:val="0"/>
        <w:kinsoku/>
        <w:wordWrap/>
        <w:overflowPunct/>
        <w:topLinePunct w:val="0"/>
        <w:autoSpaceDE/>
        <w:autoSpaceDN/>
        <w:bidi w:val="0"/>
        <w:adjustRightInd/>
        <w:snapToGrid w:val="0"/>
        <w:spacing w:line="400" w:lineRule="exact"/>
        <w:ind w:left="0" w:leftChars="0" w:right="0" w:rightChars="0" w:firstLine="420" w:firstLineChars="0"/>
        <w:textAlignment w:val="auto"/>
        <w:outlineLvl w:val="9"/>
        <w:rPr>
          <w:rFonts w:hint="eastAsia"/>
          <w:sz w:val="24"/>
          <w:lang w:val="en-US" w:eastAsia="zh-Hans"/>
        </w:rPr>
      </w:pPr>
      <w:r>
        <w:rPr>
          <w:rFonts w:hint="eastAsia"/>
          <w:sz w:val="24"/>
          <w:lang w:val="en-US" w:eastAsia="zh-Hans"/>
        </w:rPr>
        <w:t>有数据覆盖设备运行、环境参数等，但生物安全风险推演所需的关键参数（如气溶胶粒径分布、病毒灭活效率）存在缺失，且部分数据格式不统一（如设备维护手册为纸质版、操作视频未标注时间戳），增加了数据清洗与关联分析的难度。计划通过加强与哈兽研的工程管理人员沟通，增加线下数据采集次数解决。</w:t>
      </w:r>
    </w:p>
    <w:p>
      <w:pPr>
        <w:pageBreakBefore w:val="0"/>
        <w:kinsoku/>
        <w:wordWrap/>
        <w:overflowPunct/>
        <w:topLinePunct w:val="0"/>
        <w:autoSpaceDE/>
        <w:autoSpaceDN/>
        <w:bidi w:val="0"/>
        <w:adjustRightInd/>
        <w:ind w:left="0" w:leftChars="0" w:right="0" w:rightChars="0"/>
        <w:textAlignment w:val="auto"/>
        <w:rPr>
          <w:rFonts w:hint="default"/>
          <w:lang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
    <w:panose1 w:val="02000000000000000000"/>
    <w:charset w:val="00"/>
    <w:family w:val="auto"/>
    <w:pitch w:val="default"/>
    <w:sig w:usb0="00000001" w:usb1="08000000" w:usb2="00000000" w:usb3="00000000" w:csb0="00040000" w:csb1="00000000"/>
  </w:font>
  <w:font w:name="Cambria">
    <w:altName w:val=""/>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HK">
    <w:altName w:val=""/>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00000000" w:usb1="00000000"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华文楷体">
    <w:altName w:val="华文宋体"/>
    <w:panose1 w:val="02010600040101010101"/>
    <w:charset w:val="86"/>
    <w:family w:val="auto"/>
    <w:pitch w:val="default"/>
    <w:sig w:usb0="00000000" w:usb1="00000000" w:usb2="00000000" w:usb3="00000000" w:csb0="0004009F" w:csb1="DFD70000"/>
  </w:font>
  <w:font w:name="仿宋_GB2312">
    <w:altName w:val="方正仿宋_GBK"/>
    <w:panose1 w:val="02010609030101010101"/>
    <w:charset w:val="86"/>
    <w:family w:val="auto"/>
    <w:pitch w:val="default"/>
    <w:sig w:usb0="00000000" w:usb1="00000000" w:usb2="00000000" w:usb3="00000000" w:csb0="00040000" w:csb1="00000000"/>
  </w:font>
  <w:font w:name="方正小标宋简体">
    <w:altName w:val="汉仪书宋二KW"/>
    <w:panose1 w:val="03000509000000000000"/>
    <w:charset w:val="86"/>
    <w:family w:val="script"/>
    <w:pitch w:val="default"/>
    <w:sig w:usb0="00000000" w:usb1="00000000" w:usb2="0000000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 w:name="华文宋体">
    <w:panose1 w:val="02010600040101010101"/>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Hiragino Sans GB W3">
    <w:panose1 w:val="020B0300000000000000"/>
    <w:charset w:val="86"/>
    <w:family w:val="auto"/>
    <w:pitch w:val="default"/>
    <w:sig w:usb0="A00002BF" w:usb1="1ACF7CFA" w:usb2="00000016" w:usb3="00000000" w:csb0="00060007" w:csb1="00000000"/>
  </w:font>
  <w:font w:name="Heiti SC Light">
    <w:panose1 w:val="00000000000000000000"/>
    <w:charset w:val="86"/>
    <w:family w:val="auto"/>
    <w:pitch w:val="default"/>
    <w:sig w:usb0="8000002F" w:usb1="0800004A" w:usb2="00000000" w:usb3="00000000" w:csb0="203E0000" w:csb1="00000000"/>
  </w:font>
  <w:font w:name="-apple-system">
    <w:altName w:val=""/>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Inter">
    <w:altName w:val=""/>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Academy Engraved LET">
    <w:panose1 w:val="02000000000000000000"/>
    <w:charset w:val="00"/>
    <w:family w:val="auto"/>
    <w:pitch w:val="default"/>
    <w:sig w:usb0="8000007F" w:usb1="4000000A" w:usb2="00000000" w:usb3="00000000" w:csb0="00000001" w:csb1="00000000"/>
  </w:font>
  <w:font w:name="Songti SC Regular">
    <w:panose1 w:val="02010800040101010101"/>
    <w:charset w:val="86"/>
    <w:family w:val="auto"/>
    <w:pitch w:val="default"/>
    <w:sig w:usb0="00000001" w:usb1="080F0000" w:usb2="00000000" w:usb3="00000000" w:csb0="00040000" w:csb1="00000000"/>
  </w:font>
  <w:font w:name="Songti TC Regular">
    <w:panose1 w:val="02010600040101010101"/>
    <w:charset w:val="86"/>
    <w:family w:val="auto"/>
    <w:pitch w:val="default"/>
    <w:sig w:usb0="00000287" w:usb1="080F0000" w:usb2="00000000" w:usb3="00000000" w:csb0="0004009F" w:csb1="DFD70000"/>
  </w:font>
  <w:font w:name="Heiti SC Medium">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21B1EC"/>
    <w:multiLevelType w:val="singleLevel"/>
    <w:tmpl w:val="1B21B1EC"/>
    <w:lvl w:ilvl="0" w:tentative="0">
      <w:start w:val="1"/>
      <w:numFmt w:val="decimal"/>
      <w:suff w:val="nothing"/>
      <w:lvlText w:val="%1．"/>
      <w:lvlJc w:val="left"/>
    </w:lvl>
  </w:abstractNum>
  <w:abstractNum w:abstractNumId="1">
    <w:nsid w:val="67F3C515"/>
    <w:multiLevelType w:val="singleLevel"/>
    <w:tmpl w:val="67F3C515"/>
    <w:lvl w:ilvl="0" w:tentative="0">
      <w:start w:val="1"/>
      <w:numFmt w:val="decimal"/>
      <w:suff w:val="nothing"/>
      <w:lvlText w:val="（%1）"/>
      <w:lvlJc w:val="left"/>
    </w:lvl>
  </w:abstractNum>
  <w:abstractNum w:abstractNumId="2">
    <w:nsid w:val="67F90F37"/>
    <w:multiLevelType w:val="singleLevel"/>
    <w:tmpl w:val="67F90F37"/>
    <w:lvl w:ilvl="0" w:tentative="0">
      <w:start w:val="1"/>
      <w:numFmt w:val="decimal"/>
      <w:suff w:val="space"/>
      <w:lvlText w:val="(%1)"/>
      <w:lvlJc w:val="left"/>
    </w:lvl>
  </w:abstractNum>
  <w:abstractNum w:abstractNumId="3">
    <w:nsid w:val="67FA075D"/>
    <w:multiLevelType w:val="singleLevel"/>
    <w:tmpl w:val="67FA075D"/>
    <w:lvl w:ilvl="0" w:tentative="0">
      <w:start w:val="1"/>
      <w:numFmt w:val="decimal"/>
      <w:suff w:val="space"/>
      <w:lvlText w:val="%1."/>
      <w:lvlJc w:val="left"/>
    </w:lvl>
  </w:abstractNum>
  <w:abstractNum w:abstractNumId="4">
    <w:nsid w:val="67FA0777"/>
    <w:multiLevelType w:val="singleLevel"/>
    <w:tmpl w:val="67FA0777"/>
    <w:lvl w:ilvl="0" w:tentative="0">
      <w:start w:val="1"/>
      <w:numFmt w:val="decimal"/>
      <w:suff w:val="space"/>
      <w:lvlText w:val="%1."/>
      <w:lvlJc w:val="left"/>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7A4D5D"/>
    <w:rsid w:val="0F59161E"/>
    <w:rsid w:val="17FDE7AD"/>
    <w:rsid w:val="1B7FAA7D"/>
    <w:rsid w:val="1DFFF0B9"/>
    <w:rsid w:val="1F7A4D5D"/>
    <w:rsid w:val="2AA5CCA8"/>
    <w:rsid w:val="2FDE3ACF"/>
    <w:rsid w:val="2FEFBABE"/>
    <w:rsid w:val="3CB08C8B"/>
    <w:rsid w:val="3E59F7AB"/>
    <w:rsid w:val="3EEEDFFC"/>
    <w:rsid w:val="3F76C1EB"/>
    <w:rsid w:val="3FBC98BB"/>
    <w:rsid w:val="3FF42755"/>
    <w:rsid w:val="3FFF70DE"/>
    <w:rsid w:val="47B87555"/>
    <w:rsid w:val="4F05B9D1"/>
    <w:rsid w:val="53E6466A"/>
    <w:rsid w:val="56FE570A"/>
    <w:rsid w:val="577BAE63"/>
    <w:rsid w:val="57AE2266"/>
    <w:rsid w:val="5BE7D75A"/>
    <w:rsid w:val="5EF31670"/>
    <w:rsid w:val="5F4EF779"/>
    <w:rsid w:val="5FDF3A0C"/>
    <w:rsid w:val="60F77B45"/>
    <w:rsid w:val="65FD39DF"/>
    <w:rsid w:val="67753955"/>
    <w:rsid w:val="6BF7DCB9"/>
    <w:rsid w:val="6D6D3144"/>
    <w:rsid w:val="6EFB650C"/>
    <w:rsid w:val="6F3BD198"/>
    <w:rsid w:val="6FF78560"/>
    <w:rsid w:val="72FD1CAB"/>
    <w:rsid w:val="73AF394A"/>
    <w:rsid w:val="73FEB51E"/>
    <w:rsid w:val="75B817E0"/>
    <w:rsid w:val="77E7278C"/>
    <w:rsid w:val="77FE7E81"/>
    <w:rsid w:val="77FF7B0F"/>
    <w:rsid w:val="790C9DA0"/>
    <w:rsid w:val="7BE9A93B"/>
    <w:rsid w:val="7BF4F6BD"/>
    <w:rsid w:val="7C3FC7A8"/>
    <w:rsid w:val="7CFFF68E"/>
    <w:rsid w:val="7DB3751F"/>
    <w:rsid w:val="7DB70372"/>
    <w:rsid w:val="7DC78A28"/>
    <w:rsid w:val="7DFB8CFD"/>
    <w:rsid w:val="7DFF1D9A"/>
    <w:rsid w:val="7DFF4F49"/>
    <w:rsid w:val="7E7F7FEA"/>
    <w:rsid w:val="7EFB16FC"/>
    <w:rsid w:val="7F1FCAA1"/>
    <w:rsid w:val="7F5E65FB"/>
    <w:rsid w:val="7F5ED89D"/>
    <w:rsid w:val="7F6B1B20"/>
    <w:rsid w:val="7F7BB8B5"/>
    <w:rsid w:val="7F9FCC69"/>
    <w:rsid w:val="7FB399C9"/>
    <w:rsid w:val="7FB490C0"/>
    <w:rsid w:val="7FCB822D"/>
    <w:rsid w:val="7FDFF65C"/>
    <w:rsid w:val="7FF347C2"/>
    <w:rsid w:val="7FFBC7FE"/>
    <w:rsid w:val="7FFF6824"/>
    <w:rsid w:val="7FFFEDA9"/>
    <w:rsid w:val="97FAF3F2"/>
    <w:rsid w:val="9BAD6E2E"/>
    <w:rsid w:val="9FBEB491"/>
    <w:rsid w:val="ADAFC0CC"/>
    <w:rsid w:val="AFD66E13"/>
    <w:rsid w:val="B2FFAA93"/>
    <w:rsid w:val="B86B0E73"/>
    <w:rsid w:val="BFE5C1E9"/>
    <w:rsid w:val="CBD3E5EA"/>
    <w:rsid w:val="CBFAD789"/>
    <w:rsid w:val="CBFEBAE0"/>
    <w:rsid w:val="D3D43648"/>
    <w:rsid w:val="D5FF3A0B"/>
    <w:rsid w:val="DA2D23B3"/>
    <w:rsid w:val="DED7728A"/>
    <w:rsid w:val="DEFD125E"/>
    <w:rsid w:val="DFDFA50B"/>
    <w:rsid w:val="DFFF2A7A"/>
    <w:rsid w:val="EAF7A8E2"/>
    <w:rsid w:val="EB3F10F3"/>
    <w:rsid w:val="EBEDAB27"/>
    <w:rsid w:val="ED7BA48F"/>
    <w:rsid w:val="EF6D5402"/>
    <w:rsid w:val="EF7EB5CE"/>
    <w:rsid w:val="EFCE5DF6"/>
    <w:rsid w:val="F1BF48D5"/>
    <w:rsid w:val="F1EEEAC3"/>
    <w:rsid w:val="F1FDA1A5"/>
    <w:rsid w:val="F57CC4AA"/>
    <w:rsid w:val="F6E72337"/>
    <w:rsid w:val="F77B4448"/>
    <w:rsid w:val="F7BF9C3F"/>
    <w:rsid w:val="F7F7A2B3"/>
    <w:rsid w:val="F8EF066B"/>
    <w:rsid w:val="F97EB0A6"/>
    <w:rsid w:val="FA2E923D"/>
    <w:rsid w:val="FAFF83DA"/>
    <w:rsid w:val="FB3CF265"/>
    <w:rsid w:val="FB6CE5C8"/>
    <w:rsid w:val="FBAFA226"/>
    <w:rsid w:val="FBBF770C"/>
    <w:rsid w:val="FBC8DC6E"/>
    <w:rsid w:val="FBD67B0A"/>
    <w:rsid w:val="FBF9A4D9"/>
    <w:rsid w:val="FBFB62FB"/>
    <w:rsid w:val="FCEEADA7"/>
    <w:rsid w:val="FD7C1BD4"/>
    <w:rsid w:val="FDBA1337"/>
    <w:rsid w:val="FDCA7181"/>
    <w:rsid w:val="FDEBA7E1"/>
    <w:rsid w:val="FDEE824A"/>
    <w:rsid w:val="FDFFF2A4"/>
    <w:rsid w:val="FF7F3F2A"/>
    <w:rsid w:val="FF7F5B28"/>
    <w:rsid w:val="FFB929A0"/>
    <w:rsid w:val="FFDDC508"/>
    <w:rsid w:val="FFDFE27D"/>
    <w:rsid w:val="FFEF46C8"/>
    <w:rsid w:val="FFF71F7B"/>
    <w:rsid w:val="FFF784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DejaVu Sans" w:hAnsi="DejaVu Sans" w:eastAsia="方正黑体_GBK"/>
      <w:b/>
      <w:sz w:val="32"/>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Office_3.5.0.5510_F1E327BC-269C-435d-A152-05C5408002CA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2025-04-16T00:55:00Z</dcterms:created>
  <dc:creator>chenjunchen</dc:creator>
  <cp:lastModifiedBy>chenjunchen</cp:lastModifiedBy>
  <dcterms:modified xsi:type="dcterms:W3CDTF">2025-04-12T15:19:03Z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2052-3.5.0.5510</vt:lpwstr>
  </property>
</Properties>
</file>