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jc w:val="center"/>
        <w:outlineLvl w:val="0"/>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研究</w:t>
      </w:r>
      <w:r>
        <w:rPr>
          <w:rFonts w:hint="eastAsia" w:ascii="方正小标宋简体" w:hAnsi="方正小标宋简体" w:eastAsia="方正小标宋简体" w:cs="方正小标宋简体"/>
          <w:sz w:val="44"/>
          <w:szCs w:val="44"/>
        </w:rPr>
        <w:t>综述</w:t>
      </w:r>
      <w:r>
        <w:rPr>
          <w:rFonts w:hint="eastAsia" w:ascii="方正小标宋简体" w:hAnsi="方正小标宋简体" w:eastAsia="方正小标宋简体" w:cs="方正小标宋简体"/>
          <w:sz w:val="44"/>
          <w:szCs w:val="44"/>
          <w:lang w:eastAsia="zh-Hans"/>
        </w:rPr>
        <w:t>：基于xr数字孪生技术的高等级生物安全实验室的工程管理优化研究</w:t>
      </w:r>
      <w:bookmarkStart w:id="0" w:name="_GoBack"/>
      <w:bookmarkEnd w:id="0"/>
    </w:p>
    <w:p>
      <w:pPr>
        <w:keepNext w:val="0"/>
        <w:keepLines w:val="0"/>
        <w:pageBreakBefore w:val="0"/>
        <w:widowControl w:val="0"/>
        <w:numPr>
          <w:ilvl w:val="0"/>
          <w:numId w:val="1"/>
        </w:numPr>
        <w:kinsoku/>
        <w:wordWrap/>
        <w:overflowPunct/>
        <w:topLinePunct w:val="0"/>
        <w:autoSpaceDE/>
        <w:autoSpaceDN/>
        <w:bidi w:val="0"/>
        <w:adjustRightInd/>
        <w:snapToGrid w:val="0"/>
        <w:spacing w:before="313" w:beforeLines="100" w:after="313" w:afterLines="100" w:line="400" w:lineRule="exact"/>
        <w:textAlignment w:val="auto"/>
        <w:outlineLvl w:val="0"/>
        <w:rPr>
          <w:rFonts w:hint="default" w:ascii="Times New Roman" w:hAnsi="Times New Roman" w:eastAsia="黑体" w:cs="Times New Roman"/>
          <w:sz w:val="32"/>
          <w:szCs w:val="32"/>
        </w:rPr>
      </w:pPr>
      <w:r>
        <w:rPr>
          <w:rFonts w:hint="default" w:ascii="Times New Roman" w:hAnsi="Times New Roman" w:eastAsia="黑体" w:cs="Times New Roman"/>
          <w:sz w:val="32"/>
          <w:szCs w:val="32"/>
        </w:rPr>
        <w:t>引言</w:t>
      </w:r>
    </w:p>
    <w:p>
      <w:pPr>
        <w:keepNext w:val="0"/>
        <w:keepLines w:val="0"/>
        <w:pageBreakBefore w:val="0"/>
        <w:widowControl w:val="0"/>
        <w:kinsoku/>
        <w:wordWrap/>
        <w:overflowPunct/>
        <w:topLinePunct w:val="0"/>
        <w:autoSpaceDE/>
        <w:autoSpaceDN/>
        <w:bidi w:val="0"/>
        <w:adjustRightInd/>
        <w:snapToGrid w:val="0"/>
        <w:spacing w:before="313" w:beforeLines="100" w:line="400" w:lineRule="exact"/>
        <w:textAlignment w:val="auto"/>
        <w:outlineLvl w:val="1"/>
        <w:rPr>
          <w:rFonts w:hint="default" w:ascii="Times New Roman" w:hAnsi="Times New Roman" w:eastAsia="黑体" w:cs="Times New Roman"/>
          <w:sz w:val="30"/>
          <w:szCs w:val="30"/>
        </w:rPr>
      </w:pPr>
      <w:r>
        <w:rPr>
          <w:rFonts w:hint="default" w:ascii="Times New Roman" w:hAnsi="Times New Roman" w:eastAsia="黑体" w:cs="Times New Roman"/>
          <w:sz w:val="30"/>
          <w:szCs w:val="30"/>
        </w:rPr>
        <w:t>1.1研究背景</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CN"/>
        </w:rPr>
        <w:t>生物安全四级（Biosafety Level 4，BSL-4）实验室是目前世界上最高等级的生物安全实验室，在传染病预防和控制、生物恐怖威胁防范、极端微生物研究等方面发挥着重要的作用，是国家生物安全体系的核心基础设施</w:t>
      </w:r>
      <w:r>
        <w:rPr>
          <w:rFonts w:hint="default"/>
          <w:sz w:val="24"/>
          <w:szCs w:val="21"/>
          <w:lang w:eastAsia="zh-CN"/>
        </w:rPr>
        <w:t>[1]</w:t>
      </w:r>
      <w:r>
        <w:rPr>
          <w:rFonts w:hint="eastAsia"/>
          <w:sz w:val="24"/>
          <w:szCs w:val="21"/>
          <w:lang w:val="en-US" w:eastAsia="zh-CN"/>
        </w:rPr>
        <w:t>。</w:t>
      </w:r>
      <w:r>
        <w:rPr>
          <w:rFonts w:hint="eastAsia"/>
          <w:sz w:val="24"/>
          <w:szCs w:val="21"/>
          <w:lang w:val="en-US" w:eastAsia="zh-Hans"/>
        </w:rPr>
        <w:t>且</w:t>
      </w:r>
      <w:r>
        <w:rPr>
          <w:rFonts w:hint="eastAsia"/>
          <w:sz w:val="24"/>
          <w:szCs w:val="21"/>
          <w:lang w:val="en-US" w:eastAsia="zh-CN"/>
        </w:rPr>
        <w:t>随着研究的不断深入，生物安全实验室的数量及规模也在不断扩展，但由于对生物安全实验室的管理存在一定程度上的滞后，各国也多次出现实验室获得性感染(Laboratory-Acquired Infections)事件</w:t>
      </w:r>
      <w:r>
        <w:rPr>
          <w:rFonts w:hint="default"/>
          <w:sz w:val="24"/>
          <w:szCs w:val="21"/>
          <w:lang w:eastAsia="zh-CN"/>
        </w:rPr>
        <w:t>[2]</w:t>
      </w:r>
      <w:r>
        <w:rPr>
          <w:rFonts w:hint="eastAsia"/>
          <w:sz w:val="24"/>
          <w:szCs w:val="21"/>
          <w:lang w:eastAsia="zh-Hans"/>
        </w:rPr>
        <w:t>。</w:t>
      </w:r>
      <w:r>
        <w:rPr>
          <w:rFonts w:hint="eastAsia"/>
          <w:sz w:val="24"/>
          <w:szCs w:val="21"/>
          <w:lang w:val="en-US" w:eastAsia="zh-Hans"/>
        </w:rPr>
        <w:t>通过数字化工具来提高实验室生物工程运行效率，优化管理流程已成为一种趋势。</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Hans"/>
        </w:rPr>
        <w:t>数字孪生概念由Michael Grieves教授在2002年的一次演讲中提出，其提到的包含虚拟和现实空间、两者之间的信息流和数据流等表述的关于 PLM（product lifecycle management，产品生命周期管理）的概念模型[</w:t>
      </w:r>
      <w:r>
        <w:rPr>
          <w:rFonts w:hint="default"/>
          <w:sz w:val="24"/>
          <w:szCs w:val="21"/>
          <w:lang w:eastAsia="zh-Hans"/>
        </w:rPr>
        <w:t>3</w:t>
      </w:r>
      <w:r>
        <w:rPr>
          <w:rFonts w:hint="eastAsia"/>
          <w:sz w:val="24"/>
          <w:szCs w:val="21"/>
          <w:lang w:val="en-US" w:eastAsia="zh-Hans"/>
        </w:rPr>
        <w:t>]，被业界普遍认为是数字孪生概念的首次提出。近年来，数字孪生技术在工业制造、智慧城市、医疗健康等领域展现出巨大潜力。在工业制造中，数字孪生通过构建产品的虚拟模型，优化生产流程和设备维护，提高生产效率和产品质量。在建筑工程领域，数字孪生技术被用于降低运维阶段的能源消耗、加快施工工期和减少碳排放</w:t>
      </w:r>
      <w:r>
        <w:rPr>
          <w:rFonts w:hint="default"/>
          <w:sz w:val="24"/>
          <w:szCs w:val="21"/>
          <w:lang w:eastAsia="zh-Hans"/>
        </w:rPr>
        <w:t>,</w:t>
      </w:r>
      <w:r>
        <w:rPr>
          <w:rFonts w:hint="eastAsia"/>
          <w:sz w:val="24"/>
          <w:szCs w:val="21"/>
          <w:lang w:val="en-US" w:eastAsia="zh-Hans"/>
        </w:rPr>
        <w:t>尤其是在智慧城市中，通过构建城市的虚拟数字孪生模型，实现对城市运行状态的实时监控和优化。</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Hans"/>
        </w:rPr>
        <w:t>XR技术融合了虚拟现实（VR）、增强现实（AR）和混合现实（MR）等多种形式，本质上是基于虚拟空间的</w:t>
      </w:r>
      <w:r>
        <w:rPr>
          <w:rFonts w:hint="default"/>
          <w:sz w:val="24"/>
          <w:szCs w:val="21"/>
          <w:lang w:eastAsia="zh-Hans"/>
        </w:rPr>
        <w:t>3</w:t>
      </w:r>
      <w:r>
        <w:rPr>
          <w:rFonts w:hint="eastAsia"/>
          <w:sz w:val="24"/>
          <w:szCs w:val="21"/>
          <w:lang w:val="en-US" w:eastAsia="zh-Hans"/>
        </w:rPr>
        <w:t>d视频。扩展现实（XR）作为元宇宙的重要技术支撑，越来越受到业界关注。各大视频和游戏平台已经出现一些虚拟现实</w:t>
      </w:r>
      <w:r>
        <w:rPr>
          <w:rFonts w:hint="default"/>
          <w:sz w:val="24"/>
          <w:szCs w:val="21"/>
          <w:lang w:eastAsia="zh-Hans"/>
        </w:rPr>
        <w:t>(</w:t>
      </w:r>
      <w:r>
        <w:rPr>
          <w:rFonts w:hint="eastAsia"/>
          <w:sz w:val="24"/>
          <w:szCs w:val="21"/>
          <w:lang w:val="en-US" w:eastAsia="zh-Hans"/>
        </w:rPr>
        <w:t>VR</w:t>
      </w:r>
      <w:r>
        <w:rPr>
          <w:rFonts w:hint="default"/>
          <w:sz w:val="24"/>
          <w:szCs w:val="21"/>
          <w:lang w:eastAsia="zh-Hans"/>
        </w:rPr>
        <w:t>)</w:t>
      </w:r>
      <w:r>
        <w:rPr>
          <w:rFonts w:hint="eastAsia"/>
          <w:sz w:val="24"/>
          <w:szCs w:val="21"/>
          <w:lang w:val="en-US" w:eastAsia="zh-Hans"/>
        </w:rPr>
        <w:t>类应用，比如 VR 全景视频、VR 云游戏等。随着头显的轻便化发展，增强现实</w:t>
      </w:r>
      <w:r>
        <w:rPr>
          <w:rFonts w:hint="default"/>
          <w:sz w:val="24"/>
          <w:szCs w:val="21"/>
          <w:lang w:eastAsia="zh-Hans"/>
        </w:rPr>
        <w:t>(</w:t>
      </w:r>
      <w:r>
        <w:rPr>
          <w:rFonts w:hint="eastAsia"/>
          <w:sz w:val="24"/>
          <w:szCs w:val="21"/>
          <w:lang w:val="en-US" w:eastAsia="zh-Hans"/>
        </w:rPr>
        <w:t>AR</w:t>
      </w:r>
      <w:r>
        <w:rPr>
          <w:rFonts w:hint="default"/>
          <w:sz w:val="24"/>
          <w:szCs w:val="21"/>
          <w:lang w:eastAsia="zh-Hans"/>
        </w:rPr>
        <w:t>)</w:t>
      </w:r>
      <w:r>
        <w:rPr>
          <w:rFonts w:hint="eastAsia"/>
          <w:sz w:val="24"/>
          <w:szCs w:val="21"/>
          <w:lang w:val="en-US" w:eastAsia="zh-Hans"/>
        </w:rPr>
        <w:t>、混合现</w:t>
      </w:r>
      <w:r>
        <w:rPr>
          <w:rFonts w:hint="default"/>
          <w:sz w:val="24"/>
          <w:szCs w:val="21"/>
          <w:lang w:eastAsia="zh-Hans"/>
        </w:rPr>
        <w:t>(</w:t>
      </w:r>
      <w:r>
        <w:rPr>
          <w:rFonts w:hint="eastAsia"/>
          <w:sz w:val="24"/>
          <w:szCs w:val="21"/>
          <w:lang w:val="en-US" w:eastAsia="zh-Hans"/>
        </w:rPr>
        <w:t>MR</w:t>
      </w:r>
      <w:r>
        <w:rPr>
          <w:rFonts w:hint="default"/>
          <w:sz w:val="24"/>
          <w:szCs w:val="21"/>
          <w:lang w:eastAsia="zh-Hans"/>
        </w:rPr>
        <w:t>)</w:t>
      </w:r>
      <w:r>
        <w:rPr>
          <w:rFonts w:hint="eastAsia"/>
          <w:sz w:val="24"/>
          <w:szCs w:val="21"/>
          <w:lang w:val="en-US" w:eastAsia="zh-Hans"/>
        </w:rPr>
        <w:t>类应用也越来越多</w:t>
      </w:r>
      <w:r>
        <w:rPr>
          <w:rFonts w:hint="default"/>
          <w:sz w:val="24"/>
          <w:szCs w:val="21"/>
          <w:lang w:eastAsia="zh-Hans"/>
        </w:rPr>
        <w:t>[4]</w:t>
      </w:r>
      <w:r>
        <w:rPr>
          <w:rFonts w:hint="eastAsia"/>
          <w:sz w:val="24"/>
          <w:szCs w:val="21"/>
          <w:lang w:val="en-US" w:eastAsia="zh-Hans"/>
        </w:rPr>
        <w:t>。在教育、医疗、工业制造等领域，XR技术通过创建沉浸式环境，提升了用户体验和操作效率。例如在实验室操作流程管理方面，工程师在实操前通过XR技术体验整个实验流程，熟悉设备操作和安全规程，提高实操能力和安全性。这种沉浸式体验不仅能够提高学生的操作熟练度，还能降低实际操作中的风险。</w:t>
      </w:r>
    </w:p>
    <w:p>
      <w:pPr>
        <w:keepNext w:val="0"/>
        <w:keepLines w:val="0"/>
        <w:pageBreakBefore w:val="0"/>
        <w:widowControl w:val="0"/>
        <w:kinsoku/>
        <w:wordWrap/>
        <w:overflowPunct/>
        <w:topLinePunct w:val="0"/>
        <w:autoSpaceDE/>
        <w:autoSpaceDN/>
        <w:bidi w:val="0"/>
        <w:adjustRightInd/>
        <w:snapToGrid w:val="0"/>
        <w:spacing w:before="313" w:beforeLines="100" w:line="400" w:lineRule="exact"/>
        <w:textAlignment w:val="auto"/>
        <w:outlineLvl w:val="1"/>
        <w:rPr>
          <w:rFonts w:hint="default" w:ascii="Times New Roman" w:hAnsi="Times New Roman" w:eastAsia="黑体" w:cs="Times New Roman"/>
          <w:sz w:val="30"/>
          <w:szCs w:val="30"/>
        </w:rPr>
      </w:pPr>
      <w:r>
        <w:rPr>
          <w:rFonts w:hint="default" w:ascii="Times New Roman" w:hAnsi="Times New Roman" w:eastAsia="黑体" w:cs="Times New Roman"/>
          <w:sz w:val="30"/>
          <w:szCs w:val="30"/>
        </w:rPr>
        <w:t>1.2研究意义</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Hans"/>
        </w:rPr>
        <w:t>在数字化时代背景下，很多传统工程管理都开始采用数字化技术解决问题，数字孪生在建筑工程领域、智慧城市领域、应急管理领域都得到了应用与发展，但在复杂生物安全场景下数字化管理的理论仍是一片蓝图。在全球生物安全风险加剧（如新发传染病、生物恐怖威胁）的背景下，我国高等级生物安全实验室正处于 “规模扩张” 与 “管理升级” 的关键期，将数字化技术引入传统的生物安全管理领域的需求越来越迫切。</w:t>
      </w:r>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default" w:ascii="Times New Roman" w:hAnsi="Times New Roman" w:cs="Times New Roman"/>
          <w:sz w:val="24"/>
        </w:rPr>
      </w:pPr>
      <w:r>
        <w:rPr>
          <w:rFonts w:hint="eastAsia"/>
          <w:sz w:val="24"/>
          <w:szCs w:val="21"/>
          <w:lang w:val="en-US" w:eastAsia="zh-Hans"/>
        </w:rPr>
        <w:t>本文将通过融合 BIM 建模、物联网数据采集与 XR 沉浸式交互技术，在高等级生物安全实验室领域，构建 “物理实验室</w:t>
      </w:r>
      <w:r>
        <w:rPr>
          <w:rFonts w:hint="default"/>
          <w:sz w:val="24"/>
          <w:szCs w:val="21"/>
          <w:lang w:eastAsia="zh-Hans"/>
        </w:rPr>
        <w:t>-</w:t>
      </w:r>
      <w:r>
        <w:rPr>
          <w:rFonts w:hint="eastAsia"/>
          <w:sz w:val="24"/>
          <w:szCs w:val="21"/>
          <w:lang w:val="en-US" w:eastAsia="zh-Hans"/>
        </w:rPr>
        <w:t>数字孪生</w:t>
      </w:r>
      <w:r>
        <w:rPr>
          <w:rFonts w:hint="default"/>
          <w:sz w:val="24"/>
          <w:szCs w:val="21"/>
          <w:lang w:eastAsia="zh-Hans"/>
        </w:rPr>
        <w:t>-</w:t>
      </w:r>
      <w:r>
        <w:rPr>
          <w:rFonts w:hint="eastAsia"/>
          <w:sz w:val="24"/>
          <w:szCs w:val="21"/>
          <w:lang w:val="en-US" w:eastAsia="zh-Hans"/>
        </w:rPr>
        <w:t>XR 交互界面” 三位一体的管理模型，通过“虚拟空间</w:t>
      </w:r>
      <w:r>
        <w:rPr>
          <w:rFonts w:hint="default"/>
          <w:sz w:val="24"/>
          <w:szCs w:val="21"/>
          <w:lang w:eastAsia="zh-Hans"/>
        </w:rPr>
        <w:t>-</w:t>
      </w:r>
      <w:r>
        <w:rPr>
          <w:rFonts w:hint="eastAsia"/>
          <w:sz w:val="24"/>
          <w:szCs w:val="21"/>
          <w:lang w:val="en-US" w:eastAsia="zh-Hans"/>
        </w:rPr>
        <w:t>物理实体”的实时映射与数据交互，颠覆了传统工程管理中 “数据滞后”“空间割裂” 的固有模式，从而推动实验室管理从 “硬件堆砌” 向 “智慧化运营” 转型，形成可复制的数字化管理解决方案，助力我国生物安全基础设施建设实现 “弯道超车”。数字孪生技术可以实时接入温湿度、设备运行状态等数据，通过实时监测实验室运行数据，通过算法模型动态预警异常，实现 “预防式管理”。相关研究指出，实验室获得性感染（LAI）事件中约 30% 源于设备故障或操作流程漏洞，而数字孪生的实时监控能力可将风险识别效率提升 40% 以上，为阻断风险传播链提供技术支撑。XR 技术通过构建虚拟漫游场景，可模拟病原体泄漏、火灾等极端场景，使科研人员在无真实风险的环境中反复训练防护服穿脱、气溶胶处理等关键流程。相较于传统桌面推演，XR 技术将应急响应培训的 “试错成本” 降为零，且能通过眼动追踪、操作耗时等数据量化评估培训效果，为优化应急流程提供数据依据。</w:t>
      </w:r>
    </w:p>
    <w:p>
      <w:pPr>
        <w:keepNext w:val="0"/>
        <w:keepLines w:val="0"/>
        <w:pageBreakBefore w:val="0"/>
        <w:widowControl w:val="0"/>
        <w:numPr>
          <w:ilvl w:val="0"/>
          <w:numId w:val="1"/>
        </w:numPr>
        <w:kinsoku/>
        <w:wordWrap/>
        <w:overflowPunct/>
        <w:topLinePunct w:val="0"/>
        <w:autoSpaceDE/>
        <w:autoSpaceDN/>
        <w:bidi w:val="0"/>
        <w:adjustRightInd/>
        <w:snapToGrid w:val="0"/>
        <w:spacing w:before="313" w:beforeLines="100" w:after="313" w:afterLines="100" w:line="400" w:lineRule="exact"/>
        <w:textAlignment w:val="auto"/>
        <w:outlineLvl w:val="0"/>
        <w:rPr>
          <w:rFonts w:hint="default" w:ascii="Times New Roman" w:hAnsi="Times New Roman" w:eastAsia="黑体" w:cs="Times New Roman"/>
          <w:sz w:val="32"/>
          <w:szCs w:val="32"/>
        </w:rPr>
      </w:pPr>
      <w:r>
        <w:rPr>
          <w:rFonts w:hint="default" w:ascii="Times New Roman" w:hAnsi="Times New Roman" w:eastAsia="黑体" w:cs="Times New Roman"/>
          <w:sz w:val="32"/>
          <w:szCs w:val="32"/>
        </w:rPr>
        <w:t>国内外研究现状</w:t>
      </w:r>
    </w:p>
    <w:p>
      <w:pPr>
        <w:keepNext w:val="0"/>
        <w:keepLines w:val="0"/>
        <w:pageBreakBefore w:val="0"/>
        <w:widowControl w:val="0"/>
        <w:kinsoku/>
        <w:wordWrap/>
        <w:overflowPunct/>
        <w:topLinePunct w:val="0"/>
        <w:autoSpaceDE/>
        <w:autoSpaceDN/>
        <w:bidi w:val="0"/>
        <w:adjustRightInd/>
        <w:snapToGrid w:val="0"/>
        <w:spacing w:before="313" w:beforeLines="100" w:line="400" w:lineRule="exact"/>
        <w:textAlignment w:val="auto"/>
        <w:outlineLvl w:val="1"/>
        <w:rPr>
          <w:rFonts w:hint="default" w:ascii="Times New Roman" w:hAnsi="Times New Roman" w:eastAsia="黑体" w:cs="Times New Roman"/>
          <w:sz w:val="30"/>
          <w:szCs w:val="30"/>
        </w:rPr>
      </w:pPr>
      <w:r>
        <w:rPr>
          <w:rFonts w:hint="default" w:ascii="Times New Roman" w:hAnsi="Times New Roman" w:eastAsia="黑体" w:cs="Times New Roman"/>
          <w:sz w:val="30"/>
          <w:szCs w:val="30"/>
        </w:rPr>
        <w:t>2.1国内</w:t>
      </w:r>
      <w:r>
        <w:rPr>
          <w:rFonts w:hint="eastAsia" w:eastAsia="黑体" w:cs="Times New Roman"/>
          <w:sz w:val="30"/>
          <w:szCs w:val="30"/>
          <w:lang w:val="en-US" w:eastAsia="zh-Hans"/>
        </w:rPr>
        <w:t>研究</w:t>
      </w:r>
      <w:r>
        <w:rPr>
          <w:rFonts w:hint="default" w:ascii="Times New Roman" w:hAnsi="Times New Roman" w:eastAsia="黑体" w:cs="Times New Roman"/>
          <w:sz w:val="30"/>
          <w:szCs w:val="30"/>
        </w:rPr>
        <w:t>现状</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Hans"/>
        </w:rPr>
        <w:t>国内学者围绕数字孪生技术在 BSL-4 实验室生物工程的管理中的落地展开了多维度研究。在风险预警与设备管理领域，李华等构建的数字孪生监控系统通过部署 200 + 传感器节点，实现对实验室温湿度、压差、高效过滤器（HEPA）运行状态的毫米级精度监测，结合计算流体力学（CFD）模型模拟气溶胶扩散路径，将泄漏风险预测提前至 72 小时以上，漏检率从传统人工巡检的 25% 降至 4.2%[</w:t>
      </w:r>
      <w:r>
        <w:rPr>
          <w:rFonts w:hint="default"/>
          <w:sz w:val="24"/>
          <w:szCs w:val="21"/>
          <w:lang w:eastAsia="zh-Hans"/>
        </w:rPr>
        <w:t>5</w:t>
      </w:r>
      <w:r>
        <w:rPr>
          <w:rFonts w:hint="eastAsia"/>
          <w:sz w:val="24"/>
          <w:szCs w:val="21"/>
          <w:lang w:val="en-US" w:eastAsia="zh-Hans"/>
        </w:rPr>
        <w:t>]。该技术在武汉病毒研究所 P4 实验室试点应用时，通过动态调整通风系统阀门开度，使核心区气流速度均匀度提升 32%，显著降低了交叉污染风险。在全生命周期管理领域，王强团队提出的 “规划 - 建设 - 运维” 一体化数字孪生框架，首次将 BIM 技术与实验室专项设计深度融合。在深圳某 BSL-3 实验室建设中，通过虚拟模型预演发现洁净区管道与消防喷淋系统冲突 15 处，减少设计变更签证单 12 份，节约工期 18 天，降低成本约 230 万元 [</w:t>
      </w:r>
      <w:r>
        <w:rPr>
          <w:rFonts w:hint="default"/>
          <w:sz w:val="24"/>
          <w:szCs w:val="21"/>
          <w:lang w:eastAsia="zh-Hans"/>
        </w:rPr>
        <w:t>6</w:t>
      </w:r>
      <w:r>
        <w:rPr>
          <w:rFonts w:hint="eastAsia"/>
          <w:sz w:val="24"/>
          <w:szCs w:val="21"/>
          <w:lang w:val="en-US" w:eastAsia="zh-Hans"/>
        </w:rPr>
        <w:t>]。张敏等基于 LSTM 神经网络开发的设备预测性维护模型，针对生物安全柜滤芯寿命预测精度达 92.3%，较传统定时更换模式减少 35% 的滤芯浪费，相关成果已纳入《生物安全实验室设备运维技术规范》（征求意见稿）[</w:t>
      </w:r>
      <w:r>
        <w:rPr>
          <w:rFonts w:hint="default"/>
          <w:sz w:val="24"/>
          <w:szCs w:val="21"/>
          <w:lang w:eastAsia="zh-Hans"/>
        </w:rPr>
        <w:t>7</w:t>
      </w:r>
      <w:r>
        <w:rPr>
          <w:rFonts w:hint="eastAsia"/>
          <w:sz w:val="24"/>
          <w:szCs w:val="21"/>
          <w:lang w:val="en-US" w:eastAsia="zh-Hans"/>
        </w:rPr>
        <w:t>]。</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Hans"/>
        </w:rPr>
        <w:t>XR 技术在国内实验室安全培训中的应用呈现技术融合与场景化定制趋势。浙江大学联合之江实验室研发的 “灵境 - 生物安全” VR 培训系统，构建 1:1 高精度 BSL-4 实验室虚拟场景，集成力反馈手套、压力传感服等外设，实现防护服穿脱、生物安全柜操作等 12 类高风险操作的沉浸式训练。实测数据显示，学员操作合规率从传统培训的 68% 提升至 89.7%，应急响应时间缩短 42%[</w:t>
      </w:r>
      <w:r>
        <w:rPr>
          <w:rFonts w:hint="default"/>
          <w:sz w:val="24"/>
          <w:szCs w:val="21"/>
          <w:lang w:eastAsia="zh-Hans"/>
        </w:rPr>
        <w:t>8</w:t>
      </w:r>
      <w:r>
        <w:rPr>
          <w:rFonts w:hint="eastAsia"/>
          <w:sz w:val="24"/>
          <w:szCs w:val="21"/>
          <w:lang w:val="en-US" w:eastAsia="zh-Hans"/>
        </w:rPr>
        <w:t>]。该系统已纳入国家卫健委《高等级生物安全实验室人员培训大纲》指定教具。在应急演练技术创新方面，山东艾克斯尔公司与军事科学院合作开发的 MR 病原体泄漏处置系统，基于 Hololens 2 实现真实场景与虚拟数据的深度融合。演练中，系统可动态生成不同浓度的 “虚拟病毒云”，并通过 UWB 定位技术实现 10cm 级精度的人员位置追踪。王新台等在 5G+XR 协同架构研究中提出，通过边缘计算节点将延迟控制在 50ms 以内，支持远程专家实时标注指导，使复杂场景下的决策效率提升 65%[</w:t>
      </w:r>
      <w:r>
        <w:rPr>
          <w:rFonts w:hint="default"/>
          <w:sz w:val="24"/>
          <w:szCs w:val="21"/>
          <w:lang w:eastAsia="zh-Hans"/>
        </w:rPr>
        <w:t>9</w:t>
      </w:r>
      <w:r>
        <w:rPr>
          <w:rFonts w:hint="eastAsia"/>
          <w:sz w:val="24"/>
          <w:szCs w:val="21"/>
          <w:lang w:val="en-US" w:eastAsia="zh-Hans"/>
        </w:rPr>
        <w:t>]。清华大学团队研发的应急资源调度系统，通过数字孪生模型实时映射 300 + 防护物资位置，结合强化学习算法优化路径规划，将物资调配时间从平均 15 分钟缩短至 5 分钟 [</w:t>
      </w:r>
      <w:r>
        <w:rPr>
          <w:rFonts w:hint="default"/>
          <w:sz w:val="24"/>
          <w:szCs w:val="21"/>
          <w:lang w:eastAsia="zh-Hans"/>
        </w:rPr>
        <w:t>10</w:t>
      </w:r>
      <w:r>
        <w:rPr>
          <w:rFonts w:hint="eastAsia"/>
          <w:sz w:val="24"/>
          <w:szCs w:val="21"/>
          <w:lang w:val="en-US" w:eastAsia="zh-Hans"/>
        </w:rPr>
        <w:t>]。</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eastAsia="zh-Hans"/>
        </w:rPr>
      </w:pPr>
      <w:r>
        <w:rPr>
          <w:rFonts w:hint="eastAsia"/>
          <w:sz w:val="24"/>
          <w:szCs w:val="21"/>
          <w:lang w:val="en-US" w:eastAsia="zh-Hans"/>
        </w:rPr>
        <w:t>国家层面通过“十四五”国家重点研发计划、《生物安全法》实施细则等政策，明确将 “数字孪生 + 生物安全” 列为战略发展方向。</w:t>
      </w:r>
      <w:r>
        <w:rPr>
          <w:rFonts w:hint="default"/>
          <w:sz w:val="24"/>
          <w:szCs w:val="21"/>
          <w:lang w:eastAsia="zh-Hans"/>
        </w:rPr>
        <w:t>2023</w:t>
      </w:r>
      <w:r>
        <w:rPr>
          <w:rFonts w:hint="eastAsia"/>
          <w:sz w:val="24"/>
          <w:szCs w:val="21"/>
          <w:lang w:val="en-US" w:eastAsia="zh-Hans"/>
        </w:rPr>
        <w:t>年立项的“高等级生物安全实验室智能管理关键技术”专项，聚焦解决多模态数据融合（设备运行数据、环境参数、人员行为轨迹）技术瓶颈，其成果在上海 P4 实验室试点中实现 200 + 设备状态的秒级同步 [</w:t>
      </w:r>
      <w:r>
        <w:rPr>
          <w:rFonts w:hint="default"/>
          <w:sz w:val="24"/>
          <w:szCs w:val="21"/>
          <w:lang w:eastAsia="zh-Hans"/>
        </w:rPr>
        <w:t>11</w:t>
      </w:r>
      <w:r>
        <w:rPr>
          <w:rFonts w:hint="eastAsia"/>
          <w:sz w:val="24"/>
          <w:szCs w:val="21"/>
          <w:lang w:val="en-US" w:eastAsia="zh-Hans"/>
        </w:rPr>
        <w:t>]。《数字孪生（英文）》期刊开设的 “生物安全专刊” 收录了中科院上海高等研究院提出的实验室数字孪生成熟度模型，将技术应用分为数据可视化、流程模拟、自主决策三个阶段，为行业实施提供了标准化参考框架 [</w:t>
      </w:r>
      <w:r>
        <w:rPr>
          <w:rFonts w:hint="default"/>
          <w:sz w:val="24"/>
          <w:szCs w:val="21"/>
          <w:lang w:eastAsia="zh-Hans"/>
        </w:rPr>
        <w:t>12</w:t>
      </w:r>
      <w:r>
        <w:rPr>
          <w:rFonts w:hint="eastAsia"/>
          <w:sz w:val="24"/>
          <w:szCs w:val="21"/>
          <w:lang w:val="en-US" w:eastAsia="zh-Hans"/>
        </w:rPr>
        <w:t>]。</w:t>
      </w:r>
    </w:p>
    <w:p>
      <w:pPr>
        <w:keepNext w:val="0"/>
        <w:keepLines w:val="0"/>
        <w:pageBreakBefore w:val="0"/>
        <w:widowControl w:val="0"/>
        <w:kinsoku/>
        <w:wordWrap/>
        <w:overflowPunct/>
        <w:topLinePunct w:val="0"/>
        <w:autoSpaceDE/>
        <w:autoSpaceDN/>
        <w:bidi w:val="0"/>
        <w:adjustRightInd/>
        <w:snapToGrid w:val="0"/>
        <w:spacing w:before="313" w:beforeLines="100" w:line="400" w:lineRule="exact"/>
        <w:textAlignment w:val="auto"/>
        <w:outlineLvl w:val="1"/>
        <w:rPr>
          <w:rFonts w:hint="default" w:ascii="Times New Roman" w:hAnsi="Times New Roman" w:eastAsia="黑体" w:cs="Times New Roman"/>
          <w:sz w:val="30"/>
          <w:szCs w:val="30"/>
        </w:rPr>
      </w:pPr>
      <w:r>
        <w:rPr>
          <w:rFonts w:hint="default" w:ascii="Times New Roman" w:hAnsi="Times New Roman" w:eastAsia="黑体" w:cs="Times New Roman"/>
          <w:sz w:val="30"/>
          <w:szCs w:val="30"/>
        </w:rPr>
        <w:t>2.2国外研究现状</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Hans"/>
        </w:rPr>
        <w:t>国际研究中，数字孪生已从单一设备监控升级为全系统智能决策。美国陆军传染病医学研究所（USAMRIID）开发的 “雅典娜” 数字孪生平台，集成 127 个生物安全传感器与 AI 风险评估模型，通过迁移学习技术分析历史泄漏事件，将 BSL-4 实验室风险预警准确率提升至 95.6%。该系统可自动生成三级应急响应预案，在模拟电力中断场景中，将通风系统切换时间从 300 秒缩短至 45 秒</w:t>
      </w:r>
      <w:r>
        <w:rPr>
          <w:rFonts w:hint="default"/>
          <w:sz w:val="24"/>
          <w:szCs w:val="21"/>
          <w:lang w:eastAsia="zh-Hans"/>
        </w:rPr>
        <w:t>[13]</w:t>
      </w:r>
      <w:r>
        <w:rPr>
          <w:rFonts w:hint="eastAsia"/>
          <w:sz w:val="24"/>
          <w:szCs w:val="21"/>
          <w:lang w:val="en-US" w:eastAsia="zh-Hans"/>
        </w:rPr>
        <w:t>。欧洲研究团队在里昂 BSL-4 实验室的实践中，通过数字孪生模型优化气流组织，使核心区负压梯度波动范围从 ±5Pa 降至 ±1Pa，能耗降低 28%[</w:t>
      </w:r>
      <w:r>
        <w:rPr>
          <w:rFonts w:hint="default"/>
          <w:sz w:val="24"/>
          <w:szCs w:val="21"/>
          <w:lang w:eastAsia="zh-Hans"/>
        </w:rPr>
        <w:t>14</w:t>
      </w:r>
      <w:r>
        <w:rPr>
          <w:rFonts w:hint="eastAsia"/>
          <w:sz w:val="24"/>
          <w:szCs w:val="21"/>
          <w:lang w:val="en-US" w:eastAsia="zh-Hans"/>
        </w:rPr>
        <w:t>]。德国亥姆霍兹感染研究中心开发的数字孪生运维平台，引入数字线程技术整合设备全生命周期数据，实现生物安全柜滤芯更换、灭菌锅效能验证等 18 类维护任务的自动化调度，维护效率提升 40%[1</w:t>
      </w:r>
      <w:r>
        <w:rPr>
          <w:rFonts w:hint="default"/>
          <w:sz w:val="24"/>
          <w:szCs w:val="21"/>
          <w:lang w:eastAsia="zh-Hans"/>
        </w:rPr>
        <w:t>5</w:t>
      </w:r>
      <w:r>
        <w:rPr>
          <w:rFonts w:hint="eastAsia"/>
          <w:sz w:val="24"/>
          <w:szCs w:val="21"/>
          <w:lang w:val="en-US" w:eastAsia="zh-Hans"/>
        </w:rPr>
        <w:t>]。</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Hans"/>
        </w:rPr>
        <w:t>美国疾控中心（CDC）主导的 “虚拟生物安全走廊” 项目，利用 VR 技术构建埃博拉、猴痘病毒等高风险实验场景，通过眼球追踪与肌电传感器分析学员操作压力值，生成个性化能力评估报告。《JMIR Medical Education》研究显示，该系统使操作记忆留存率提升至 91.2%，较传统培训方式提高 48%[1</w:t>
      </w:r>
      <w:r>
        <w:rPr>
          <w:rFonts w:hint="default"/>
          <w:sz w:val="24"/>
          <w:szCs w:val="21"/>
          <w:lang w:eastAsia="zh-Hans"/>
        </w:rPr>
        <w:t>6</w:t>
      </w:r>
      <w:r>
        <w:rPr>
          <w:rFonts w:hint="eastAsia"/>
          <w:sz w:val="24"/>
          <w:szCs w:val="21"/>
          <w:lang w:val="en-US" w:eastAsia="zh-Hans"/>
        </w:rPr>
        <w:t>]。约翰霍普金斯大学开发的 AR 辅助系统，通过实时语义分割技术识别实验室设备，自动弹出操作指南与安全规程，将新手误操作率从 22% 降至 9.5%[1</w:t>
      </w:r>
      <w:r>
        <w:rPr>
          <w:rFonts w:hint="default"/>
          <w:sz w:val="24"/>
          <w:szCs w:val="21"/>
          <w:lang w:eastAsia="zh-Hans"/>
        </w:rPr>
        <w:t>7</w:t>
      </w:r>
      <w:r>
        <w:rPr>
          <w:rFonts w:hint="eastAsia"/>
          <w:sz w:val="24"/>
          <w:szCs w:val="21"/>
          <w:lang w:val="en-US" w:eastAsia="zh-Hans"/>
        </w:rPr>
        <w:t>]。英国公共卫生部（PHE）的 MR 应急演练平台支持跨地域多团队协同，通过数字孪生实时同步实验室真实数据（如压差、温湿度），可动态调整泄漏规模、扩散速度等参数。《Safety Science》案例显示，参与沉浸式演练的团队在真实事故中的决策正确率比未参与团队高 39%，且响应时间缩短 27%[1</w:t>
      </w:r>
      <w:r>
        <w:rPr>
          <w:rFonts w:hint="default"/>
          <w:sz w:val="24"/>
          <w:szCs w:val="21"/>
          <w:lang w:eastAsia="zh-Hans"/>
        </w:rPr>
        <w:t>8</w:t>
      </w:r>
      <w:r>
        <w:rPr>
          <w:rFonts w:hint="eastAsia"/>
          <w:sz w:val="24"/>
          <w:szCs w:val="21"/>
          <w:lang w:val="en-US" w:eastAsia="zh-Hans"/>
        </w:rPr>
        <w:t>]。</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Hans"/>
        </w:rPr>
        <w:t>国际标准化组织（ISO）于 2023 年发布《ISO/TS 24643:2023 实验室数字孪生技术指南》，明确生物安全实验室数字孪生模型需包含几何建模（精度≤2mm）、实时数据交互（延迟≤100ms）、风险评估算法等核心要素 [1</w:t>
      </w:r>
      <w:r>
        <w:rPr>
          <w:rFonts w:hint="default"/>
          <w:sz w:val="24"/>
          <w:szCs w:val="21"/>
          <w:lang w:eastAsia="zh-Hans"/>
        </w:rPr>
        <w:t>9</w:t>
      </w:r>
      <w:r>
        <w:rPr>
          <w:rFonts w:hint="eastAsia"/>
          <w:sz w:val="24"/>
          <w:szCs w:val="21"/>
          <w:lang w:val="en-US" w:eastAsia="zh-Hans"/>
        </w:rPr>
        <w:t>]。欧盟《生物安全 2030 战略》要求成员国 BSL-3/4 实验室在 2025 年前完成数字孪生系统部署，并配套 2 亿欧元专项基金用于技术研发 [</w:t>
      </w:r>
      <w:r>
        <w:rPr>
          <w:rFonts w:hint="default"/>
          <w:sz w:val="24"/>
          <w:szCs w:val="21"/>
          <w:lang w:eastAsia="zh-Hans"/>
        </w:rPr>
        <w:t>20</w:t>
      </w:r>
      <w:r>
        <w:rPr>
          <w:rFonts w:hint="eastAsia"/>
          <w:sz w:val="24"/>
          <w:szCs w:val="21"/>
          <w:lang w:val="en-US" w:eastAsia="zh-Hans"/>
        </w:rPr>
        <w:t>]。美国 FDA 在 2024 年更新的《生物制药设施指南》中，强制要求高等级实验室采用数字孪生技术进行年度风险评估，相关合规性审查已纳入 P4 实验室认证流程 [</w:t>
      </w:r>
      <w:r>
        <w:rPr>
          <w:rFonts w:hint="default"/>
          <w:sz w:val="24"/>
          <w:szCs w:val="21"/>
          <w:lang w:eastAsia="zh-Hans"/>
        </w:rPr>
        <w:t>21</w:t>
      </w:r>
      <w:r>
        <w:rPr>
          <w:rFonts w:hint="eastAsia"/>
          <w:sz w:val="24"/>
          <w:szCs w:val="21"/>
          <w:lang w:val="en-US" w:eastAsia="zh-Hans"/>
        </w:rPr>
        <w:t>]。</w:t>
      </w:r>
    </w:p>
    <w:p>
      <w:pPr>
        <w:keepNext w:val="0"/>
        <w:keepLines w:val="0"/>
        <w:pageBreakBefore w:val="0"/>
        <w:widowControl w:val="0"/>
        <w:numPr>
          <w:ilvl w:val="0"/>
          <w:numId w:val="1"/>
        </w:numPr>
        <w:kinsoku/>
        <w:wordWrap/>
        <w:overflowPunct/>
        <w:topLinePunct w:val="0"/>
        <w:autoSpaceDE/>
        <w:autoSpaceDN/>
        <w:bidi w:val="0"/>
        <w:adjustRightInd/>
        <w:snapToGrid w:val="0"/>
        <w:spacing w:before="313" w:beforeLines="100" w:after="313" w:afterLines="100" w:line="400" w:lineRule="exact"/>
        <w:textAlignment w:val="auto"/>
        <w:outlineLvl w:val="0"/>
        <w:rPr>
          <w:rFonts w:hint="default" w:ascii="Times New Roman" w:hAnsi="Times New Roman" w:eastAsia="黑体" w:cs="Times New Roman"/>
          <w:sz w:val="32"/>
          <w:szCs w:val="32"/>
        </w:rPr>
      </w:pPr>
      <w:r>
        <w:rPr>
          <w:rFonts w:hint="default" w:ascii="Times New Roman" w:hAnsi="Times New Roman" w:eastAsia="黑体" w:cs="Times New Roman"/>
          <w:sz w:val="32"/>
          <w:szCs w:val="32"/>
        </w:rPr>
        <w:t>现有研究存在问题</w:t>
      </w:r>
    </w:p>
    <w:p>
      <w:pPr>
        <w:keepNext w:val="0"/>
        <w:keepLines w:val="0"/>
        <w:pageBreakBefore w:val="0"/>
        <w:widowControl w:val="0"/>
        <w:kinsoku/>
        <w:wordWrap/>
        <w:overflowPunct/>
        <w:topLinePunct w:val="0"/>
        <w:autoSpaceDE/>
        <w:autoSpaceDN/>
        <w:bidi w:val="0"/>
        <w:adjustRightInd/>
        <w:snapToGrid w:val="0"/>
        <w:spacing w:before="313" w:beforeLines="100" w:line="400" w:lineRule="exact"/>
        <w:textAlignment w:val="auto"/>
        <w:outlineLvl w:val="1"/>
        <w:rPr>
          <w:rFonts w:hint="default" w:ascii="Times New Roman" w:hAnsi="Times New Roman" w:eastAsia="黑体" w:cs="Times New Roman"/>
          <w:sz w:val="30"/>
          <w:szCs w:val="30"/>
        </w:rPr>
      </w:pPr>
      <w:r>
        <w:rPr>
          <w:rFonts w:hint="default" w:ascii="Times New Roman" w:hAnsi="Times New Roman" w:eastAsia="黑体" w:cs="Times New Roman"/>
          <w:sz w:val="30"/>
          <w:szCs w:val="30"/>
        </w:rPr>
        <w:t>3.1现有研究存在问题的分析与讨论</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Hans"/>
        </w:rPr>
        <w:t>目前数字孪生已在很多实验室有所应用，但xr技术仍未在相关领域得到发展。而对于数字孪生和xr技术的融合应用仍停留在表面，多数研究只是简单地将数字孪生模型与 XR 交互界面进行拼接，没有充分发挥两者的协同优势，在一些实验室设备操作培训中，数字孪生模型对设备内部运行原理的展示与 XR 沉浸式体验未能深度融合，导致学员无法在沉浸式环境中实时获取设备运行数据的深度解读，以至培训效果受限，操作熟练度提升缓慢。</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default" w:ascii="Times New Roman" w:hAnsi="Times New Roman" w:cs="Times New Roman"/>
          <w:sz w:val="24"/>
        </w:rPr>
      </w:pPr>
      <w:r>
        <w:rPr>
          <w:rFonts w:hint="eastAsia"/>
          <w:sz w:val="24"/>
          <w:szCs w:val="21"/>
          <w:lang w:val="en-US" w:eastAsia="zh-Hans"/>
        </w:rPr>
        <w:t>现有数字孪生和 XR 技术的应用多借鉴工业、医疗等其他领域的经验，未充分考虑高等级生物安全实验室的特殊需求。在模拟生物气溶胶扩散、病原体传播等关键场景时，模型的准确性和可靠性不足。例如，对气溶胶在复杂实验室气流环境中的扩散模拟，未能精准考虑不同材质表面对气溶胶的吸附、反射等影响因素，使得风险评估存在偏差，无法为实验室安全管理提供精准依据。</w:t>
      </w:r>
    </w:p>
    <w:p>
      <w:pPr>
        <w:keepNext w:val="0"/>
        <w:keepLines w:val="0"/>
        <w:pageBreakBefore w:val="0"/>
        <w:widowControl w:val="0"/>
        <w:kinsoku/>
        <w:wordWrap/>
        <w:overflowPunct/>
        <w:topLinePunct w:val="0"/>
        <w:autoSpaceDE/>
        <w:autoSpaceDN/>
        <w:bidi w:val="0"/>
        <w:adjustRightInd/>
        <w:snapToGrid w:val="0"/>
        <w:spacing w:before="313" w:beforeLines="100" w:line="400" w:lineRule="exact"/>
        <w:textAlignment w:val="auto"/>
        <w:outlineLvl w:val="1"/>
        <w:rPr>
          <w:rFonts w:hint="default" w:ascii="Times New Roman" w:hAnsi="Times New Roman" w:eastAsia="黑体" w:cs="Times New Roman"/>
          <w:sz w:val="30"/>
          <w:szCs w:val="30"/>
        </w:rPr>
      </w:pPr>
      <w:r>
        <w:rPr>
          <w:rFonts w:hint="default" w:ascii="Times New Roman" w:hAnsi="Times New Roman" w:eastAsia="黑体" w:cs="Times New Roman"/>
          <w:sz w:val="30"/>
          <w:szCs w:val="30"/>
        </w:rPr>
        <w:t>3.2关键问题已解决的程度</w:t>
      </w:r>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default" w:ascii="Times New Roman" w:hAnsi="Times New Roman" w:cs="Times New Roman"/>
          <w:sz w:val="24"/>
        </w:rPr>
      </w:pPr>
      <w:r>
        <w:rPr>
          <w:rFonts w:hint="default" w:ascii="Times New Roman" w:hAnsi="Times New Roman" w:cs="Times New Roman"/>
          <w:sz w:val="24"/>
        </w:rPr>
        <w:t>数字孪生技术在实验室的应用已取得一定成果。国内李华等构建的监控系统，通过部署大量传感器实现对实验室环境和设备的高精度监测，结合 CFD 模型有效预测泄漏风险；王强团队的一体化框架在实验室建设中减少设计变更、节约成本和工期；张敏等开发的设备预测性维护模型提高了滤芯寿命预测精度。国外美国陆军传染病医学研究所的平台提升了风险预警准确率，欧洲研究团队优化了实验室气流组织，德国亥姆霍兹感染研究中心实现了设备维护任务的自动化调度。这些成果表明数字孪生在实验室风险预警、设备管理和全生命周期管理等方面发挥了积极作用，一定程度上解决了传统管理方式的部分问题。</w:t>
      </w:r>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default" w:ascii="Times New Roman" w:hAnsi="Times New Roman" w:cs="Times New Roman"/>
          <w:sz w:val="24"/>
        </w:rPr>
      </w:pPr>
      <w:r>
        <w:rPr>
          <w:rFonts w:hint="default" w:ascii="Times New Roman" w:hAnsi="Times New Roman" w:cs="Times New Roman"/>
          <w:sz w:val="24"/>
        </w:rPr>
        <w:t>XR 技术在国内实验室安全培训和应急演练方面有了积极探索。浙江大学联合研发的 VR 培训系统提高了学员操作合规率和应急响应速度；山东艾克斯尔公司与军事科学院合作的 MR 病原体泄漏处置系统实现了真实场景与虚拟数据的深度融合，提升了决策效率；清华大学团队的应急资源调度系统借助数字孪生优化了物资调配。国外美国疾控中心的项目提升了操作记忆留存率，约翰霍普金斯大学的 AR 辅助系统降低了新手误操作率，英国公共卫生部的 MR 应急演练平台提高了团队在真实事故中的决策正确率和响应速度。这些都说明 XR 技术在提升实验室人员培训效果和应急处理能力方面取得了一定成效。</w:t>
      </w:r>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default" w:ascii="Times New Roman" w:hAnsi="Times New Roman" w:cs="Times New Roman"/>
          <w:sz w:val="24"/>
        </w:rPr>
      </w:pPr>
      <w:r>
        <w:rPr>
          <w:rFonts w:hint="default" w:ascii="Times New Roman" w:hAnsi="Times New Roman" w:cs="Times New Roman"/>
          <w:sz w:val="24"/>
        </w:rPr>
        <w:t>国内外政策和标准对数字孪生和生物安全技术融合的推动作用显著。国内 “十四五” 国家重点研发计划等政策支持相关技术发展，2023 年立项的专项解决了部分多模态数据融合的技术瓶颈；国际标准化组织发布的指南明确了生物安全实验室数字孪生模型的核心要素，欧盟和美国也出台政策要求实验室部署数字孪生系统或进行相关风险评估，为技术的规范应用和发展提供了保障。</w:t>
      </w:r>
    </w:p>
    <w:p>
      <w:pPr>
        <w:keepNext w:val="0"/>
        <w:keepLines w:val="0"/>
        <w:pageBreakBefore w:val="0"/>
        <w:widowControl w:val="0"/>
        <w:kinsoku/>
        <w:wordWrap/>
        <w:overflowPunct/>
        <w:topLinePunct w:val="0"/>
        <w:autoSpaceDE/>
        <w:autoSpaceDN/>
        <w:bidi w:val="0"/>
        <w:adjustRightInd/>
        <w:snapToGrid w:val="0"/>
        <w:spacing w:before="313" w:beforeLines="100" w:line="400" w:lineRule="exact"/>
        <w:textAlignment w:val="auto"/>
        <w:outlineLvl w:val="1"/>
        <w:rPr>
          <w:rFonts w:hint="default" w:ascii="Times New Roman" w:hAnsi="Times New Roman" w:eastAsia="黑体" w:cs="Times New Roman"/>
          <w:sz w:val="30"/>
          <w:szCs w:val="30"/>
        </w:rPr>
      </w:pPr>
      <w:r>
        <w:rPr>
          <w:rFonts w:hint="default" w:ascii="Times New Roman" w:hAnsi="Times New Roman" w:eastAsia="黑体" w:cs="Times New Roman"/>
          <w:sz w:val="30"/>
          <w:szCs w:val="30"/>
        </w:rPr>
        <w:t>3.3尚待解决的难点</w:t>
      </w:r>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default" w:ascii="Times New Roman" w:hAnsi="Times New Roman" w:cs="Times New Roman"/>
          <w:sz w:val="24"/>
        </w:rPr>
      </w:pPr>
      <w:r>
        <w:rPr>
          <w:rFonts w:hint="default" w:ascii="Times New Roman" w:hAnsi="Times New Roman" w:cs="Times New Roman"/>
          <w:sz w:val="24"/>
        </w:rPr>
        <w:t>需要构建一套完善的数字孪生与 XR 技术深度融合的技术体系。从底层的数据交互机制、算法优化，到上层应用场景的设计，都需要进行创新。在设备维护培训场景中，要实现 XR 虚拟场景与数字孪生实时数据的无缝对接，使学员在虚拟操作设备时，能同步获取设备内部运行数据、历史维护记录和故障预警信息，真正实现知识获取与实践操作的深度融合，提升培训效果和维护效率。</w:t>
      </w:r>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default" w:ascii="Times New Roman" w:hAnsi="Times New Roman" w:cs="Times New Roman"/>
          <w:sz w:val="24"/>
        </w:rPr>
      </w:pPr>
      <w:r>
        <w:rPr>
          <w:rFonts w:hint="default" w:ascii="Times New Roman" w:hAnsi="Times New Roman" w:cs="Times New Roman"/>
          <w:sz w:val="24"/>
        </w:rPr>
        <w:t>针对高等级生物安全实验室特殊场景，需进一步优化模拟模型。加强线下实体数据采集，全面考虑气溶胶扩散、病原体传播、温湿度变化以及设备运行对环境的复杂影响等多方面因素。同时，借助行业专家的专业知识和经验，构建更精准、可靠的生物安全风险评估模型，提高模型对复杂场景的适应性和准确性，为实验室安全管理提供更坚实的数据支撑和决策依据。</w:t>
      </w:r>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default" w:ascii="Times New Roman" w:hAnsi="Times New Roman" w:cs="Times New Roman"/>
          <w:sz w:val="24"/>
        </w:rPr>
      </w:pPr>
      <w:r>
        <w:rPr>
          <w:rFonts w:hint="default" w:ascii="Times New Roman" w:hAnsi="Times New Roman" w:cs="Times New Roman"/>
          <w:sz w:val="24"/>
        </w:rPr>
        <w:t>解决数据关键参数缺失和格式不统一的问题。一方面，通过加强与相关机构合作，如与哈尔滨兽医研究所等深入合作，增加数据采集的广度和深度，获取生物安全风险推演所需的关键参数；另一方面，制定统一的数据标准和规范，对现有数据进行清洗、整理和标注，建立标准化的实验室数据库，便于数据的管理、分析和应用。</w:t>
      </w:r>
    </w:p>
    <w:p>
      <w:pPr>
        <w:keepNext w:val="0"/>
        <w:keepLines w:val="0"/>
        <w:pageBreakBefore w:val="0"/>
        <w:widowControl w:val="0"/>
        <w:numPr>
          <w:ilvl w:val="0"/>
          <w:numId w:val="1"/>
        </w:numPr>
        <w:kinsoku/>
        <w:wordWrap/>
        <w:overflowPunct/>
        <w:topLinePunct w:val="0"/>
        <w:autoSpaceDE/>
        <w:autoSpaceDN/>
        <w:bidi w:val="0"/>
        <w:adjustRightInd/>
        <w:snapToGrid w:val="0"/>
        <w:spacing w:before="313" w:beforeLines="100" w:after="313" w:afterLines="100" w:line="400" w:lineRule="exact"/>
        <w:textAlignment w:val="auto"/>
        <w:outlineLvl w:val="0"/>
        <w:rPr>
          <w:rFonts w:hint="default" w:ascii="Times New Roman" w:hAnsi="Times New Roman" w:eastAsia="黑体" w:cs="Times New Roman"/>
          <w:sz w:val="32"/>
          <w:szCs w:val="32"/>
        </w:rPr>
      </w:pPr>
      <w:r>
        <w:rPr>
          <w:rFonts w:hint="default" w:ascii="Times New Roman" w:hAnsi="Times New Roman" w:eastAsia="黑体" w:cs="Times New Roman"/>
          <w:sz w:val="32"/>
          <w:szCs w:val="32"/>
        </w:rPr>
        <w:t>总结与展望</w:t>
      </w:r>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default" w:ascii="Times New Roman" w:hAnsi="Times New Roman" w:cs="Times New Roman"/>
          <w:sz w:val="24"/>
        </w:rPr>
      </w:pPr>
      <w:r>
        <w:rPr>
          <w:rFonts w:hint="eastAsia" w:cs="Times New Roman"/>
          <w:sz w:val="24"/>
          <w:lang w:val="en-US" w:eastAsia="zh-Hans"/>
        </w:rPr>
        <w:t>本研究聚焦于数字孪生和xr技术在高等级生物安全实验中的应用，</w:t>
      </w:r>
      <w:r>
        <w:rPr>
          <w:rFonts w:hint="default" w:ascii="Times New Roman" w:hAnsi="Times New Roman" w:cs="Times New Roman"/>
          <w:sz w:val="24"/>
        </w:rPr>
        <w:t>虽然在实验室管理方面已取得一定进展，在风险预警、设备管理、人员培训和应急处理等方面发挥了积极作用，且政策和标准的推动也为技术发展创造了有利环境，但在技术融合深度、模型精准度、数据处理和技术应用拓展等方面仍面临挑战。</w:t>
      </w:r>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jc w:val="left"/>
        <w:textAlignment w:val="auto"/>
        <w:rPr>
          <w:rFonts w:hint="default" w:ascii="Times New Roman" w:hAnsi="Times New Roman" w:cs="Times New Roman"/>
        </w:rPr>
      </w:pPr>
      <w:r>
        <w:rPr>
          <w:rFonts w:hint="default" w:ascii="Times New Roman" w:hAnsi="Times New Roman" w:cs="Times New Roman"/>
          <w:sz w:val="24"/>
        </w:rPr>
        <w:t>未来研究应致力于解决这些尚待攻克的难点，构建深度融合的技术体系，优化生物安全风险评估模型，加强数据管理，拓展和深化技术应用。随着技术的不断进步和研究的深入，数字孪生与 XR 技术有望在高等级生物安全实验室工程管理中实现更大的突破，推动实验室管理从传统模式向智慧化运营转型，为保障国家生物安全提供强有力的技术支持，助力我国生物安全基础设施建设实现跨越式发展。同时，研究成果也有望为全球生物安全实验室的数字化管理提供有益的参考和借鉴，促进该领域的国际交流与合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
    <w:panose1 w:val="02000000000000000000"/>
    <w:charset w:val="00"/>
    <w:family w:val="auto"/>
    <w:pitch w:val="default"/>
    <w:sig w:usb0="00000001" w:usb1="08000000" w:usb2="00000000" w:usb3="00000000" w:csb0="00040000" w:csb1="00000000"/>
  </w:font>
  <w:font w:name="Cambria">
    <w:altName w:val=""/>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00000000" w:usb1="00000000"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等线">
    <w:altName w:val="汉仪中等线KW"/>
    <w:panose1 w:val="02010600030101010101"/>
    <w:charset w:val="86"/>
    <w:family w:val="auto"/>
    <w:pitch w:val="default"/>
    <w:sig w:usb0="00000000" w:usb1="00000000" w:usb2="00000016" w:usb3="00000000" w:csb0="0004000F" w:csb1="00000000"/>
  </w:font>
  <w:font w:name="方正小标宋简体">
    <w:altName w:val="汉仪书宋二KW"/>
    <w:panose1 w:val="03000509000000000000"/>
    <w:charset w:val="86"/>
    <w:family w:val="script"/>
    <w:pitch w:val="default"/>
    <w:sig w:usb0="00000000" w:usb1="00000000" w:usb2="00000000" w:usb3="00000000" w:csb0="00040000" w:csb1="00000000"/>
  </w:font>
  <w:font w:name="仿宋_GB2312">
    <w:altName w:val="方正仿宋_GBK"/>
    <w:panose1 w:val="02010609030101010101"/>
    <w:charset w:val="86"/>
    <w:family w:val="modern"/>
    <w:pitch w:val="default"/>
    <w:sig w:usb0="00000000" w:usb1="00000000" w:usb2="00000000" w:usb3="00000000" w:csb0="00040000" w:csb1="00000000"/>
  </w:font>
  <w:font w:name="微软雅黑">
    <w:altName w:val="汉仪旗黑"/>
    <w:panose1 w:val="020B0503020204020204"/>
    <w:charset w:val="86"/>
    <w:family w:val="auto"/>
    <w:pitch w:val="default"/>
    <w:sig w:usb0="00000000" w:usb1="00000000" w:usb2="00000016" w:usb3="00000000" w:csb0="0004001F" w:csb1="00000000"/>
  </w:font>
  <w:font w:name="Tahoma">
    <w:panose1 w:val="020B0804030504040204"/>
    <w:charset w:val="00"/>
    <w:family w:val="auto"/>
    <w:pitch w:val="default"/>
    <w:sig w:usb0="E1002AFF" w:usb1="C000605B" w:usb2="00000029" w:usb3="00000000" w:csb0="200101FF" w:csb1="2028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PingFangHK">
    <w:altName w:val=""/>
    <w:panose1 w:val="00000000000000000000"/>
    <w:charset w:val="00"/>
    <w:family w:val="auto"/>
    <w:pitch w:val="default"/>
    <w:sig w:usb0="00000000" w:usb1="00000000" w:usb2="00000000" w:usb3="00000000" w:csb0="00000000" w:csb1="00000000"/>
  </w:font>
  <w:font w:name="华文楷体">
    <w:altName w:val="华文宋体"/>
    <w:panose1 w:val="02010600040101010101"/>
    <w:charset w:val="86"/>
    <w:family w:val="auto"/>
    <w:pitch w:val="default"/>
    <w:sig w:usb0="00000000" w:usb1="00000000" w:usb2="00000000" w:usb3="00000000" w:csb0="0004009F" w:csb1="DFD70000"/>
  </w:font>
  <w:font w:name="宋体-简">
    <w:panose1 w:val="02010800040101010101"/>
    <w:charset w:val="86"/>
    <w:family w:val="auto"/>
    <w:pitch w:val="default"/>
    <w:sig w:usb0="00000001" w:usb1="080F0000" w:usb2="00000000" w:usb3="00000000" w:csb0="00040000" w:csb1="00000000"/>
  </w:font>
  <w:font w:name="华文宋体">
    <w:panose1 w:val="02010600040101010101"/>
    <w:charset w:val="86"/>
    <w:family w:val="auto"/>
    <w:pitch w:val="default"/>
    <w:sig w:usb0="80000287" w:usb1="280F3C52" w:usb2="00000016" w:usb3="00000000" w:csb0="0004001F" w:csb1="00000000"/>
  </w:font>
  <w:font w:name="Hiragino Sans GB W3">
    <w:panose1 w:val="020B0300000000000000"/>
    <w:charset w:val="86"/>
    <w:family w:val="auto"/>
    <w:pitch w:val="default"/>
    <w:sig w:usb0="A00002BF" w:usb1="1ACF7CFA" w:usb2="00000016" w:usb3="00000000" w:csb0="00060007" w:csb1="00000000"/>
  </w:font>
  <w:font w:name="Heiti SC Light">
    <w:panose1 w:val="00000000000000000000"/>
    <w:charset w:val="86"/>
    <w:family w:val="auto"/>
    <w:pitch w:val="default"/>
    <w:sig w:usb0="8000002F" w:usb1="0800004A" w:usb2="00000000" w:usb3="00000000" w:csb0="203E0000" w:csb1="00000000"/>
  </w:font>
  <w:font w:name="-apple-system">
    <w:altName w:val=""/>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Inter">
    <w:altName w:val=""/>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Academy Engraved LET">
    <w:panose1 w:val="02000000000000000000"/>
    <w:charset w:val="00"/>
    <w:family w:val="auto"/>
    <w:pitch w:val="default"/>
    <w:sig w:usb0="8000007F" w:usb1="4000000A" w:usb2="00000000" w:usb3="00000000" w:csb0="00000001" w:csb1="00000000"/>
  </w:font>
  <w:font w:name="Songti SC Regular">
    <w:panose1 w:val="02010800040101010101"/>
    <w:charset w:val="86"/>
    <w:family w:val="auto"/>
    <w:pitch w:val="default"/>
    <w:sig w:usb0="00000001" w:usb1="080F0000" w:usb2="00000000" w:usb3="00000000" w:csb0="00040000" w:csb1="00000000"/>
  </w:font>
  <w:font w:name="Songti TC Regular">
    <w:panose1 w:val="02010600040101010101"/>
    <w:charset w:val="86"/>
    <w:family w:val="auto"/>
    <w:pitch w:val="default"/>
    <w:sig w:usb0="00000287" w:usb1="080F0000" w:usb2="00000000" w:usb3="00000000" w:csb0="0004009F" w:csb1="DFD70000"/>
  </w:font>
  <w:font w:name="Heiti SC Medium">
    <w:panose1 w:val="00000000000000000000"/>
    <w:charset w:val="86"/>
    <w:family w:val="auto"/>
    <w:pitch w:val="default"/>
    <w:sig w:usb0="8000002F" w:usb1="0800004A" w:usb2="00000000" w:usb3="00000000" w:csb0="203E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21B1EC"/>
    <w:multiLevelType w:val="singleLevel"/>
    <w:tmpl w:val="1B21B1EC"/>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2"/>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RlMTMxNTlkNWNmNDNhN2VhM2UwMzI4MzM3NzNkZjEifQ=="/>
  </w:docVars>
  <w:rsids>
    <w:rsidRoot w:val="00075695"/>
    <w:rsid w:val="00075695"/>
    <w:rsid w:val="00141715"/>
    <w:rsid w:val="001E78E9"/>
    <w:rsid w:val="002B23BD"/>
    <w:rsid w:val="00431644"/>
    <w:rsid w:val="005A410C"/>
    <w:rsid w:val="00823538"/>
    <w:rsid w:val="00D50CB7"/>
    <w:rsid w:val="0B7F3FC7"/>
    <w:rsid w:val="0CE850BA"/>
    <w:rsid w:val="0DB22432"/>
    <w:rsid w:val="0E8D72E4"/>
    <w:rsid w:val="1687740C"/>
    <w:rsid w:val="184C3483"/>
    <w:rsid w:val="1B9D1E50"/>
    <w:rsid w:val="1E6B4F5E"/>
    <w:rsid w:val="20592BE1"/>
    <w:rsid w:val="21BB1A98"/>
    <w:rsid w:val="22891920"/>
    <w:rsid w:val="23F0560A"/>
    <w:rsid w:val="2A716636"/>
    <w:rsid w:val="2B4F5F9E"/>
    <w:rsid w:val="2E60344F"/>
    <w:rsid w:val="2EE43FBD"/>
    <w:rsid w:val="379B4236"/>
    <w:rsid w:val="37EF5430"/>
    <w:rsid w:val="3A2F4BD1"/>
    <w:rsid w:val="3C012C88"/>
    <w:rsid w:val="3CE7558F"/>
    <w:rsid w:val="3D5826D8"/>
    <w:rsid w:val="3FAE533A"/>
    <w:rsid w:val="3FFB9823"/>
    <w:rsid w:val="405368AD"/>
    <w:rsid w:val="416A63EB"/>
    <w:rsid w:val="52EC506B"/>
    <w:rsid w:val="55776276"/>
    <w:rsid w:val="5954396A"/>
    <w:rsid w:val="5AFD1B1E"/>
    <w:rsid w:val="5DFFBEA5"/>
    <w:rsid w:val="5F6CE16E"/>
    <w:rsid w:val="5F7EDFBA"/>
    <w:rsid w:val="61FF3FD4"/>
    <w:rsid w:val="65181CEF"/>
    <w:rsid w:val="65DFE66D"/>
    <w:rsid w:val="675D2C4C"/>
    <w:rsid w:val="67CFF70C"/>
    <w:rsid w:val="69116A51"/>
    <w:rsid w:val="6C461D70"/>
    <w:rsid w:val="6C5D623A"/>
    <w:rsid w:val="7223504B"/>
    <w:rsid w:val="767C50F8"/>
    <w:rsid w:val="79B9ED9B"/>
    <w:rsid w:val="7B03623F"/>
    <w:rsid w:val="7BEE172F"/>
    <w:rsid w:val="7BEF79EC"/>
    <w:rsid w:val="7CFB4FF0"/>
    <w:rsid w:val="7D7F53C6"/>
    <w:rsid w:val="7DCF8145"/>
    <w:rsid w:val="7E7B2B1C"/>
    <w:rsid w:val="7E7B3DD3"/>
    <w:rsid w:val="7E9E7F4A"/>
    <w:rsid w:val="7EFB7B0C"/>
    <w:rsid w:val="7FAF39D5"/>
    <w:rsid w:val="7FFF9895"/>
    <w:rsid w:val="8EFBC686"/>
    <w:rsid w:val="9B9F572A"/>
    <w:rsid w:val="9EFF4AA1"/>
    <w:rsid w:val="B2B7C301"/>
    <w:rsid w:val="BFB70704"/>
    <w:rsid w:val="CEFFDDD5"/>
    <w:rsid w:val="D77B897E"/>
    <w:rsid w:val="DB790D0F"/>
    <w:rsid w:val="DDFE17C2"/>
    <w:rsid w:val="F9CD2BA7"/>
    <w:rsid w:val="FE9AE19B"/>
    <w:rsid w:val="FFDFB6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Normal (Web)"/>
    <w:basedOn w:val="1"/>
    <w:unhideWhenUsed/>
    <w:qFormat/>
    <w:uiPriority w:val="99"/>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189</Words>
  <Characters>1083</Characters>
  <Lines>9</Lines>
  <Paragraphs>2</Paragraphs>
  <ScaleCrop>false</ScaleCrop>
  <LinksUpToDate>false</LinksUpToDate>
  <CharactersWithSpaces>1270</CharactersWithSpaces>
  <Application>WPS Office_3.5.0.5510_F1E327BC-269C-435d-A152-05C5408002CA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2023-12-29T09:52:00Z</dcterms:created>
  <dc:creator>Microsoft Office User</dc:creator>
  <cp:lastModifiedBy>chenjunchen</cp:lastModifiedBy>
  <dcterms:modified xsi:type="dcterms:W3CDTF">2025-04-12T15:13:26Z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2052-3.5.0.5510</vt:lpwstr>
  </property>
  <property fmtid="{D5CDD505-2E9C-101B-9397-08002B2CF9AE}" pid="3" name="ICV">
    <vt:lpwstr>32C7B048C7134F1A8BE900C254C197A1_13</vt:lpwstr>
  </property>
</Properties>
</file>