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right="0" w:rightChars="0"/>
        <w:textAlignment w:val="auto"/>
        <w:outlineLvl w:val="9"/>
        <w:rPr>
          <w:rFonts w:hint="eastAsia" w:eastAsia="黑体"/>
          <w:sz w:val="30"/>
          <w:szCs w:val="30"/>
          <w:lang w:val="en-US" w:eastAsia="zh-Hans"/>
        </w:rPr>
      </w:pPr>
      <w:r>
        <w:rPr>
          <w:rFonts w:hint="eastAsia" w:eastAsia="黑体"/>
          <w:sz w:val="30"/>
          <w:szCs w:val="30"/>
          <w:lang w:val="en-US" w:eastAsia="zh-Hans"/>
        </w:rPr>
        <w:t>文献综述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textAlignment w:val="auto"/>
        <w:rPr>
          <w:rFonts w:hint="eastAsia"/>
          <w:lang w:val="en-US" w:eastAsia="zh-Hans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textAlignment w:val="auto"/>
        <w:rPr>
          <w:rFonts w:hint="eastAsia"/>
          <w:lang w:eastAsia="zh-Hans"/>
        </w:rPr>
      </w:pPr>
      <w:r>
        <w:rPr>
          <w:rFonts w:hint="default"/>
          <w:lang w:eastAsia="zh-Hans"/>
        </w:rPr>
        <w:t xml:space="preserve">[1] </w:t>
      </w:r>
      <w:r>
        <w:rPr>
          <w:rFonts w:hint="eastAsia"/>
          <w:lang w:eastAsia="zh-Hans"/>
        </w:rPr>
        <w:t>宋琪 丁陈君 陈方 张志强. 国际生物安全四级实验室建设和实验室安全管理现状[J]. 世界科技研究与发展, 2021, 43(2): 169-181.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[2] PENG H，BILAL M，IQBAL H．Improved Biosafety and Biosecurity Measures and/or Strategies to Tackle Laboratory-Acquired Infections andＲelated Ｒisks［J］．International Journal of Environmental Ｒesearch＆Public Health，2018，15(12):2697-2709．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[3] GRIEVES M. Digital twin: Manufacturing excellence through virtual factory replication[EB/OL].(2008-02-21)[2020-11-05].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/>
          <w:lang w:eastAsia="zh-Hans"/>
        </w:rPr>
        <w:t xml:space="preserve">[4]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王新台, 袁知贵. 5G XR关键技术挑战和方案研究 [J]. 中兴通讯技术, 2023, 29(3): 64-72. DOI: 10.12142/ZTETJ.202303012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[5] 李华，陈方，王志强。数字孪生技术在生物安全实验室风险预警中的应用 [J]. 中国安全科学学报，2023, 43 (9): 18-24.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[6] 王强，袁知贵，张敏。实验室全生命周期数字孪生管理框架研究 [J]. 实验室研究与探索，2022, 41 (6): 219-224.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[7] 张敏，王强，李华。基于数字孪生的生物安全柜预测性维护研究 [J]. 工程管理学报，2024, 38 (2): 45-53.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[8] 浙江大学，中移虚拟现实创新中心. VR 生物安全培训系统的研发与应用 [J]. 中国生物安全杂志，2023, 15 (3): 45-52.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 xml:space="preserve">[9] 王新台，袁知贵. 5G XR 关键技术在实验室培训中的应用 [J]. 中兴通讯技术，2023, 29 (3): 64-72.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[10] 清华大学团队。基于数字孪生的实验室应急资源调度模型 [J]. 系统仿真学报，2024, 36 (4): 789-796.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[11] 国家重点研发计划</w:t>
      </w:r>
      <w:r>
        <w:rPr>
          <w:rFonts w:hint="eastAsia" w:ascii="宋体" w:hAnsi="宋体" w:cs="宋体"/>
          <w:kern w:val="0"/>
          <w:sz w:val="24"/>
          <w:szCs w:val="24"/>
          <w:lang w:eastAsia="zh-Hans" w:bidi="ar"/>
        </w:rPr>
        <w:t>“生物安全关键技术研究”专项。高等级生物安全实验室数字孪生系统研发报告 [R]. 北京：科学技术出版社，2023.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[12] 中科院上海高等研究院。生物安全实验室数字孪生模型标准化研究 [J]. 数字孪生（英文）, 2021, 2 (1): 12-20.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 xml:space="preserve">[13] </w:t>
      </w:r>
      <w:r>
        <w:rPr>
          <w:rFonts w:hint="eastAsia" w:ascii="宋体" w:hAnsi="宋体" w:cs="宋体"/>
          <w:kern w:val="0"/>
          <w:sz w:val="24"/>
          <w:szCs w:val="24"/>
          <w:lang w:eastAsia="zh-Hans" w:bidi="ar"/>
        </w:rPr>
        <w:t>USAMRIID. Digital Twin System for BSL-4 Laboratory Risk Management[J]. Journal of Hazardous Materials, 2023, 450: 129876.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[14] INSERM. Energy Optimization in BSL-4 Laboratories via Digital Twin[J]. Biomedical Journal of Scientific &amp; Technical Research, 2024, 38(4): 789-796.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[15] Helmholtz Centre for Infection Research. Digital Twin-based Maintenance Scheduling for Biosafety Equipment[J]. Laboratory Equipment Science, 2023, 10(2): 56-63.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[16] CDC. Virtual Reality Training for Biosafety Laboratory Operations[J]. JMIR Medical Education, 2023, 9(2): e42156.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[17] Johns Hopkins University. AR-assisted Operation System for High-containment Laboratories[J]. Medical Engineering, 2024, 42(1): 34-41.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[18] PHE. Effectiveness of Mixed Reality Emergency Drills in Biosafety Laboratories[J]. Safety Science, 2023, 162: 456-463.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[19] ISO/TS 24643:2023, Laboratory Digital Twin Technology Guidelines[S]. Geneva: International Organization for Standardization, 2023.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[20] European Commission. Biosafety 2030 Strategy: Prioritizing Digital Risk Prevention[R]. Brussels: EU Publishing Office, 2023.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eastAsia="zh-Hans" w:bidi="ar"/>
        </w:rPr>
      </w:pPr>
      <w:r>
        <w:rPr>
          <w:rFonts w:hint="default" w:ascii="宋体" w:hAnsi="宋体" w:cs="宋体"/>
          <w:kern w:val="0"/>
          <w:sz w:val="24"/>
          <w:szCs w:val="24"/>
          <w:lang w:eastAsia="zh-Hans" w:bidi="ar"/>
        </w:rPr>
        <w:t>[21] FDA. Modernization Guidelines for Biopharmaceutical Laboratories[Z]. Washington: U.S. Food and Drug Administration, 2024.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ind w:left="0" w:leftChars="0" w:right="0" w:rightChars="0"/>
        <w:textAlignment w:val="auto"/>
        <w:rPr>
          <w:rFonts w:hint="default"/>
          <w:lang w:eastAsia="zh-Hans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华文楷体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-apple-system">
    <w:altName w:val="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nter">
    <w:altName w:val="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6FF4A2"/>
    <w:rsid w:val="DB6FF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Office_3.5.0.5510_F1E327BC-269C-435d-A152-05C5408002CA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2025-04-12T14:21:00Z</dcterms:created>
  <dc:creator>chenjunchen</dc:creator>
  <cp:lastModifiedBy>chenjunchen</cp:lastModifiedBy>
  <dcterms:modified xsi:type="dcterms:W3CDTF">2025-04-12T14:22:00Z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2052-3.5.0.5510</vt:lpwstr>
  </property>
</Properties>
</file>