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AABD" w14:textId="7E186C1C" w:rsidR="0067454D" w:rsidRPr="009803D7" w:rsidRDefault="00647745" w:rsidP="009D037B">
      <w:pPr>
        <w:pStyle w:val="c047f70a-4733-4f89-8971-bccdea5ca046"/>
        <w:rPr>
          <w:rFonts w:ascii="黑体" w:eastAsia="黑体" w:hAnsi="黑体" w:hint="eastAsia"/>
          <w:b/>
          <w:bCs/>
          <w:sz w:val="32"/>
          <w:szCs w:val="32"/>
          <w:lang w:eastAsia="zh-CN"/>
        </w:rPr>
      </w:pPr>
      <w:r>
        <w:rPr>
          <w:rFonts w:ascii="黑体" w:eastAsia="黑体" w:hAnsi="黑体" w:hint="eastAsia"/>
          <w:b/>
          <w:bCs/>
          <w:sz w:val="32"/>
          <w:szCs w:val="32"/>
          <w:lang w:eastAsia="zh-CN"/>
        </w:rPr>
        <w:t>混合碳政策</w:t>
      </w:r>
      <w:r w:rsidR="001F59F9" w:rsidRPr="009803D7">
        <w:rPr>
          <w:rFonts w:ascii="黑体" w:eastAsia="黑体" w:hAnsi="黑体"/>
          <w:b/>
          <w:bCs/>
          <w:sz w:val="32"/>
          <w:szCs w:val="32"/>
          <w:lang w:eastAsia="zh-CN"/>
        </w:rPr>
        <w:t>下可持续供应链</w:t>
      </w:r>
      <w:r w:rsidR="008A2C0A">
        <w:rPr>
          <w:rFonts w:ascii="黑体" w:eastAsia="黑体" w:hAnsi="黑体" w:hint="eastAsia"/>
          <w:b/>
          <w:bCs/>
          <w:sz w:val="32"/>
          <w:szCs w:val="32"/>
          <w:lang w:eastAsia="zh-CN"/>
        </w:rPr>
        <w:t>经济-环境目标</w:t>
      </w:r>
      <w:r w:rsidR="00853AA1">
        <w:rPr>
          <w:rFonts w:ascii="黑体" w:eastAsia="黑体" w:hAnsi="黑体" w:hint="eastAsia"/>
          <w:b/>
          <w:bCs/>
          <w:sz w:val="32"/>
          <w:szCs w:val="32"/>
          <w:lang w:eastAsia="zh-CN"/>
        </w:rPr>
        <w:t>权衡及</w:t>
      </w:r>
      <w:r w:rsidR="001F59F9" w:rsidRPr="009803D7">
        <w:rPr>
          <w:rFonts w:ascii="黑体" w:eastAsia="黑体" w:hAnsi="黑体"/>
          <w:b/>
          <w:bCs/>
          <w:sz w:val="32"/>
          <w:szCs w:val="32"/>
          <w:lang w:eastAsia="zh-CN"/>
        </w:rPr>
        <w:t>协同</w:t>
      </w:r>
      <w:r w:rsidR="00853AA1">
        <w:rPr>
          <w:rFonts w:ascii="黑体" w:eastAsia="黑体" w:hAnsi="黑体" w:hint="eastAsia"/>
          <w:b/>
          <w:bCs/>
          <w:sz w:val="32"/>
          <w:szCs w:val="32"/>
          <w:lang w:eastAsia="zh-CN"/>
        </w:rPr>
        <w:t>决策研究</w:t>
      </w:r>
    </w:p>
    <w:p w14:paraId="3FF16A65" w14:textId="77777777" w:rsidR="009D037B" w:rsidRPr="009D037B" w:rsidRDefault="009D037B" w:rsidP="009D037B">
      <w:pPr>
        <w:pStyle w:val="acbfdd8b-e11b-4d36-88ff-6049b138f862"/>
        <w:rPr>
          <w:rFonts w:hint="eastAsia"/>
          <w:lang w:eastAsia="zh-CN"/>
        </w:rPr>
      </w:pPr>
    </w:p>
    <w:p w14:paraId="1DE5BEE6" w14:textId="77777777" w:rsidR="0067454D" w:rsidRPr="009D037B" w:rsidRDefault="00000000">
      <w:pPr>
        <w:spacing w:before="80" w:after="40" w:line="312" w:lineRule="auto"/>
        <w:jc w:val="center"/>
        <w:rPr>
          <w:rFonts w:ascii="宋体" w:eastAsia="宋体" w:hAnsi="宋体" w:hint="eastAsia"/>
          <w:sz w:val="21"/>
          <w:szCs w:val="21"/>
          <w:lang w:eastAsia="zh-CN"/>
        </w:rPr>
      </w:pPr>
      <w:r w:rsidRPr="009D037B">
        <w:rPr>
          <w:rFonts w:ascii="宋体" w:eastAsia="宋体" w:hAnsi="宋体"/>
          <w:color w:val="555555"/>
          <w:sz w:val="21"/>
          <w:szCs w:val="21"/>
          <w:lang w:eastAsia="zh-CN"/>
        </w:rPr>
        <w:t>刘俊成</w:t>
      </w:r>
    </w:p>
    <w:p w14:paraId="11D93874" w14:textId="77777777" w:rsidR="0067454D" w:rsidRPr="009D037B" w:rsidRDefault="00000000">
      <w:pPr>
        <w:spacing w:before="80" w:after="40" w:line="312" w:lineRule="auto"/>
        <w:jc w:val="center"/>
        <w:rPr>
          <w:rFonts w:ascii="宋体" w:eastAsia="宋体" w:hAnsi="宋体" w:hint="eastAsia"/>
          <w:sz w:val="21"/>
          <w:szCs w:val="21"/>
          <w:lang w:eastAsia="zh-CN"/>
        </w:rPr>
      </w:pPr>
      <w:r w:rsidRPr="009D037B">
        <w:rPr>
          <w:rFonts w:ascii="宋体" w:eastAsia="宋体" w:hAnsi="宋体"/>
          <w:color w:val="555555"/>
          <w:sz w:val="21"/>
          <w:szCs w:val="21"/>
          <w:lang w:eastAsia="zh-CN"/>
        </w:rPr>
        <w:t>（重庆师范大学  经济与管理学院，重庆  401331）</w:t>
      </w:r>
    </w:p>
    <w:p w14:paraId="555764C6" w14:textId="77777777" w:rsidR="0067454D" w:rsidRDefault="0067454D">
      <w:pPr>
        <w:rPr>
          <w:lang w:eastAsia="zh-CN"/>
        </w:rPr>
      </w:pPr>
    </w:p>
    <w:p w14:paraId="6DD474D4" w14:textId="2D91D5FD" w:rsidR="0067454D" w:rsidRPr="00436444" w:rsidRDefault="00000000" w:rsidP="007C4AFB">
      <w:pPr>
        <w:spacing w:after="0" w:line="360" w:lineRule="auto"/>
        <w:jc w:val="both"/>
        <w:rPr>
          <w:rFonts w:ascii="宋体" w:eastAsia="宋体" w:hAnsi="宋体" w:hint="eastAsia"/>
          <w:bCs/>
          <w:sz w:val="24"/>
          <w:szCs w:val="24"/>
          <w:lang w:eastAsia="zh-CN"/>
        </w:rPr>
      </w:pPr>
      <w:r w:rsidRPr="009D037B">
        <w:rPr>
          <w:rFonts w:ascii="黑体" w:eastAsia="黑体" w:hAnsi="黑体"/>
          <w:b/>
          <w:sz w:val="24"/>
          <w:szCs w:val="24"/>
          <w:lang w:eastAsia="zh-CN"/>
        </w:rPr>
        <w:t>摘</w:t>
      </w:r>
      <w:r w:rsidR="009D037B">
        <w:rPr>
          <w:rFonts w:ascii="黑体" w:eastAsia="黑体" w:hAnsi="黑体" w:hint="eastAsia"/>
          <w:b/>
          <w:sz w:val="24"/>
          <w:szCs w:val="24"/>
          <w:lang w:eastAsia="zh-CN"/>
        </w:rPr>
        <w:t xml:space="preserve">  </w:t>
      </w:r>
      <w:r w:rsidRPr="009D037B">
        <w:rPr>
          <w:rFonts w:ascii="黑体" w:eastAsia="黑体" w:hAnsi="黑体"/>
          <w:b/>
          <w:sz w:val="24"/>
          <w:szCs w:val="24"/>
          <w:lang w:eastAsia="zh-CN"/>
        </w:rPr>
        <w:t>要</w:t>
      </w:r>
      <w:r w:rsidR="009D037B">
        <w:rPr>
          <w:rFonts w:ascii="黑体" w:eastAsia="黑体" w:hAnsi="黑体" w:hint="eastAsia"/>
          <w:b/>
          <w:sz w:val="24"/>
          <w:szCs w:val="24"/>
          <w:lang w:eastAsia="zh-CN"/>
        </w:rPr>
        <w:t>：</w:t>
      </w:r>
      <w:r w:rsidR="00841BE1">
        <w:rPr>
          <w:rFonts w:ascii="宋体" w:eastAsia="宋体" w:hAnsi="宋体" w:hint="eastAsia"/>
          <w:bCs/>
          <w:sz w:val="24"/>
          <w:szCs w:val="24"/>
          <w:lang w:eastAsia="zh-CN"/>
        </w:rPr>
        <w:t>面向</w:t>
      </w:r>
      <w:r w:rsidR="00DC3D0E" w:rsidRPr="00DC3D0E">
        <w:rPr>
          <w:rFonts w:ascii="宋体" w:eastAsia="宋体" w:hAnsi="宋体" w:hint="eastAsia"/>
          <w:bCs/>
          <w:sz w:val="24"/>
          <w:szCs w:val="24"/>
          <w:lang w:eastAsia="zh-CN"/>
        </w:rPr>
        <w:t>“双碳”目标背景下</w:t>
      </w:r>
      <w:r w:rsidR="00841BE1">
        <w:rPr>
          <w:rFonts w:ascii="宋体" w:eastAsia="宋体" w:hAnsi="宋体" w:hint="eastAsia"/>
          <w:bCs/>
          <w:sz w:val="24"/>
          <w:szCs w:val="24"/>
          <w:lang w:eastAsia="zh-CN"/>
        </w:rPr>
        <w:t>企业绿色转型需求</w:t>
      </w:r>
      <w:r w:rsidR="00DC3D0E" w:rsidRPr="00DC3D0E">
        <w:rPr>
          <w:rFonts w:ascii="宋体" w:eastAsia="宋体" w:hAnsi="宋体" w:hint="eastAsia"/>
          <w:bCs/>
          <w:sz w:val="24"/>
          <w:szCs w:val="24"/>
          <w:lang w:eastAsia="zh-CN"/>
        </w:rPr>
        <w:t>，</w:t>
      </w:r>
      <w:r w:rsidR="00841BE1">
        <w:rPr>
          <w:rFonts w:ascii="宋体" w:eastAsia="宋体" w:hAnsi="宋体" w:hint="eastAsia"/>
          <w:bCs/>
          <w:sz w:val="24"/>
          <w:szCs w:val="24"/>
          <w:lang w:eastAsia="zh-CN"/>
        </w:rPr>
        <w:t>本文</w:t>
      </w:r>
      <w:r w:rsidR="004E5151">
        <w:rPr>
          <w:rFonts w:ascii="宋体" w:eastAsia="宋体" w:hAnsi="宋体" w:hint="eastAsia"/>
          <w:bCs/>
          <w:sz w:val="24"/>
          <w:szCs w:val="24"/>
          <w:lang w:eastAsia="zh-CN"/>
        </w:rPr>
        <w:t>主要考虑</w:t>
      </w:r>
      <w:r w:rsidR="00A47AC5">
        <w:rPr>
          <w:rFonts w:ascii="宋体" w:eastAsia="宋体" w:hAnsi="宋体" w:hint="eastAsia"/>
          <w:bCs/>
          <w:sz w:val="24"/>
          <w:szCs w:val="24"/>
          <w:lang w:eastAsia="zh-CN"/>
        </w:rPr>
        <w:t>碳交易、碳税及配额约束等政策工具的综合作用，构建供应链多目标优化模型，刻画供应链成员在生成、减排和合作决策中的行为特征，分析不同规制参数与市场条件下系统绩效的演化规律。通过求解帕累托有效解集，并集合</w:t>
      </w:r>
      <w:r w:rsidR="00DC3D0E" w:rsidRPr="00DC3D0E">
        <w:rPr>
          <w:rFonts w:ascii="宋体" w:eastAsia="宋体" w:hAnsi="宋体" w:hint="eastAsia"/>
          <w:bCs/>
          <w:sz w:val="24"/>
          <w:szCs w:val="24"/>
          <w:lang w:eastAsia="zh-CN"/>
        </w:rPr>
        <w:t>结合</w:t>
      </w:r>
      <w:r w:rsidR="00A47AC5">
        <w:rPr>
          <w:rFonts w:ascii="宋体" w:eastAsia="宋体" w:hAnsi="宋体" w:hint="eastAsia"/>
          <w:bCs/>
          <w:sz w:val="24"/>
          <w:szCs w:val="24"/>
          <w:lang w:eastAsia="zh-CN"/>
        </w:rPr>
        <w:t>TOPSIS</w:t>
      </w:r>
      <w:r w:rsidR="00DC3D0E" w:rsidRPr="00DC3D0E">
        <w:rPr>
          <w:rFonts w:ascii="宋体" w:eastAsia="宋体" w:hAnsi="宋体" w:hint="eastAsia"/>
          <w:bCs/>
          <w:sz w:val="24"/>
          <w:szCs w:val="24"/>
          <w:lang w:eastAsia="zh-CN"/>
        </w:rPr>
        <w:t>方法</w:t>
      </w:r>
      <w:r w:rsidR="00A47AC5">
        <w:rPr>
          <w:rFonts w:ascii="宋体" w:eastAsia="宋体" w:hAnsi="宋体" w:hint="eastAsia"/>
          <w:bCs/>
          <w:sz w:val="24"/>
          <w:szCs w:val="24"/>
          <w:lang w:eastAsia="zh-CN"/>
        </w:rPr>
        <w:t>优选决策方案</w:t>
      </w:r>
      <w:r w:rsidR="008D2547">
        <w:rPr>
          <w:rFonts w:ascii="宋体" w:eastAsia="宋体" w:hAnsi="宋体" w:hint="eastAsia"/>
          <w:bCs/>
          <w:sz w:val="24"/>
          <w:szCs w:val="24"/>
          <w:lang w:eastAsia="zh-CN"/>
        </w:rPr>
        <w:t>,</w:t>
      </w:r>
      <w:r w:rsidR="00A47AC5">
        <w:rPr>
          <w:rFonts w:ascii="宋体" w:eastAsia="宋体" w:hAnsi="宋体" w:hint="eastAsia"/>
          <w:bCs/>
          <w:sz w:val="24"/>
          <w:szCs w:val="24"/>
          <w:lang w:eastAsia="zh-CN"/>
        </w:rPr>
        <w:t>别叫不同政策组合下供应链利润、减排绩效与协同水平差异</w:t>
      </w:r>
      <w:r w:rsidR="00DC3D0E" w:rsidRPr="00DC3D0E">
        <w:rPr>
          <w:rFonts w:ascii="宋体" w:eastAsia="宋体" w:hAnsi="宋体" w:hint="eastAsia"/>
          <w:bCs/>
          <w:sz w:val="24"/>
          <w:szCs w:val="24"/>
          <w:lang w:eastAsia="zh-CN"/>
        </w:rPr>
        <w:t>。研究</w:t>
      </w:r>
      <w:r w:rsidR="00A47AC5">
        <w:rPr>
          <w:rFonts w:ascii="宋体" w:eastAsia="宋体" w:hAnsi="宋体" w:hint="eastAsia"/>
          <w:bCs/>
          <w:sz w:val="24"/>
          <w:szCs w:val="24"/>
          <w:lang w:eastAsia="zh-CN"/>
        </w:rPr>
        <w:t>发现，适度的混合碳规制有助于提升供应链整体减排激励与和合作效率，但政策强度过高会削弱系统经济绩效。</w:t>
      </w:r>
      <w:r w:rsidR="007C4AFB">
        <w:rPr>
          <w:rFonts w:ascii="宋体" w:eastAsia="宋体" w:hAnsi="宋体" w:hint="eastAsia"/>
          <w:bCs/>
          <w:sz w:val="24"/>
          <w:szCs w:val="24"/>
          <w:lang w:eastAsia="zh-CN"/>
        </w:rPr>
        <w:t>本文</w:t>
      </w:r>
      <w:r w:rsidR="00A47AC5">
        <w:rPr>
          <w:rFonts w:ascii="宋体" w:eastAsia="宋体" w:hAnsi="宋体" w:hint="eastAsia"/>
          <w:bCs/>
          <w:sz w:val="24"/>
          <w:szCs w:val="24"/>
          <w:lang w:eastAsia="zh-CN"/>
        </w:rPr>
        <w:t>可为低碳供应链管理与碳规制政策优化提供理论支持。</w:t>
      </w:r>
    </w:p>
    <w:p w14:paraId="7340D03F" w14:textId="29C7EE75" w:rsidR="009803D7" w:rsidRPr="009803D7" w:rsidRDefault="009803D7" w:rsidP="007C4AFB">
      <w:pPr>
        <w:spacing w:after="0" w:line="360" w:lineRule="auto"/>
        <w:jc w:val="both"/>
        <w:rPr>
          <w:rFonts w:ascii="宋体" w:eastAsia="宋体" w:hAnsi="宋体" w:hint="eastAsia"/>
          <w:b/>
          <w:bCs/>
          <w:sz w:val="24"/>
          <w:szCs w:val="24"/>
          <w:lang w:eastAsia="zh-CN"/>
        </w:rPr>
      </w:pPr>
      <w:r w:rsidRPr="009803D7">
        <w:rPr>
          <w:rFonts w:ascii="黑体" w:eastAsia="黑体" w:hAnsi="黑体" w:hint="eastAsia"/>
          <w:b/>
          <w:bCs/>
          <w:sz w:val="24"/>
          <w:szCs w:val="24"/>
          <w:lang w:eastAsia="zh-CN"/>
        </w:rPr>
        <w:t>关键词：</w:t>
      </w:r>
      <w:r w:rsidR="006D0677">
        <w:rPr>
          <w:rFonts w:ascii="宋体" w:eastAsia="宋体" w:hAnsi="宋体" w:hint="eastAsia"/>
          <w:b/>
          <w:bCs/>
          <w:sz w:val="24"/>
          <w:szCs w:val="24"/>
          <w:lang w:eastAsia="zh-CN"/>
        </w:rPr>
        <w:t>混合碳</w:t>
      </w:r>
      <w:r w:rsidR="00952831">
        <w:rPr>
          <w:rFonts w:ascii="宋体" w:eastAsia="宋体" w:hAnsi="宋体" w:hint="eastAsia"/>
          <w:b/>
          <w:bCs/>
          <w:sz w:val="24"/>
          <w:szCs w:val="24"/>
          <w:lang w:eastAsia="zh-CN"/>
        </w:rPr>
        <w:t>规制</w:t>
      </w:r>
      <w:r w:rsidRPr="009803D7">
        <w:rPr>
          <w:rFonts w:ascii="宋体" w:eastAsia="宋体" w:hAnsi="宋体" w:hint="eastAsia"/>
          <w:b/>
          <w:bCs/>
          <w:sz w:val="24"/>
          <w:szCs w:val="24"/>
          <w:lang w:eastAsia="zh-CN"/>
        </w:rPr>
        <w:t>;可持续供应链；多目标优化；增强ε约束法；TOPSIS</w:t>
      </w:r>
    </w:p>
    <w:p w14:paraId="0A92D7C3" w14:textId="77777777" w:rsidR="0067454D" w:rsidRPr="00B051C8" w:rsidRDefault="00000000">
      <w:pPr>
        <w:spacing w:before="360" w:after="120" w:line="360" w:lineRule="auto"/>
        <w:rPr>
          <w:rFonts w:ascii="宋体" w:eastAsia="宋体" w:hAnsi="宋体" w:hint="eastAsia"/>
          <w:sz w:val="32"/>
          <w:szCs w:val="32"/>
          <w:lang w:eastAsia="zh-CN"/>
        </w:rPr>
      </w:pPr>
      <w:r w:rsidRPr="00B051C8">
        <w:rPr>
          <w:rFonts w:ascii="宋体" w:eastAsia="宋体" w:hAnsi="宋体"/>
          <w:b/>
          <w:color w:val="000000" w:themeColor="text1"/>
          <w:sz w:val="32"/>
          <w:szCs w:val="32"/>
          <w:lang w:eastAsia="zh-CN"/>
        </w:rPr>
        <w:t>1</w:t>
      </w:r>
      <w:r w:rsidRPr="00B051C8">
        <w:rPr>
          <w:rFonts w:ascii="宋体" w:eastAsia="宋体" w:hAnsi="宋体"/>
          <w:b/>
          <w:color w:val="163F6B"/>
          <w:sz w:val="32"/>
          <w:szCs w:val="32"/>
          <w:lang w:eastAsia="zh-CN"/>
        </w:rPr>
        <w:t xml:space="preserve">  </w:t>
      </w:r>
      <w:r w:rsidRPr="00B051C8">
        <w:rPr>
          <w:rFonts w:ascii="宋体" w:eastAsia="宋体" w:hAnsi="宋体"/>
          <w:b/>
          <w:color w:val="000000" w:themeColor="text1"/>
          <w:sz w:val="32"/>
          <w:szCs w:val="32"/>
          <w:lang w:eastAsia="zh-CN"/>
        </w:rPr>
        <w:t>引言</w:t>
      </w:r>
    </w:p>
    <w:p w14:paraId="5413610F" w14:textId="53A0273F" w:rsidR="0067454D" w:rsidRPr="00BE0029" w:rsidRDefault="00BE0029" w:rsidP="00B051C8">
      <w:pPr>
        <w:spacing w:after="0" w:line="360" w:lineRule="auto"/>
        <w:ind w:firstLine="420"/>
        <w:jc w:val="both"/>
        <w:rPr>
          <w:sz w:val="24"/>
          <w:szCs w:val="24"/>
          <w:lang w:eastAsia="zh-CN"/>
        </w:rPr>
      </w:pPr>
      <w:r w:rsidRPr="00BE0029">
        <w:rPr>
          <w:rFonts w:ascii="宋体" w:eastAsia="宋体" w:hAnsi="宋体" w:hint="eastAsia"/>
          <w:color w:val="111111"/>
          <w:sz w:val="24"/>
          <w:szCs w:val="24"/>
          <w:lang w:eastAsia="zh-CN"/>
        </w:rPr>
        <w:t>随着全球气候变化的严峻挑战，</w:t>
      </w:r>
      <w:r>
        <w:rPr>
          <w:rFonts w:ascii="宋体" w:eastAsia="宋体" w:hAnsi="宋体" w:hint="eastAsia"/>
          <w:color w:val="111111"/>
          <w:sz w:val="24"/>
          <w:szCs w:val="24"/>
          <w:lang w:eastAsia="zh-CN"/>
        </w:rPr>
        <w:t>各国已把</w:t>
      </w:r>
      <w:r w:rsidRPr="00BE0029">
        <w:rPr>
          <w:rFonts w:ascii="宋体" w:eastAsia="宋体" w:hAnsi="宋体" w:hint="eastAsia"/>
          <w:color w:val="111111"/>
          <w:sz w:val="24"/>
          <w:szCs w:val="24"/>
          <w:lang w:eastAsia="zh-CN"/>
        </w:rPr>
        <w:t>绿色低碳发展</w:t>
      </w:r>
      <w:r>
        <w:rPr>
          <w:rFonts w:ascii="宋体" w:eastAsia="宋体" w:hAnsi="宋体" w:hint="eastAsia"/>
          <w:color w:val="111111"/>
          <w:sz w:val="24"/>
          <w:szCs w:val="24"/>
          <w:lang w:eastAsia="zh-CN"/>
        </w:rPr>
        <w:t>作为</w:t>
      </w:r>
      <w:r w:rsidRPr="00BE0029">
        <w:rPr>
          <w:rFonts w:ascii="宋体" w:eastAsia="宋体" w:hAnsi="宋体" w:hint="eastAsia"/>
          <w:color w:val="111111"/>
          <w:sz w:val="24"/>
          <w:szCs w:val="24"/>
          <w:lang w:eastAsia="zh-CN"/>
        </w:rPr>
        <w:t>推动经济转型和提升发展质量的重要战略方向。近年来，</w:t>
      </w:r>
      <w:r>
        <w:rPr>
          <w:rFonts w:ascii="宋体" w:eastAsia="宋体" w:hAnsi="宋体" w:hint="eastAsia"/>
          <w:color w:val="111111"/>
          <w:sz w:val="24"/>
          <w:szCs w:val="24"/>
          <w:lang w:eastAsia="zh-CN"/>
        </w:rPr>
        <w:t>我国</w:t>
      </w:r>
      <w:r w:rsidRPr="00BE0029">
        <w:rPr>
          <w:rFonts w:ascii="宋体" w:eastAsia="宋体" w:hAnsi="宋体" w:hint="eastAsia"/>
          <w:color w:val="111111"/>
          <w:sz w:val="24"/>
          <w:szCs w:val="24"/>
          <w:lang w:eastAsia="zh-CN"/>
        </w:rPr>
        <w:t>围绕碳达峰、碳中和目标，持续完善环境治理体系，逐步构建以碳排放约束为核心的政策框架。碳税、碳交易、碳配额及相关激励约束机制的实施，不仅改变了企业传统的生产经营方式，也使供应链管理由单纯追求成本最小化和效率最大化，转向兼顾经济效益、环境绩效与社会责任的综合优化。</w:t>
      </w:r>
    </w:p>
    <w:p w14:paraId="067F5E3C" w14:textId="77777777" w:rsidR="0067454D" w:rsidRPr="006A4474" w:rsidRDefault="00000000">
      <w:pPr>
        <w:spacing w:before="240" w:after="100" w:line="360" w:lineRule="auto"/>
        <w:rPr>
          <w:color w:val="000000" w:themeColor="text1"/>
          <w:lang w:eastAsia="zh-CN"/>
        </w:rPr>
      </w:pPr>
      <w:r w:rsidRPr="006A4474">
        <w:rPr>
          <w:rFonts w:ascii="黑体" w:eastAsia="黑体" w:hAnsi="黑体"/>
          <w:b/>
          <w:color w:val="000000" w:themeColor="text1"/>
          <w:sz w:val="26"/>
          <w:lang w:eastAsia="zh-CN"/>
        </w:rPr>
        <w:t>1.2  文献综述</w:t>
      </w:r>
    </w:p>
    <w:p w14:paraId="5F4ED8D8"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供应链碳排放管理与多目标优化的交叉研究大致沿三条主线演进：①碳政策与供应链决策机制——Benjaafar等[5]将碳成本融入运营决策，Du等[6]研究Cap-and-Trade下的两级协调，李进等[7]、毋博等[8]、邹清明等[9]分别从博弈论、不确定性、公平关切维度深化了碳约束供应链决策研究；②可持续供应链多目标优化——Pishvaee和Razmi[10]构建多目标随机规划，Arslan和Çatay[12]将AUGMECON用于可</w:t>
      </w:r>
      <w:r>
        <w:rPr>
          <w:rFonts w:ascii="宋体" w:eastAsia="宋体" w:hAnsi="宋体"/>
          <w:color w:val="111111"/>
          <w:lang w:eastAsia="zh-CN"/>
        </w:rPr>
        <w:lastRenderedPageBreak/>
        <w:t>持续供应链，Sepehri等[13]、杨晓辉等[14]进一步拓展目标维度与求解方法；③多目标方法论创新——Mavrotas[4]提出AUGMECON消除弱帕累托解，Mavrotas和Florios[15]改进为AUGMECON2，闫谨等[16]、聂彤彤等[17]将TOPSIS延伸至碳减排评估与供应链脆弱性评价。综合来看，现有研究对三类政策的系统横向比较及AUGMECON与TOPSIS集成应用仍有较大拓展空间，本文针对上述不足展开研究。</w:t>
      </w:r>
    </w:p>
    <w:p w14:paraId="6EE1C762" w14:textId="77777777" w:rsidR="0067454D" w:rsidRPr="006A4474" w:rsidRDefault="00000000">
      <w:pPr>
        <w:spacing w:before="240" w:after="100" w:line="360" w:lineRule="auto"/>
        <w:rPr>
          <w:color w:val="000000" w:themeColor="text1"/>
          <w:lang w:eastAsia="zh-CN"/>
        </w:rPr>
      </w:pPr>
      <w:r w:rsidRPr="006A4474">
        <w:rPr>
          <w:rFonts w:ascii="黑体" w:eastAsia="黑体" w:hAnsi="黑体"/>
          <w:b/>
          <w:color w:val="000000" w:themeColor="text1"/>
          <w:sz w:val="26"/>
          <w:lang w:eastAsia="zh-CN"/>
        </w:rPr>
        <w:t>1.3  研究方法与数据来源</w:t>
      </w:r>
    </w:p>
    <w:p w14:paraId="66AAF089" w14:textId="77777777" w:rsidR="0067454D" w:rsidRDefault="00000000">
      <w:pPr>
        <w:spacing w:before="60" w:after="60" w:line="360" w:lineRule="auto"/>
        <w:ind w:firstLine="419"/>
        <w:jc w:val="both"/>
      </w:pPr>
      <w:r>
        <w:rPr>
          <w:rFonts w:ascii="宋体" w:eastAsia="宋体" w:hAnsi="宋体"/>
          <w:color w:val="111111"/>
          <w:lang w:eastAsia="zh-CN"/>
        </w:rPr>
        <w:t>本文综合运用：文献综述法、数学规划模型构建法、AUGMECON、TOPSIS多属性决策法、Python数值仿真及多方案对比分析法。实证数据来源于：①生态环境部《2022年电力CO₂排放因子》（0.5568 tCO₂/MWh）[18]；②上海环境能源交易所2023年度ETS成交均价（68.15元/吨）[3]；③GB/T 32150-2015碳排放核算系数；④国家统计局《2022年工业企业财务统计年报》；⑤CEADs制造业分部门碳排放强度数据集[19]。</w:t>
      </w:r>
      <w:r>
        <w:rPr>
          <w:rFonts w:ascii="宋体" w:eastAsia="宋体" w:hAnsi="宋体"/>
          <w:color w:val="111111"/>
        </w:rPr>
        <w:t>供应链网络结构如图1所示。</w:t>
      </w:r>
    </w:p>
    <w:p w14:paraId="46DAB460" w14:textId="77777777" w:rsidR="0067454D" w:rsidRDefault="00000000">
      <w:pPr>
        <w:spacing w:before="100" w:after="40" w:line="240" w:lineRule="auto"/>
        <w:jc w:val="center"/>
      </w:pPr>
      <w:r>
        <w:rPr>
          <w:noProof/>
        </w:rPr>
        <w:drawing>
          <wp:inline distT="0" distB="0" distL="0" distR="0" wp14:anchorId="1014A8A7" wp14:editId="0396C405">
            <wp:extent cx="4680000" cy="2508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network.png"/>
                    <pic:cNvPicPr/>
                  </pic:nvPicPr>
                  <pic:blipFill>
                    <a:blip r:embed="rId6"/>
                    <a:stretch>
                      <a:fillRect/>
                    </a:stretch>
                  </pic:blipFill>
                  <pic:spPr>
                    <a:xfrm>
                      <a:off x="0" y="0"/>
                      <a:ext cx="4680000" cy="2508367"/>
                    </a:xfrm>
                    <a:prstGeom prst="rect">
                      <a:avLst/>
                    </a:prstGeom>
                  </pic:spPr>
                </pic:pic>
              </a:graphicData>
            </a:graphic>
          </wp:inline>
        </w:drawing>
      </w:r>
    </w:p>
    <w:p w14:paraId="4F46A356" w14:textId="77777777" w:rsidR="0067454D" w:rsidRDefault="00000000">
      <w:pPr>
        <w:spacing w:before="40" w:line="288" w:lineRule="auto"/>
        <w:jc w:val="center"/>
        <w:rPr>
          <w:lang w:eastAsia="zh-CN"/>
        </w:rPr>
      </w:pPr>
      <w:r>
        <w:rPr>
          <w:rFonts w:ascii="宋体" w:eastAsia="宋体" w:hAnsi="宋体"/>
          <w:i/>
          <w:color w:val="555555"/>
          <w:sz w:val="20"/>
          <w:lang w:eastAsia="zh-CN"/>
        </w:rPr>
        <w:t>图1  研究案例供应链网络结构示意图（3供应商—1生产基地—2仓储中心—5销售终端）</w:t>
      </w:r>
    </w:p>
    <w:p w14:paraId="63F4F9A0" w14:textId="77777777" w:rsidR="0067454D" w:rsidRPr="0076591F" w:rsidRDefault="00000000">
      <w:pPr>
        <w:spacing w:before="360" w:after="120" w:line="360" w:lineRule="auto"/>
        <w:rPr>
          <w:color w:val="000000" w:themeColor="text1"/>
          <w:lang w:eastAsia="zh-CN"/>
        </w:rPr>
      </w:pPr>
      <w:r w:rsidRPr="0076591F">
        <w:rPr>
          <w:rFonts w:ascii="黑体" w:eastAsia="黑体" w:hAnsi="黑体"/>
          <w:b/>
          <w:color w:val="000000" w:themeColor="text1"/>
          <w:sz w:val="32"/>
          <w:lang w:eastAsia="zh-CN"/>
        </w:rPr>
        <w:t>2  理论基础与模型建构</w:t>
      </w:r>
    </w:p>
    <w:p w14:paraId="481951BB"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2.1  核心概念界定</w:t>
      </w:r>
    </w:p>
    <w:p w14:paraId="0E614E46" w14:textId="77777777" w:rsidR="0067454D" w:rsidRDefault="00000000">
      <w:pPr>
        <w:spacing w:before="160" w:after="60" w:line="360" w:lineRule="auto"/>
        <w:rPr>
          <w:lang w:eastAsia="zh-CN"/>
        </w:rPr>
      </w:pPr>
      <w:r>
        <w:rPr>
          <w:rFonts w:ascii="宋体" w:eastAsia="宋体" w:hAnsi="宋体"/>
          <w:b/>
          <w:color w:val="333333"/>
          <w:sz w:val="24"/>
          <w:lang w:eastAsia="zh-CN"/>
        </w:rPr>
        <w:t>2.1.1  可持续供应链</w:t>
      </w:r>
    </w:p>
    <w:p w14:paraId="46049704" w14:textId="0066A645" w:rsidR="0067454D" w:rsidRDefault="00000000">
      <w:pPr>
        <w:spacing w:before="60" w:after="60" w:line="360" w:lineRule="auto"/>
        <w:ind w:firstLine="419"/>
        <w:jc w:val="both"/>
        <w:rPr>
          <w:lang w:eastAsia="zh-CN"/>
        </w:rPr>
      </w:pPr>
      <w:r>
        <w:rPr>
          <w:rFonts w:ascii="宋体" w:eastAsia="宋体" w:hAnsi="宋体"/>
          <w:color w:val="111111"/>
          <w:lang w:eastAsia="zh-CN"/>
        </w:rPr>
        <w:t>可持续供应链是将可持续发展核心理念系统性嵌入传统供应链管理体系的集成化治理范式，以Elkington（1997）提出的"经济—环境—社会"三重底线理论为综合评价框架[20]。在多重碳规制情境下，</w:t>
      </w:r>
      <w:r w:rsidR="001B0D0C">
        <w:rPr>
          <w:rFonts w:ascii="宋体" w:eastAsia="宋体" w:hAnsi="宋体"/>
          <w:color w:val="111111"/>
          <w:lang w:eastAsia="zh-CN"/>
        </w:rPr>
        <w:t>可持续供应链</w:t>
      </w:r>
      <w:r>
        <w:rPr>
          <w:rFonts w:ascii="宋体" w:eastAsia="宋体" w:hAnsi="宋体"/>
          <w:color w:val="111111"/>
          <w:lang w:eastAsia="zh-CN"/>
        </w:rPr>
        <w:t>管理的核心矛盾在于：如何在满足碳排放政策约束的前提下，通过系统优化供应链网络结构与运营流程，实现供应链整体价值创造的帕累托改进——即在不损害经济绩效的前提下持续提升环境可持续性。</w:t>
      </w:r>
    </w:p>
    <w:p w14:paraId="39224826" w14:textId="77777777" w:rsidR="0067454D" w:rsidRDefault="00000000">
      <w:pPr>
        <w:spacing w:before="160" w:after="60" w:line="360" w:lineRule="auto"/>
        <w:rPr>
          <w:lang w:eastAsia="zh-CN"/>
        </w:rPr>
      </w:pPr>
      <w:r>
        <w:rPr>
          <w:rFonts w:ascii="宋体" w:eastAsia="宋体" w:hAnsi="宋体"/>
          <w:b/>
          <w:color w:val="333333"/>
          <w:sz w:val="24"/>
          <w:lang w:eastAsia="zh-CN"/>
        </w:rPr>
        <w:t>2.1.2  三类碳政策机制比较</w:t>
      </w:r>
    </w:p>
    <w:p w14:paraId="7336AF85"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三类碳政策工具的核心机制特征比较如表1所示。</w:t>
      </w:r>
    </w:p>
    <w:p w14:paraId="13F879BB" w14:textId="77777777" w:rsidR="0067454D" w:rsidRDefault="00000000">
      <w:pPr>
        <w:spacing w:before="120" w:after="40" w:line="288" w:lineRule="auto"/>
        <w:jc w:val="center"/>
      </w:pPr>
      <w:r>
        <w:rPr>
          <w:rFonts w:ascii="宋体" w:eastAsia="宋体" w:hAnsi="宋体"/>
          <w:b/>
          <w:color w:val="555555"/>
          <w:sz w:val="20"/>
        </w:rPr>
        <w:t>表1  三类碳政策机制比较</w:t>
      </w:r>
    </w:p>
    <w:tbl>
      <w:tblPr>
        <w:tblStyle w:val="aff1"/>
        <w:tblW w:w="0" w:type="auto"/>
        <w:jc w:val="center"/>
        <w:tblLook w:val="04A0" w:firstRow="1" w:lastRow="0" w:firstColumn="1" w:lastColumn="0" w:noHBand="0" w:noVBand="1"/>
      </w:tblPr>
      <w:tblGrid>
        <w:gridCol w:w="1474"/>
        <w:gridCol w:w="2154"/>
        <w:gridCol w:w="1247"/>
        <w:gridCol w:w="1587"/>
        <w:gridCol w:w="1757"/>
      </w:tblGrid>
      <w:tr w:rsidR="0067454D" w14:paraId="1664F114" w14:textId="77777777">
        <w:trPr>
          <w:jc w:val="center"/>
        </w:trPr>
        <w:tc>
          <w:tcPr>
            <w:tcW w:w="1474" w:type="dxa"/>
            <w:tcBorders>
              <w:top w:val="single" w:sz="12" w:space="0" w:color="000000"/>
              <w:left w:val="none" w:sz="0" w:space="0" w:color="000000"/>
              <w:bottom w:val="single" w:sz="6" w:space="0" w:color="000000"/>
              <w:right w:val="none" w:sz="0" w:space="0" w:color="000000"/>
            </w:tcBorders>
            <w:vAlign w:val="center"/>
          </w:tcPr>
          <w:p w14:paraId="3E62AA83" w14:textId="77777777" w:rsidR="0067454D" w:rsidRDefault="00000000">
            <w:pPr>
              <w:spacing w:before="60" w:after="60" w:line="288" w:lineRule="auto"/>
              <w:jc w:val="center"/>
            </w:pPr>
            <w:r>
              <w:rPr>
                <w:rFonts w:ascii="宋体" w:eastAsia="宋体" w:hAnsi="宋体"/>
                <w:b/>
                <w:color w:val="111111"/>
                <w:sz w:val="20"/>
              </w:rPr>
              <w:t>政策类型</w:t>
            </w:r>
          </w:p>
        </w:tc>
        <w:tc>
          <w:tcPr>
            <w:tcW w:w="2154" w:type="dxa"/>
            <w:tcBorders>
              <w:top w:val="single" w:sz="12" w:space="0" w:color="000000"/>
              <w:left w:val="none" w:sz="0" w:space="0" w:color="000000"/>
              <w:bottom w:val="single" w:sz="6" w:space="0" w:color="000000"/>
              <w:right w:val="none" w:sz="0" w:space="0" w:color="000000"/>
            </w:tcBorders>
            <w:vAlign w:val="center"/>
          </w:tcPr>
          <w:p w14:paraId="6A344A8A" w14:textId="77777777" w:rsidR="0067454D" w:rsidRDefault="00000000">
            <w:pPr>
              <w:spacing w:before="60" w:after="60" w:line="288" w:lineRule="auto"/>
              <w:jc w:val="center"/>
            </w:pPr>
            <w:r>
              <w:rPr>
                <w:rFonts w:ascii="宋体" w:eastAsia="宋体" w:hAnsi="宋体"/>
                <w:b/>
                <w:color w:val="111111"/>
                <w:sz w:val="20"/>
              </w:rPr>
              <w:t>约束机制</w:t>
            </w:r>
          </w:p>
        </w:tc>
        <w:tc>
          <w:tcPr>
            <w:tcW w:w="1247" w:type="dxa"/>
            <w:tcBorders>
              <w:top w:val="single" w:sz="12" w:space="0" w:color="000000"/>
              <w:left w:val="none" w:sz="0" w:space="0" w:color="000000"/>
              <w:bottom w:val="single" w:sz="6" w:space="0" w:color="000000"/>
              <w:right w:val="none" w:sz="0" w:space="0" w:color="000000"/>
            </w:tcBorders>
            <w:vAlign w:val="center"/>
          </w:tcPr>
          <w:p w14:paraId="731C7FFF" w14:textId="77777777" w:rsidR="0067454D" w:rsidRDefault="00000000">
            <w:pPr>
              <w:spacing w:before="60" w:after="60" w:line="288" w:lineRule="auto"/>
              <w:jc w:val="center"/>
            </w:pPr>
            <w:r>
              <w:rPr>
                <w:rFonts w:ascii="宋体" w:eastAsia="宋体" w:hAnsi="宋体"/>
                <w:b/>
                <w:color w:val="111111"/>
                <w:sz w:val="20"/>
              </w:rPr>
              <w:t>减排灵活性</w:t>
            </w:r>
          </w:p>
        </w:tc>
        <w:tc>
          <w:tcPr>
            <w:tcW w:w="1587" w:type="dxa"/>
            <w:tcBorders>
              <w:top w:val="single" w:sz="12" w:space="0" w:color="000000"/>
              <w:left w:val="none" w:sz="0" w:space="0" w:color="000000"/>
              <w:bottom w:val="single" w:sz="6" w:space="0" w:color="000000"/>
              <w:right w:val="none" w:sz="0" w:space="0" w:color="000000"/>
            </w:tcBorders>
            <w:vAlign w:val="center"/>
          </w:tcPr>
          <w:p w14:paraId="2767611C" w14:textId="77777777" w:rsidR="0067454D" w:rsidRDefault="00000000">
            <w:pPr>
              <w:spacing w:before="60" w:after="60" w:line="288" w:lineRule="auto"/>
              <w:jc w:val="center"/>
            </w:pPr>
            <w:r>
              <w:rPr>
                <w:rFonts w:ascii="宋体" w:eastAsia="宋体" w:hAnsi="宋体"/>
                <w:b/>
                <w:color w:val="111111"/>
                <w:sz w:val="20"/>
              </w:rPr>
              <w:t>成本可预测性</w:t>
            </w:r>
          </w:p>
        </w:tc>
        <w:tc>
          <w:tcPr>
            <w:tcW w:w="1757" w:type="dxa"/>
            <w:tcBorders>
              <w:top w:val="single" w:sz="12" w:space="0" w:color="000000"/>
              <w:left w:val="none" w:sz="0" w:space="0" w:color="000000"/>
              <w:bottom w:val="single" w:sz="6" w:space="0" w:color="000000"/>
              <w:right w:val="none" w:sz="0" w:space="0" w:color="000000"/>
            </w:tcBorders>
            <w:vAlign w:val="center"/>
          </w:tcPr>
          <w:p w14:paraId="4405323C" w14:textId="77777777" w:rsidR="0067454D" w:rsidRDefault="00000000">
            <w:pPr>
              <w:spacing w:before="60" w:after="60" w:line="288" w:lineRule="auto"/>
              <w:jc w:val="center"/>
            </w:pPr>
            <w:r>
              <w:rPr>
                <w:rFonts w:ascii="宋体" w:eastAsia="宋体" w:hAnsi="宋体"/>
                <w:b/>
                <w:color w:val="111111"/>
                <w:sz w:val="20"/>
              </w:rPr>
              <w:t>适用场景</w:t>
            </w:r>
          </w:p>
        </w:tc>
      </w:tr>
      <w:tr w:rsidR="0067454D" w14:paraId="69C9BF07" w14:textId="77777777">
        <w:trPr>
          <w:jc w:val="center"/>
        </w:trPr>
        <w:tc>
          <w:tcPr>
            <w:tcW w:w="1474" w:type="dxa"/>
            <w:tcBorders>
              <w:top w:val="none" w:sz="0" w:space="0" w:color="000000"/>
              <w:left w:val="none" w:sz="0" w:space="0" w:color="000000"/>
              <w:bottom w:val="none" w:sz="0" w:space="0" w:color="000000"/>
              <w:right w:val="none" w:sz="0" w:space="0" w:color="000000"/>
            </w:tcBorders>
            <w:vAlign w:val="center"/>
          </w:tcPr>
          <w:p w14:paraId="39815878" w14:textId="77777777" w:rsidR="0067454D" w:rsidRDefault="00000000">
            <w:pPr>
              <w:spacing w:before="60" w:after="60" w:line="288" w:lineRule="auto"/>
              <w:jc w:val="center"/>
            </w:pPr>
            <w:r>
              <w:rPr>
                <w:rFonts w:ascii="宋体" w:eastAsia="宋体" w:hAnsi="宋体"/>
                <w:color w:val="111111"/>
                <w:sz w:val="19"/>
              </w:rPr>
              <w:t>碳限额（Cap）</w:t>
            </w:r>
          </w:p>
        </w:tc>
        <w:tc>
          <w:tcPr>
            <w:tcW w:w="2154" w:type="dxa"/>
            <w:tcBorders>
              <w:top w:val="none" w:sz="0" w:space="0" w:color="000000"/>
              <w:left w:val="none" w:sz="0" w:space="0" w:color="000000"/>
              <w:bottom w:val="none" w:sz="0" w:space="0" w:color="000000"/>
              <w:right w:val="none" w:sz="0" w:space="0" w:color="000000"/>
            </w:tcBorders>
            <w:vAlign w:val="center"/>
          </w:tcPr>
          <w:p w14:paraId="322BC305" w14:textId="77777777" w:rsidR="0067454D" w:rsidRDefault="00000000">
            <w:pPr>
              <w:spacing w:before="60" w:after="60" w:line="288" w:lineRule="auto"/>
              <w:jc w:val="center"/>
            </w:pPr>
            <w:r>
              <w:rPr>
                <w:rFonts w:ascii="宋体" w:eastAsia="宋体" w:hAnsi="宋体"/>
                <w:color w:val="111111"/>
                <w:sz w:val="19"/>
              </w:rPr>
              <w:t>E ≤ Ē（硬性上限）</w:t>
            </w:r>
          </w:p>
        </w:tc>
        <w:tc>
          <w:tcPr>
            <w:tcW w:w="1247" w:type="dxa"/>
            <w:tcBorders>
              <w:top w:val="none" w:sz="0" w:space="0" w:color="000000"/>
              <w:left w:val="none" w:sz="0" w:space="0" w:color="000000"/>
              <w:bottom w:val="none" w:sz="0" w:space="0" w:color="000000"/>
              <w:right w:val="none" w:sz="0" w:space="0" w:color="000000"/>
            </w:tcBorders>
            <w:vAlign w:val="center"/>
          </w:tcPr>
          <w:p w14:paraId="53E55EF9" w14:textId="77777777" w:rsidR="0067454D" w:rsidRDefault="00000000">
            <w:pPr>
              <w:spacing w:before="60" w:after="60" w:line="288" w:lineRule="auto"/>
              <w:jc w:val="center"/>
            </w:pPr>
            <w:r>
              <w:rPr>
                <w:rFonts w:ascii="宋体" w:eastAsia="宋体" w:hAnsi="宋体"/>
                <w:color w:val="111111"/>
                <w:sz w:val="19"/>
              </w:rPr>
              <w:t>低</w:t>
            </w:r>
          </w:p>
        </w:tc>
        <w:tc>
          <w:tcPr>
            <w:tcW w:w="1587" w:type="dxa"/>
            <w:tcBorders>
              <w:top w:val="none" w:sz="0" w:space="0" w:color="000000"/>
              <w:left w:val="none" w:sz="0" w:space="0" w:color="000000"/>
              <w:bottom w:val="none" w:sz="0" w:space="0" w:color="000000"/>
              <w:right w:val="none" w:sz="0" w:space="0" w:color="000000"/>
            </w:tcBorders>
            <w:vAlign w:val="center"/>
          </w:tcPr>
          <w:p w14:paraId="21794D3A" w14:textId="77777777" w:rsidR="0067454D" w:rsidRDefault="00000000">
            <w:pPr>
              <w:spacing w:before="60" w:after="60" w:line="288" w:lineRule="auto"/>
              <w:jc w:val="center"/>
            </w:pPr>
            <w:r>
              <w:rPr>
                <w:rFonts w:ascii="宋体" w:eastAsia="宋体" w:hAnsi="宋体"/>
                <w:color w:val="111111"/>
                <w:sz w:val="19"/>
              </w:rPr>
              <w:t>低（处罚不确定）</w:t>
            </w:r>
          </w:p>
        </w:tc>
        <w:tc>
          <w:tcPr>
            <w:tcW w:w="1757" w:type="dxa"/>
            <w:tcBorders>
              <w:top w:val="none" w:sz="0" w:space="0" w:color="000000"/>
              <w:left w:val="none" w:sz="0" w:space="0" w:color="000000"/>
              <w:bottom w:val="none" w:sz="0" w:space="0" w:color="000000"/>
              <w:right w:val="none" w:sz="0" w:space="0" w:color="000000"/>
            </w:tcBorders>
            <w:vAlign w:val="center"/>
          </w:tcPr>
          <w:p w14:paraId="45946A95" w14:textId="77777777" w:rsidR="0067454D" w:rsidRDefault="00000000">
            <w:pPr>
              <w:spacing w:before="60" w:after="60" w:line="288" w:lineRule="auto"/>
              <w:jc w:val="center"/>
            </w:pPr>
            <w:r>
              <w:rPr>
                <w:rFonts w:ascii="宋体" w:eastAsia="宋体" w:hAnsi="宋体"/>
                <w:color w:val="111111"/>
                <w:sz w:val="19"/>
              </w:rPr>
              <w:t>大型高排放企业</w:t>
            </w:r>
          </w:p>
        </w:tc>
      </w:tr>
      <w:tr w:rsidR="0067454D" w14:paraId="153A36EB" w14:textId="77777777">
        <w:trPr>
          <w:jc w:val="center"/>
        </w:trPr>
        <w:tc>
          <w:tcPr>
            <w:tcW w:w="1474" w:type="dxa"/>
            <w:tcBorders>
              <w:top w:val="none" w:sz="0" w:space="0" w:color="000000"/>
              <w:left w:val="none" w:sz="0" w:space="0" w:color="000000"/>
              <w:bottom w:val="none" w:sz="0" w:space="0" w:color="000000"/>
              <w:right w:val="none" w:sz="0" w:space="0" w:color="000000"/>
            </w:tcBorders>
            <w:vAlign w:val="center"/>
          </w:tcPr>
          <w:p w14:paraId="7BB254C5" w14:textId="77777777" w:rsidR="0067454D" w:rsidRDefault="00000000">
            <w:pPr>
              <w:spacing w:before="60" w:after="60" w:line="288" w:lineRule="auto"/>
              <w:jc w:val="center"/>
            </w:pPr>
            <w:r>
              <w:rPr>
                <w:rFonts w:ascii="宋体" w:eastAsia="宋体" w:hAnsi="宋体"/>
                <w:color w:val="111111"/>
                <w:sz w:val="19"/>
              </w:rPr>
              <w:t>碳税（Tax）</w:t>
            </w:r>
          </w:p>
        </w:tc>
        <w:tc>
          <w:tcPr>
            <w:tcW w:w="2154" w:type="dxa"/>
            <w:tcBorders>
              <w:top w:val="none" w:sz="0" w:space="0" w:color="000000"/>
              <w:left w:val="none" w:sz="0" w:space="0" w:color="000000"/>
              <w:bottom w:val="none" w:sz="0" w:space="0" w:color="000000"/>
              <w:right w:val="none" w:sz="0" w:space="0" w:color="000000"/>
            </w:tcBorders>
            <w:vAlign w:val="center"/>
          </w:tcPr>
          <w:p w14:paraId="036AF29F" w14:textId="77777777" w:rsidR="0067454D" w:rsidRDefault="00000000">
            <w:pPr>
              <w:spacing w:before="60" w:after="60" w:line="288" w:lineRule="auto"/>
              <w:jc w:val="center"/>
              <w:rPr>
                <w:lang w:eastAsia="zh-CN"/>
              </w:rPr>
            </w:pPr>
            <w:r>
              <w:rPr>
                <w:rFonts w:ascii="宋体" w:eastAsia="宋体" w:hAnsi="宋体"/>
                <w:color w:val="111111"/>
                <w:sz w:val="19"/>
                <w:lang w:eastAsia="zh-CN"/>
              </w:rPr>
              <w:t xml:space="preserve">C = </w:t>
            </w:r>
            <w:r>
              <w:rPr>
                <w:rFonts w:ascii="宋体" w:eastAsia="宋体" w:hAnsi="宋体"/>
                <w:color w:val="111111"/>
                <w:sz w:val="19"/>
              </w:rPr>
              <w:t>τ</w:t>
            </w:r>
            <w:r>
              <w:rPr>
                <w:rFonts w:ascii="宋体" w:eastAsia="宋体" w:hAnsi="宋体"/>
                <w:color w:val="111111"/>
                <w:sz w:val="19"/>
                <w:lang w:eastAsia="zh-CN"/>
              </w:rPr>
              <w:t xml:space="preserve"> × E（成本内化）</w:t>
            </w:r>
          </w:p>
        </w:tc>
        <w:tc>
          <w:tcPr>
            <w:tcW w:w="1247" w:type="dxa"/>
            <w:tcBorders>
              <w:top w:val="none" w:sz="0" w:space="0" w:color="000000"/>
              <w:left w:val="none" w:sz="0" w:space="0" w:color="000000"/>
              <w:bottom w:val="none" w:sz="0" w:space="0" w:color="000000"/>
              <w:right w:val="none" w:sz="0" w:space="0" w:color="000000"/>
            </w:tcBorders>
            <w:vAlign w:val="center"/>
          </w:tcPr>
          <w:p w14:paraId="38EA645A" w14:textId="77777777" w:rsidR="0067454D" w:rsidRDefault="00000000">
            <w:pPr>
              <w:spacing w:before="60" w:after="60" w:line="288" w:lineRule="auto"/>
              <w:jc w:val="center"/>
            </w:pPr>
            <w:r>
              <w:rPr>
                <w:rFonts w:ascii="宋体" w:eastAsia="宋体" w:hAnsi="宋体"/>
                <w:color w:val="111111"/>
                <w:sz w:val="19"/>
              </w:rPr>
              <w:t>高</w:t>
            </w:r>
          </w:p>
        </w:tc>
        <w:tc>
          <w:tcPr>
            <w:tcW w:w="1587" w:type="dxa"/>
            <w:tcBorders>
              <w:top w:val="none" w:sz="0" w:space="0" w:color="000000"/>
              <w:left w:val="none" w:sz="0" w:space="0" w:color="000000"/>
              <w:bottom w:val="none" w:sz="0" w:space="0" w:color="000000"/>
              <w:right w:val="none" w:sz="0" w:space="0" w:color="000000"/>
            </w:tcBorders>
            <w:vAlign w:val="center"/>
          </w:tcPr>
          <w:p w14:paraId="13189914" w14:textId="77777777" w:rsidR="0067454D" w:rsidRDefault="00000000">
            <w:pPr>
              <w:spacing w:before="60" w:after="60" w:line="288" w:lineRule="auto"/>
              <w:jc w:val="center"/>
            </w:pPr>
            <w:r>
              <w:rPr>
                <w:rFonts w:ascii="宋体" w:eastAsia="宋体" w:hAnsi="宋体"/>
                <w:color w:val="111111"/>
                <w:sz w:val="19"/>
              </w:rPr>
              <w:t>高（税率固定）</w:t>
            </w:r>
          </w:p>
        </w:tc>
        <w:tc>
          <w:tcPr>
            <w:tcW w:w="1757" w:type="dxa"/>
            <w:tcBorders>
              <w:top w:val="none" w:sz="0" w:space="0" w:color="000000"/>
              <w:left w:val="none" w:sz="0" w:space="0" w:color="000000"/>
              <w:bottom w:val="none" w:sz="0" w:space="0" w:color="000000"/>
              <w:right w:val="none" w:sz="0" w:space="0" w:color="000000"/>
            </w:tcBorders>
            <w:vAlign w:val="center"/>
          </w:tcPr>
          <w:p w14:paraId="31B55993" w14:textId="77777777" w:rsidR="0067454D" w:rsidRDefault="00000000">
            <w:pPr>
              <w:spacing w:before="60" w:after="60" w:line="288" w:lineRule="auto"/>
              <w:jc w:val="center"/>
            </w:pPr>
            <w:r>
              <w:rPr>
                <w:rFonts w:ascii="宋体" w:eastAsia="宋体" w:hAnsi="宋体"/>
                <w:color w:val="111111"/>
                <w:sz w:val="19"/>
              </w:rPr>
              <w:t>中小型企业</w:t>
            </w:r>
          </w:p>
        </w:tc>
      </w:tr>
      <w:tr w:rsidR="0067454D" w14:paraId="7B23D5D5" w14:textId="77777777">
        <w:trPr>
          <w:jc w:val="center"/>
        </w:trPr>
        <w:tc>
          <w:tcPr>
            <w:tcW w:w="1474" w:type="dxa"/>
            <w:tcBorders>
              <w:top w:val="none" w:sz="0" w:space="0" w:color="000000"/>
              <w:left w:val="none" w:sz="0" w:space="0" w:color="000000"/>
              <w:bottom w:val="single" w:sz="12" w:space="0" w:color="000000"/>
              <w:right w:val="none" w:sz="0" w:space="0" w:color="000000"/>
            </w:tcBorders>
            <w:vAlign w:val="center"/>
          </w:tcPr>
          <w:p w14:paraId="75599907" w14:textId="77777777" w:rsidR="0067454D" w:rsidRDefault="00000000">
            <w:pPr>
              <w:spacing w:before="60" w:after="60" w:line="288" w:lineRule="auto"/>
              <w:jc w:val="center"/>
            </w:pPr>
            <w:r>
              <w:rPr>
                <w:rFonts w:ascii="宋体" w:eastAsia="宋体" w:hAnsi="宋体"/>
                <w:color w:val="111111"/>
                <w:sz w:val="19"/>
              </w:rPr>
              <w:t>碳交易（ETS）</w:t>
            </w:r>
          </w:p>
        </w:tc>
        <w:tc>
          <w:tcPr>
            <w:tcW w:w="2154" w:type="dxa"/>
            <w:tcBorders>
              <w:top w:val="none" w:sz="0" w:space="0" w:color="000000"/>
              <w:left w:val="none" w:sz="0" w:space="0" w:color="000000"/>
              <w:bottom w:val="single" w:sz="12" w:space="0" w:color="000000"/>
              <w:right w:val="none" w:sz="0" w:space="0" w:color="000000"/>
            </w:tcBorders>
            <w:vAlign w:val="center"/>
          </w:tcPr>
          <w:p w14:paraId="0950A293" w14:textId="77777777" w:rsidR="0067454D" w:rsidRDefault="00000000">
            <w:pPr>
              <w:spacing w:before="60" w:after="60" w:line="288" w:lineRule="auto"/>
              <w:jc w:val="center"/>
            </w:pPr>
            <w:r>
              <w:rPr>
                <w:rFonts w:ascii="宋体" w:eastAsia="宋体" w:hAnsi="宋体"/>
                <w:color w:val="111111"/>
                <w:sz w:val="19"/>
              </w:rPr>
              <w:t>配额市场化交易</w:t>
            </w:r>
          </w:p>
        </w:tc>
        <w:tc>
          <w:tcPr>
            <w:tcW w:w="1247" w:type="dxa"/>
            <w:tcBorders>
              <w:top w:val="none" w:sz="0" w:space="0" w:color="000000"/>
              <w:left w:val="none" w:sz="0" w:space="0" w:color="000000"/>
              <w:bottom w:val="single" w:sz="12" w:space="0" w:color="000000"/>
              <w:right w:val="none" w:sz="0" w:space="0" w:color="000000"/>
            </w:tcBorders>
            <w:vAlign w:val="center"/>
          </w:tcPr>
          <w:p w14:paraId="75798CC8" w14:textId="77777777" w:rsidR="0067454D" w:rsidRDefault="00000000">
            <w:pPr>
              <w:spacing w:before="60" w:after="60" w:line="288" w:lineRule="auto"/>
              <w:jc w:val="center"/>
            </w:pPr>
            <w:r>
              <w:rPr>
                <w:rFonts w:ascii="宋体" w:eastAsia="宋体" w:hAnsi="宋体"/>
                <w:color w:val="111111"/>
                <w:sz w:val="19"/>
              </w:rPr>
              <w:t>最高</w:t>
            </w:r>
          </w:p>
        </w:tc>
        <w:tc>
          <w:tcPr>
            <w:tcW w:w="1587" w:type="dxa"/>
            <w:tcBorders>
              <w:top w:val="none" w:sz="0" w:space="0" w:color="000000"/>
              <w:left w:val="none" w:sz="0" w:space="0" w:color="000000"/>
              <w:bottom w:val="single" w:sz="12" w:space="0" w:color="000000"/>
              <w:right w:val="none" w:sz="0" w:space="0" w:color="000000"/>
            </w:tcBorders>
            <w:vAlign w:val="center"/>
          </w:tcPr>
          <w:p w14:paraId="531ADB60" w14:textId="77777777" w:rsidR="0067454D" w:rsidRDefault="00000000">
            <w:pPr>
              <w:spacing w:before="60" w:after="60" w:line="288" w:lineRule="auto"/>
              <w:jc w:val="center"/>
            </w:pPr>
            <w:r>
              <w:rPr>
                <w:rFonts w:ascii="宋体" w:eastAsia="宋体" w:hAnsi="宋体"/>
                <w:color w:val="111111"/>
                <w:sz w:val="19"/>
              </w:rPr>
              <w:t>中（价格波动）</w:t>
            </w:r>
          </w:p>
        </w:tc>
        <w:tc>
          <w:tcPr>
            <w:tcW w:w="1757" w:type="dxa"/>
            <w:tcBorders>
              <w:top w:val="none" w:sz="0" w:space="0" w:color="000000"/>
              <w:left w:val="none" w:sz="0" w:space="0" w:color="000000"/>
              <w:bottom w:val="single" w:sz="12" w:space="0" w:color="000000"/>
              <w:right w:val="none" w:sz="0" w:space="0" w:color="000000"/>
            </w:tcBorders>
            <w:vAlign w:val="center"/>
          </w:tcPr>
          <w:p w14:paraId="485EE27E" w14:textId="77777777" w:rsidR="0067454D" w:rsidRDefault="00000000">
            <w:pPr>
              <w:spacing w:before="60" w:after="60" w:line="288" w:lineRule="auto"/>
              <w:jc w:val="center"/>
            </w:pPr>
            <w:r>
              <w:rPr>
                <w:rFonts w:ascii="宋体" w:eastAsia="宋体" w:hAnsi="宋体"/>
                <w:color w:val="111111"/>
                <w:sz w:val="19"/>
              </w:rPr>
              <w:t>纳入ETS的企业</w:t>
            </w:r>
          </w:p>
        </w:tc>
      </w:tr>
    </w:tbl>
    <w:p w14:paraId="28CF5952" w14:textId="77777777" w:rsidR="0067454D" w:rsidRDefault="0067454D"/>
    <w:p w14:paraId="35A26BE4" w14:textId="77777777" w:rsidR="0067454D" w:rsidRDefault="00000000">
      <w:pPr>
        <w:spacing w:after="120" w:line="288" w:lineRule="auto"/>
        <w:rPr>
          <w:lang w:eastAsia="zh-CN"/>
        </w:rPr>
      </w:pPr>
      <w:r>
        <w:rPr>
          <w:rFonts w:ascii="宋体" w:eastAsia="宋体" w:hAnsi="宋体"/>
          <w:b/>
          <w:color w:val="555555"/>
          <w:sz w:val="19"/>
          <w:lang w:eastAsia="zh-CN"/>
        </w:rPr>
        <w:t>注：</w:t>
      </w:r>
      <w:r>
        <w:rPr>
          <w:rFonts w:ascii="宋体" w:eastAsia="宋体" w:hAnsi="宋体"/>
          <w:i/>
          <w:color w:val="555555"/>
          <w:sz w:val="19"/>
          <w:lang w:eastAsia="zh-CN"/>
        </w:rPr>
        <w:t>碳交易价格来源：上海环境能源交易所2023年度成交均价68.15元/吨[3]。</w:t>
      </w:r>
    </w:p>
    <w:p w14:paraId="3311E026"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碳排放权交易政策（ETS）通过总量控制与市场化机制的有机结合，在宏观层面确保减排总量可控，在微观层面赋予企业充分的运营灵活性，被普遍认为是实现全社会减排成本效益最优的核心政策工具（Dales, 1968）[21]。全国碳市场自2021年启动，价格由约48元/吨持续攀升至2024年底的97.49元/吨，为本文政策参数设定提供了可靠的市场锚定依据。</w:t>
      </w:r>
    </w:p>
    <w:p w14:paraId="4FD0CEDF" w14:textId="77777777" w:rsidR="0067454D" w:rsidRDefault="00000000">
      <w:pPr>
        <w:spacing w:before="160" w:after="60" w:line="360" w:lineRule="auto"/>
        <w:rPr>
          <w:lang w:eastAsia="zh-CN"/>
        </w:rPr>
      </w:pPr>
      <w:r>
        <w:rPr>
          <w:rFonts w:ascii="宋体" w:eastAsia="宋体" w:hAnsi="宋体"/>
          <w:b/>
          <w:color w:val="333333"/>
          <w:sz w:val="24"/>
          <w:lang w:eastAsia="zh-CN"/>
        </w:rPr>
        <w:t>2.1.3  多目标优化问题（MOOP）定义</w:t>
      </w:r>
    </w:p>
    <w:p w14:paraId="189D1C47" w14:textId="77777777" w:rsidR="0067454D" w:rsidRDefault="00000000">
      <w:pPr>
        <w:spacing w:before="60" w:after="60" w:line="360" w:lineRule="auto"/>
        <w:ind w:firstLine="419"/>
        <w:jc w:val="both"/>
      </w:pPr>
      <w:r>
        <w:rPr>
          <w:rFonts w:ascii="宋体" w:eastAsia="宋体" w:hAnsi="宋体"/>
          <w:color w:val="111111"/>
        </w:rPr>
        <w:t>多目标优化问题（Multi-Objective Optimization Problem, MOOP）的一般数学形式为：</w:t>
      </w:r>
    </w:p>
    <w:p w14:paraId="5E528C69" w14:textId="77777777" w:rsidR="0067454D" w:rsidRDefault="00000000">
      <w:pPr>
        <w:spacing w:before="100" w:after="100" w:line="336" w:lineRule="auto"/>
        <w:jc w:val="center"/>
      </w:pPr>
      <w:r>
        <w:rPr>
          <w:rFonts w:ascii="Times New Roman" w:eastAsia="Times New Roman" w:hAnsi="Times New Roman"/>
          <w:color w:val="111111"/>
        </w:rPr>
        <w:t>min    F(x) = [ f₁(x),  f₂(x) ]ᵀ</w:t>
      </w:r>
    </w:p>
    <w:p w14:paraId="1FE16FF6" w14:textId="77777777" w:rsidR="0067454D" w:rsidRDefault="00000000">
      <w:pPr>
        <w:spacing w:before="100" w:after="100" w:line="336" w:lineRule="auto"/>
        <w:jc w:val="center"/>
      </w:pPr>
      <w:r>
        <w:rPr>
          <w:rFonts w:ascii="Times New Roman" w:eastAsia="Times New Roman" w:hAnsi="Times New Roman"/>
          <w:color w:val="111111"/>
        </w:rPr>
        <w:t>s.t.   gⱼ(x) ≤ 0,  j = 1, …, m    （不等式约束）</w:t>
      </w:r>
    </w:p>
    <w:p w14:paraId="269105B6" w14:textId="77777777" w:rsidR="0067454D" w:rsidRDefault="00000000">
      <w:pPr>
        <w:spacing w:before="100" w:after="100" w:line="336" w:lineRule="auto"/>
        <w:jc w:val="center"/>
        <w:rPr>
          <w:lang w:eastAsia="zh-CN"/>
        </w:rPr>
      </w:pPr>
      <w:r>
        <w:rPr>
          <w:rFonts w:ascii="Times New Roman" w:eastAsia="Times New Roman" w:hAnsi="Times New Roman"/>
          <w:color w:val="111111"/>
        </w:rPr>
        <w:t xml:space="preserve">       </w:t>
      </w:r>
      <w:r>
        <w:rPr>
          <w:rFonts w:ascii="Times New Roman" w:eastAsia="Times New Roman" w:hAnsi="Times New Roman"/>
          <w:color w:val="111111"/>
          <w:lang w:eastAsia="zh-CN"/>
        </w:rPr>
        <w:t>hₗ(x) = 0,  l = 1, …, p    （等式约束）</w:t>
      </w:r>
    </w:p>
    <w:p w14:paraId="2494ECB0"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       x ∈ X                         （决策变量可行域）</w:t>
      </w:r>
    </w:p>
    <w:p w14:paraId="0048E00D"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其中，f₁为供应链总运营成本（经济目标），f₂为供应链总碳排放量（环境目标），两者存在固有利益冲突。帕累托前沿（Pareto Front）是目标空间中所有非支配解构成的有效权衡边界，是多目标优化的核心求解对象。</w:t>
      </w:r>
    </w:p>
    <w:p w14:paraId="06C80A79"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2.2  多目标优化理论基础</w:t>
      </w:r>
    </w:p>
    <w:p w14:paraId="43467CD4" w14:textId="77777777" w:rsidR="0067454D" w:rsidRDefault="00000000">
      <w:pPr>
        <w:spacing w:before="160" w:after="60" w:line="360" w:lineRule="auto"/>
        <w:rPr>
          <w:lang w:eastAsia="zh-CN"/>
        </w:rPr>
      </w:pPr>
      <w:r>
        <w:rPr>
          <w:rFonts w:ascii="宋体" w:eastAsia="宋体" w:hAnsi="宋体"/>
          <w:b/>
          <w:color w:val="333333"/>
          <w:sz w:val="24"/>
          <w:lang w:eastAsia="zh-CN"/>
        </w:rPr>
        <w:t>2.2.1  增强</w:t>
      </w:r>
      <w:r>
        <w:rPr>
          <w:rFonts w:ascii="宋体" w:eastAsia="宋体" w:hAnsi="宋体"/>
          <w:b/>
          <w:color w:val="333333"/>
          <w:sz w:val="24"/>
        </w:rPr>
        <w:t>ε</w:t>
      </w:r>
      <w:r>
        <w:rPr>
          <w:rFonts w:ascii="宋体" w:eastAsia="宋体" w:hAnsi="宋体"/>
          <w:b/>
          <w:color w:val="333333"/>
          <w:sz w:val="24"/>
          <w:lang w:eastAsia="zh-CN"/>
        </w:rPr>
        <w:t>约束法（AUGMECON）</w:t>
      </w:r>
    </w:p>
    <w:p w14:paraId="022FB411"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Mavrotas（2009）提出的增强</w:t>
      </w:r>
      <w:r>
        <w:rPr>
          <w:rFonts w:ascii="宋体" w:eastAsia="宋体" w:hAnsi="宋体"/>
          <w:color w:val="111111"/>
        </w:rPr>
        <w:t>ε</w:t>
      </w:r>
      <w:r>
        <w:rPr>
          <w:rFonts w:ascii="宋体" w:eastAsia="宋体" w:hAnsi="宋体"/>
          <w:color w:val="111111"/>
          <w:lang w:eastAsia="zh-CN"/>
        </w:rPr>
        <w:t>约束法通过在目标函数中引入松弛变量s₂及正则化惩罚项，将双目标优化问题转化为系列单目标参数化子问题，从根本上消除弱帕累托解问题[4]。针对本文双目标模型，AUGMECON标准形式为：</w:t>
      </w:r>
    </w:p>
    <w:p w14:paraId="7B1B994F"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min    f₁(x) − </w:t>
      </w:r>
      <w:r>
        <w:rPr>
          <w:rFonts w:ascii="Times New Roman" w:eastAsia="Times New Roman" w:hAnsi="Times New Roman"/>
          <w:color w:val="111111"/>
        </w:rPr>
        <w:t>δ</w:t>
      </w:r>
      <w:r>
        <w:rPr>
          <w:rFonts w:ascii="Times New Roman" w:eastAsia="Times New Roman" w:hAnsi="Times New Roman"/>
          <w:color w:val="111111"/>
          <w:lang w:eastAsia="zh-CN"/>
        </w:rPr>
        <w:t xml:space="preserve"> · (s₂ / r₂)          （主目标含正则化惩罚项）</w:t>
      </w:r>
    </w:p>
    <w:p w14:paraId="6CD56130"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s.t.   f₂(x) + s₂ = </w:t>
      </w:r>
      <w:r>
        <w:rPr>
          <w:rFonts w:ascii="Times New Roman" w:eastAsia="Times New Roman" w:hAnsi="Times New Roman"/>
          <w:color w:val="111111"/>
        </w:rPr>
        <w:t>ε</w:t>
      </w:r>
      <w:r>
        <w:rPr>
          <w:rFonts w:ascii="Times New Roman" w:eastAsia="Times New Roman" w:hAnsi="Times New Roman"/>
          <w:color w:val="111111"/>
          <w:lang w:eastAsia="zh-CN"/>
        </w:rPr>
        <w:t>₂                （环境目标转化为参数约束）</w:t>
      </w:r>
    </w:p>
    <w:p w14:paraId="50FE5829"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       s₂ ≥ 0                           （松弛变量非负约束）</w:t>
      </w:r>
    </w:p>
    <w:p w14:paraId="4889021F"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       x ∈ X</w:t>
      </w:r>
    </w:p>
    <w:p w14:paraId="4B234850"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参数说明：</w:t>
      </w:r>
      <w:r>
        <w:rPr>
          <w:rFonts w:ascii="宋体" w:eastAsia="宋体" w:hAnsi="宋体"/>
          <w:color w:val="111111"/>
        </w:rPr>
        <w:t>δ</w:t>
      </w:r>
      <w:r>
        <w:rPr>
          <w:rFonts w:ascii="宋体" w:eastAsia="宋体" w:hAnsi="宋体"/>
          <w:color w:val="111111"/>
          <w:lang w:eastAsia="zh-CN"/>
        </w:rPr>
        <w:t xml:space="preserve"> = 10⁻⁴（正则化惩罚系数）；r₂ = f₂ᵐᵃˣ − f₂ᵐⁱⁿ = 400,000 kg CO₂（f₂值域，基于案例数据）；</w:t>
      </w:r>
      <w:r>
        <w:rPr>
          <w:rFonts w:ascii="宋体" w:eastAsia="宋体" w:hAnsi="宋体"/>
          <w:color w:val="111111"/>
        </w:rPr>
        <w:t>ε</w:t>
      </w:r>
      <w:r>
        <w:rPr>
          <w:rFonts w:ascii="宋体" w:eastAsia="宋体" w:hAnsi="宋体"/>
          <w:color w:val="111111"/>
          <w:lang w:eastAsia="zh-CN"/>
        </w:rPr>
        <w:t>₂在[f₂ᵐⁱⁿ, f₂ᵐᵃˣ]范围内等间距取N+1个值（本文N=20）。当s₂ &gt; 0时，惩罚项确保所有求解点均满足强帕累托最优条件（Mavrotas &amp; Florios, 2013）[15]。</w:t>
      </w:r>
    </w:p>
    <w:p w14:paraId="2399F1DE" w14:textId="77777777" w:rsidR="0067454D" w:rsidRDefault="00000000">
      <w:pPr>
        <w:spacing w:before="160" w:after="60" w:line="360" w:lineRule="auto"/>
        <w:rPr>
          <w:lang w:eastAsia="zh-CN"/>
        </w:rPr>
      </w:pPr>
      <w:r>
        <w:rPr>
          <w:rFonts w:ascii="宋体" w:eastAsia="宋体" w:hAnsi="宋体"/>
          <w:b/>
          <w:color w:val="333333"/>
          <w:sz w:val="24"/>
          <w:lang w:eastAsia="zh-CN"/>
        </w:rPr>
        <w:t>2.2.2  TOPSIS多属性决策方法</w:t>
      </w:r>
    </w:p>
    <w:p w14:paraId="63E08C17"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TOPSIS（Hwang &amp; Yoon, 1981）的核心思想为：最优方案应同时满足距正理想解（PIS）最近且距负理想解（NIS）最远两个条件[22]。设帕累托解集有n个方案、m=2个目标，完整五步骤求解如下：</w:t>
      </w:r>
    </w:p>
    <w:p w14:paraId="386B4245"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步骤1：规范化决策矩阵    r̃ᵢⱼ = xᵢⱼ / √(</w:t>
      </w:r>
      <w:r>
        <w:rPr>
          <w:rFonts w:ascii="Times New Roman" w:eastAsia="Times New Roman" w:hAnsi="Times New Roman"/>
          <w:color w:val="111111"/>
        </w:rPr>
        <w:t>Σ</w:t>
      </w:r>
      <w:r>
        <w:rPr>
          <w:rFonts w:ascii="Times New Roman" w:eastAsia="Times New Roman" w:hAnsi="Times New Roman"/>
          <w:color w:val="111111"/>
          <w:lang w:eastAsia="zh-CN"/>
        </w:rPr>
        <w:t>ᵢ xᵢⱼ²)</w:t>
      </w:r>
    </w:p>
    <w:p w14:paraId="05DA2AD6"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步骤2：加权规范化矩阵    vᵢⱼ = wⱼ · r̃ᵢⱼ     （本文wⱼ = 0.5）</w:t>
      </w:r>
    </w:p>
    <w:p w14:paraId="1DA9F816" w14:textId="77777777" w:rsidR="0067454D" w:rsidRDefault="00000000">
      <w:pPr>
        <w:spacing w:before="100" w:after="100" w:line="336" w:lineRule="auto"/>
        <w:jc w:val="center"/>
      </w:pPr>
      <w:r>
        <w:rPr>
          <w:rFonts w:ascii="Times New Roman" w:eastAsia="Times New Roman" w:hAnsi="Times New Roman"/>
          <w:color w:val="111111"/>
        </w:rPr>
        <w:t>步骤3：正/负理想解       A⁺ = {min vᵢⱼ},  A⁻ = {max vᵢⱼ}   （最小化目标）</w:t>
      </w:r>
    </w:p>
    <w:p w14:paraId="1C9F1B24" w14:textId="77777777" w:rsidR="0067454D" w:rsidRDefault="00000000">
      <w:pPr>
        <w:spacing w:before="100" w:after="100" w:line="336" w:lineRule="auto"/>
        <w:jc w:val="center"/>
      </w:pPr>
      <w:r>
        <w:rPr>
          <w:rFonts w:ascii="Times New Roman" w:eastAsia="Times New Roman" w:hAnsi="Times New Roman"/>
          <w:color w:val="111111"/>
        </w:rPr>
        <w:t>步骤4：欧氏距离          D⁺ᵢ = √Σⱼ(vᵢⱼ−vⱼ⁺)²,  D⁻ᵢ = √Σⱼ(vᵢⱼ−vⱼ⁻)²</w:t>
      </w:r>
    </w:p>
    <w:p w14:paraId="1EE101EE"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步骤5：综合贴近度        Cᵢ = D⁻ᵢ / (D⁺ᵢ + D⁻ᵢ),   Cᵢ ∈ [0, 1]</w:t>
      </w:r>
    </w:p>
    <w:p w14:paraId="3913D6BC"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Cᵢ越接近1，表明方案综合性能越优；Cᵢ = 1表示方案与正理想解完全重合。</w:t>
      </w:r>
    </w:p>
    <w:p w14:paraId="4921CAE1"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2.3  主要符号定义</w:t>
      </w:r>
    </w:p>
    <w:p w14:paraId="3070F8C0"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模型主要符号定义与数据来源如表2所示。</w:t>
      </w:r>
    </w:p>
    <w:p w14:paraId="79039D83" w14:textId="77777777" w:rsidR="0067454D" w:rsidRDefault="00000000">
      <w:pPr>
        <w:spacing w:before="120" w:after="40" w:line="288" w:lineRule="auto"/>
        <w:jc w:val="center"/>
        <w:rPr>
          <w:lang w:eastAsia="zh-CN"/>
        </w:rPr>
      </w:pPr>
      <w:r>
        <w:rPr>
          <w:rFonts w:ascii="宋体" w:eastAsia="宋体" w:hAnsi="宋体"/>
          <w:b/>
          <w:color w:val="555555"/>
          <w:sz w:val="20"/>
          <w:lang w:eastAsia="zh-CN"/>
        </w:rPr>
        <w:t>表2  模型主要符号定义与数据来源</w:t>
      </w:r>
    </w:p>
    <w:tbl>
      <w:tblPr>
        <w:tblStyle w:val="aff1"/>
        <w:tblW w:w="0" w:type="auto"/>
        <w:jc w:val="center"/>
        <w:tblLook w:val="04A0" w:firstRow="1" w:lastRow="0" w:firstColumn="1" w:lastColumn="0" w:noHBand="0" w:noVBand="1"/>
      </w:tblPr>
      <w:tblGrid>
        <w:gridCol w:w="1701"/>
        <w:gridCol w:w="2721"/>
        <w:gridCol w:w="3798"/>
      </w:tblGrid>
      <w:tr w:rsidR="0067454D" w14:paraId="2B830159" w14:textId="77777777">
        <w:trPr>
          <w:jc w:val="center"/>
        </w:trPr>
        <w:tc>
          <w:tcPr>
            <w:tcW w:w="1701" w:type="dxa"/>
            <w:tcBorders>
              <w:top w:val="single" w:sz="12" w:space="0" w:color="000000"/>
              <w:left w:val="none" w:sz="0" w:space="0" w:color="000000"/>
              <w:bottom w:val="single" w:sz="6" w:space="0" w:color="000000"/>
              <w:right w:val="none" w:sz="0" w:space="0" w:color="000000"/>
            </w:tcBorders>
            <w:vAlign w:val="center"/>
          </w:tcPr>
          <w:p w14:paraId="1ABE9A89" w14:textId="77777777" w:rsidR="0067454D" w:rsidRDefault="00000000">
            <w:pPr>
              <w:spacing w:before="60" w:after="60" w:line="288" w:lineRule="auto"/>
              <w:jc w:val="center"/>
            </w:pPr>
            <w:r>
              <w:rPr>
                <w:rFonts w:ascii="宋体" w:eastAsia="宋体" w:hAnsi="宋体"/>
                <w:b/>
                <w:color w:val="111111"/>
                <w:sz w:val="20"/>
              </w:rPr>
              <w:t>符号</w:t>
            </w:r>
          </w:p>
        </w:tc>
        <w:tc>
          <w:tcPr>
            <w:tcW w:w="2721" w:type="dxa"/>
            <w:tcBorders>
              <w:top w:val="single" w:sz="12" w:space="0" w:color="000000"/>
              <w:left w:val="none" w:sz="0" w:space="0" w:color="000000"/>
              <w:bottom w:val="single" w:sz="6" w:space="0" w:color="000000"/>
              <w:right w:val="none" w:sz="0" w:space="0" w:color="000000"/>
            </w:tcBorders>
            <w:vAlign w:val="center"/>
          </w:tcPr>
          <w:p w14:paraId="1D3B3BA2" w14:textId="77777777" w:rsidR="0067454D" w:rsidRDefault="00000000">
            <w:pPr>
              <w:spacing w:before="60" w:after="60" w:line="288" w:lineRule="auto"/>
              <w:jc w:val="center"/>
            </w:pPr>
            <w:r>
              <w:rPr>
                <w:rFonts w:ascii="宋体" w:eastAsia="宋体" w:hAnsi="宋体"/>
                <w:b/>
                <w:color w:val="111111"/>
                <w:sz w:val="20"/>
              </w:rPr>
              <w:t>含义与单位</w:t>
            </w:r>
          </w:p>
        </w:tc>
        <w:tc>
          <w:tcPr>
            <w:tcW w:w="3798" w:type="dxa"/>
            <w:tcBorders>
              <w:top w:val="single" w:sz="12" w:space="0" w:color="000000"/>
              <w:left w:val="none" w:sz="0" w:space="0" w:color="000000"/>
              <w:bottom w:val="single" w:sz="6" w:space="0" w:color="000000"/>
              <w:right w:val="none" w:sz="0" w:space="0" w:color="000000"/>
            </w:tcBorders>
            <w:vAlign w:val="center"/>
          </w:tcPr>
          <w:p w14:paraId="046B82BB" w14:textId="77777777" w:rsidR="0067454D" w:rsidRDefault="00000000">
            <w:pPr>
              <w:spacing w:before="60" w:after="60" w:line="288" w:lineRule="auto"/>
              <w:jc w:val="center"/>
            </w:pPr>
            <w:r>
              <w:rPr>
                <w:rFonts w:ascii="宋体" w:eastAsia="宋体" w:hAnsi="宋体"/>
                <w:b/>
                <w:color w:val="111111"/>
                <w:sz w:val="20"/>
              </w:rPr>
              <w:t>数据来源/参数取值</w:t>
            </w:r>
          </w:p>
        </w:tc>
      </w:tr>
      <w:tr w:rsidR="0067454D" w14:paraId="20A8C135"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5BD77CC3" w14:textId="77777777" w:rsidR="0067454D" w:rsidRDefault="00000000">
            <w:pPr>
              <w:spacing w:before="60" w:after="60" w:line="288" w:lineRule="auto"/>
              <w:jc w:val="center"/>
            </w:pPr>
            <w:r>
              <w:rPr>
                <w:rFonts w:ascii="宋体" w:eastAsia="宋体" w:hAnsi="宋体"/>
                <w:color w:val="111111"/>
                <w:sz w:val="19"/>
              </w:rPr>
              <w:t>xᵢⱼ / yⱼₖ / zₖₗ</w:t>
            </w:r>
          </w:p>
        </w:tc>
        <w:tc>
          <w:tcPr>
            <w:tcW w:w="2721" w:type="dxa"/>
            <w:tcBorders>
              <w:top w:val="none" w:sz="0" w:space="0" w:color="000000"/>
              <w:left w:val="none" w:sz="0" w:space="0" w:color="000000"/>
              <w:bottom w:val="none" w:sz="0" w:space="0" w:color="000000"/>
              <w:right w:val="none" w:sz="0" w:space="0" w:color="000000"/>
            </w:tcBorders>
            <w:vAlign w:val="center"/>
          </w:tcPr>
          <w:p w14:paraId="74DA1EFA" w14:textId="77777777" w:rsidR="0067454D" w:rsidRDefault="00000000">
            <w:pPr>
              <w:spacing w:before="60" w:after="60" w:line="288" w:lineRule="auto"/>
              <w:jc w:val="center"/>
              <w:rPr>
                <w:lang w:eastAsia="zh-CN"/>
              </w:rPr>
            </w:pPr>
            <w:r>
              <w:rPr>
                <w:rFonts w:ascii="宋体" w:eastAsia="宋体" w:hAnsi="宋体"/>
                <w:color w:val="111111"/>
                <w:sz w:val="19"/>
                <w:lang w:eastAsia="zh-CN"/>
              </w:rPr>
              <w:t>各环节流量决策变量（吨）</w:t>
            </w:r>
          </w:p>
        </w:tc>
        <w:tc>
          <w:tcPr>
            <w:tcW w:w="3798" w:type="dxa"/>
            <w:tcBorders>
              <w:top w:val="none" w:sz="0" w:space="0" w:color="000000"/>
              <w:left w:val="none" w:sz="0" w:space="0" w:color="000000"/>
              <w:bottom w:val="none" w:sz="0" w:space="0" w:color="000000"/>
              <w:right w:val="none" w:sz="0" w:space="0" w:color="000000"/>
            </w:tcBorders>
            <w:vAlign w:val="center"/>
          </w:tcPr>
          <w:p w14:paraId="6EE34A5D" w14:textId="77777777" w:rsidR="0067454D" w:rsidRDefault="00000000">
            <w:pPr>
              <w:spacing w:before="60" w:after="60" w:line="288" w:lineRule="auto"/>
              <w:jc w:val="center"/>
            </w:pPr>
            <w:r>
              <w:rPr>
                <w:rFonts w:ascii="宋体" w:eastAsia="宋体" w:hAnsi="宋体"/>
                <w:color w:val="111111"/>
                <w:sz w:val="19"/>
              </w:rPr>
              <w:t>企业内部运营数据</w:t>
            </w:r>
          </w:p>
        </w:tc>
      </w:tr>
      <w:tr w:rsidR="0067454D" w14:paraId="635466CB"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0508C5A1" w14:textId="77777777" w:rsidR="0067454D" w:rsidRDefault="00000000">
            <w:pPr>
              <w:spacing w:before="60" w:after="60" w:line="288" w:lineRule="auto"/>
              <w:jc w:val="center"/>
            </w:pPr>
            <w:r>
              <w:rPr>
                <w:rFonts w:ascii="宋体" w:eastAsia="宋体" w:hAnsi="宋体"/>
                <w:color w:val="111111"/>
                <w:sz w:val="19"/>
              </w:rPr>
              <w:t>cᵢⱼᵖ</w:t>
            </w:r>
          </w:p>
        </w:tc>
        <w:tc>
          <w:tcPr>
            <w:tcW w:w="2721" w:type="dxa"/>
            <w:tcBorders>
              <w:top w:val="none" w:sz="0" w:space="0" w:color="000000"/>
              <w:left w:val="none" w:sz="0" w:space="0" w:color="000000"/>
              <w:bottom w:val="none" w:sz="0" w:space="0" w:color="000000"/>
              <w:right w:val="none" w:sz="0" w:space="0" w:color="000000"/>
            </w:tcBorders>
            <w:vAlign w:val="center"/>
          </w:tcPr>
          <w:p w14:paraId="3C926DE2" w14:textId="77777777" w:rsidR="0067454D" w:rsidRDefault="00000000">
            <w:pPr>
              <w:spacing w:before="60" w:after="60" w:line="288" w:lineRule="auto"/>
              <w:jc w:val="center"/>
              <w:rPr>
                <w:lang w:eastAsia="zh-CN"/>
              </w:rPr>
            </w:pPr>
            <w:r>
              <w:rPr>
                <w:rFonts w:ascii="宋体" w:eastAsia="宋体" w:hAnsi="宋体"/>
                <w:color w:val="111111"/>
                <w:sz w:val="19"/>
                <w:lang w:eastAsia="zh-CN"/>
              </w:rPr>
              <w:t>采购运输单位综合成本（元/吨）</w:t>
            </w:r>
          </w:p>
        </w:tc>
        <w:tc>
          <w:tcPr>
            <w:tcW w:w="3798" w:type="dxa"/>
            <w:tcBorders>
              <w:top w:val="none" w:sz="0" w:space="0" w:color="000000"/>
              <w:left w:val="none" w:sz="0" w:space="0" w:color="000000"/>
              <w:bottom w:val="none" w:sz="0" w:space="0" w:color="000000"/>
              <w:right w:val="none" w:sz="0" w:space="0" w:color="000000"/>
            </w:tcBorders>
            <w:vAlign w:val="center"/>
          </w:tcPr>
          <w:p w14:paraId="588E3A03" w14:textId="77777777" w:rsidR="0067454D" w:rsidRDefault="00000000">
            <w:pPr>
              <w:spacing w:before="60" w:after="60" w:line="288" w:lineRule="auto"/>
              <w:jc w:val="center"/>
              <w:rPr>
                <w:lang w:eastAsia="zh-CN"/>
              </w:rPr>
            </w:pPr>
            <w:r>
              <w:rPr>
                <w:rFonts w:ascii="宋体" w:eastAsia="宋体" w:hAnsi="宋体"/>
                <w:color w:val="111111"/>
                <w:sz w:val="19"/>
                <w:lang w:eastAsia="zh-CN"/>
              </w:rPr>
              <w:t>国家统计局制造业成本均值</w:t>
            </w:r>
          </w:p>
        </w:tc>
      </w:tr>
      <w:tr w:rsidR="0067454D" w14:paraId="071FE6C0"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37F8748E" w14:textId="77777777" w:rsidR="0067454D" w:rsidRDefault="00000000">
            <w:pPr>
              <w:spacing w:before="60" w:after="60" w:line="288" w:lineRule="auto"/>
              <w:jc w:val="center"/>
            </w:pPr>
            <w:r>
              <w:rPr>
                <w:rFonts w:ascii="宋体" w:eastAsia="宋体" w:hAnsi="宋体"/>
                <w:color w:val="111111"/>
                <w:sz w:val="19"/>
              </w:rPr>
              <w:t>cⱼₘ / cₖₛ</w:t>
            </w:r>
          </w:p>
        </w:tc>
        <w:tc>
          <w:tcPr>
            <w:tcW w:w="2721" w:type="dxa"/>
            <w:tcBorders>
              <w:top w:val="none" w:sz="0" w:space="0" w:color="000000"/>
              <w:left w:val="none" w:sz="0" w:space="0" w:color="000000"/>
              <w:bottom w:val="none" w:sz="0" w:space="0" w:color="000000"/>
              <w:right w:val="none" w:sz="0" w:space="0" w:color="000000"/>
            </w:tcBorders>
            <w:vAlign w:val="center"/>
          </w:tcPr>
          <w:p w14:paraId="519C3A43" w14:textId="77777777" w:rsidR="0067454D" w:rsidRDefault="00000000">
            <w:pPr>
              <w:spacing w:before="60" w:after="60" w:line="288" w:lineRule="auto"/>
              <w:jc w:val="center"/>
              <w:rPr>
                <w:lang w:eastAsia="zh-CN"/>
              </w:rPr>
            </w:pPr>
            <w:r>
              <w:rPr>
                <w:rFonts w:ascii="宋体" w:eastAsia="宋体" w:hAnsi="宋体"/>
                <w:color w:val="111111"/>
                <w:sz w:val="19"/>
                <w:lang w:eastAsia="zh-CN"/>
              </w:rPr>
              <w:t>单位生产/仓储成本（元/吨）</w:t>
            </w:r>
          </w:p>
        </w:tc>
        <w:tc>
          <w:tcPr>
            <w:tcW w:w="3798" w:type="dxa"/>
            <w:tcBorders>
              <w:top w:val="none" w:sz="0" w:space="0" w:color="000000"/>
              <w:left w:val="none" w:sz="0" w:space="0" w:color="000000"/>
              <w:bottom w:val="none" w:sz="0" w:space="0" w:color="000000"/>
              <w:right w:val="none" w:sz="0" w:space="0" w:color="000000"/>
            </w:tcBorders>
            <w:vAlign w:val="center"/>
          </w:tcPr>
          <w:p w14:paraId="7173EB89" w14:textId="77777777" w:rsidR="0067454D" w:rsidRDefault="00000000">
            <w:pPr>
              <w:spacing w:before="60" w:after="60" w:line="288" w:lineRule="auto"/>
              <w:jc w:val="center"/>
            </w:pPr>
            <w:r>
              <w:rPr>
                <w:rFonts w:ascii="宋体" w:eastAsia="宋体" w:hAnsi="宋体"/>
                <w:color w:val="111111"/>
                <w:sz w:val="19"/>
              </w:rPr>
              <w:t>企业内部数据校正</w:t>
            </w:r>
          </w:p>
        </w:tc>
      </w:tr>
      <w:tr w:rsidR="0067454D" w14:paraId="6711489E"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6DE41084" w14:textId="77777777" w:rsidR="0067454D" w:rsidRDefault="00000000">
            <w:pPr>
              <w:spacing w:before="60" w:after="60" w:line="288" w:lineRule="auto"/>
              <w:jc w:val="center"/>
            </w:pPr>
            <w:r>
              <w:rPr>
                <w:rFonts w:ascii="宋体" w:eastAsia="宋体" w:hAnsi="宋体"/>
                <w:color w:val="111111"/>
                <w:sz w:val="19"/>
              </w:rPr>
              <w:t>eᵢⱼᵖ</w:t>
            </w:r>
          </w:p>
        </w:tc>
        <w:tc>
          <w:tcPr>
            <w:tcW w:w="2721" w:type="dxa"/>
            <w:tcBorders>
              <w:top w:val="none" w:sz="0" w:space="0" w:color="000000"/>
              <w:left w:val="none" w:sz="0" w:space="0" w:color="000000"/>
              <w:bottom w:val="none" w:sz="0" w:space="0" w:color="000000"/>
              <w:right w:val="none" w:sz="0" w:space="0" w:color="000000"/>
            </w:tcBorders>
            <w:vAlign w:val="center"/>
          </w:tcPr>
          <w:p w14:paraId="615A7DB4" w14:textId="77777777" w:rsidR="0067454D" w:rsidRDefault="00000000">
            <w:pPr>
              <w:spacing w:before="60" w:after="60" w:line="288" w:lineRule="auto"/>
              <w:jc w:val="center"/>
              <w:rPr>
                <w:lang w:eastAsia="zh-CN"/>
              </w:rPr>
            </w:pPr>
            <w:r>
              <w:rPr>
                <w:rFonts w:ascii="宋体" w:eastAsia="宋体" w:hAnsi="宋体"/>
                <w:color w:val="111111"/>
                <w:sz w:val="19"/>
                <w:lang w:eastAsia="zh-CN"/>
              </w:rPr>
              <w:t>采购运输碳排放系数（kg CO₂/吨·km）</w:t>
            </w:r>
          </w:p>
        </w:tc>
        <w:tc>
          <w:tcPr>
            <w:tcW w:w="3798" w:type="dxa"/>
            <w:tcBorders>
              <w:top w:val="none" w:sz="0" w:space="0" w:color="000000"/>
              <w:left w:val="none" w:sz="0" w:space="0" w:color="000000"/>
              <w:bottom w:val="none" w:sz="0" w:space="0" w:color="000000"/>
              <w:right w:val="none" w:sz="0" w:space="0" w:color="000000"/>
            </w:tcBorders>
            <w:vAlign w:val="center"/>
          </w:tcPr>
          <w:p w14:paraId="67955601" w14:textId="77777777" w:rsidR="0067454D" w:rsidRDefault="00000000">
            <w:pPr>
              <w:spacing w:before="60" w:after="60" w:line="288" w:lineRule="auto"/>
              <w:jc w:val="center"/>
            </w:pPr>
            <w:r>
              <w:rPr>
                <w:rFonts w:ascii="宋体" w:eastAsia="宋体" w:hAnsi="宋体"/>
                <w:color w:val="111111"/>
                <w:sz w:val="19"/>
              </w:rPr>
              <w:t>GB/T 32150-2015：0.068～0.089</w:t>
            </w:r>
          </w:p>
        </w:tc>
      </w:tr>
      <w:tr w:rsidR="0067454D" w14:paraId="0F43F372"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1D1BB097" w14:textId="77777777" w:rsidR="0067454D" w:rsidRDefault="00000000">
            <w:pPr>
              <w:spacing w:before="60" w:after="60" w:line="288" w:lineRule="auto"/>
              <w:jc w:val="center"/>
            </w:pPr>
            <w:r>
              <w:rPr>
                <w:rFonts w:ascii="宋体" w:eastAsia="宋体" w:hAnsi="宋体"/>
                <w:color w:val="111111"/>
                <w:sz w:val="19"/>
              </w:rPr>
              <w:t>eⱼ</w:t>
            </w:r>
          </w:p>
        </w:tc>
        <w:tc>
          <w:tcPr>
            <w:tcW w:w="2721" w:type="dxa"/>
            <w:tcBorders>
              <w:top w:val="none" w:sz="0" w:space="0" w:color="000000"/>
              <w:left w:val="none" w:sz="0" w:space="0" w:color="000000"/>
              <w:bottom w:val="none" w:sz="0" w:space="0" w:color="000000"/>
              <w:right w:val="none" w:sz="0" w:space="0" w:color="000000"/>
            </w:tcBorders>
            <w:vAlign w:val="center"/>
          </w:tcPr>
          <w:p w14:paraId="4A524681" w14:textId="77777777" w:rsidR="0067454D" w:rsidRDefault="00000000">
            <w:pPr>
              <w:spacing w:before="60" w:after="60" w:line="288" w:lineRule="auto"/>
              <w:jc w:val="center"/>
              <w:rPr>
                <w:lang w:eastAsia="zh-CN"/>
              </w:rPr>
            </w:pPr>
            <w:r>
              <w:rPr>
                <w:rFonts w:ascii="宋体" w:eastAsia="宋体" w:hAnsi="宋体"/>
                <w:color w:val="111111"/>
                <w:sz w:val="19"/>
                <w:lang w:eastAsia="zh-CN"/>
              </w:rPr>
              <w:t>生产单位碳排放系数（kg CO₂/吨）</w:t>
            </w:r>
          </w:p>
        </w:tc>
        <w:tc>
          <w:tcPr>
            <w:tcW w:w="3798" w:type="dxa"/>
            <w:tcBorders>
              <w:top w:val="none" w:sz="0" w:space="0" w:color="000000"/>
              <w:left w:val="none" w:sz="0" w:space="0" w:color="000000"/>
              <w:bottom w:val="none" w:sz="0" w:space="0" w:color="000000"/>
              <w:right w:val="none" w:sz="0" w:space="0" w:color="000000"/>
            </w:tcBorders>
            <w:vAlign w:val="center"/>
          </w:tcPr>
          <w:p w14:paraId="51679ECD" w14:textId="77777777" w:rsidR="0067454D" w:rsidRDefault="00000000">
            <w:pPr>
              <w:spacing w:before="60" w:after="60" w:line="288" w:lineRule="auto"/>
              <w:jc w:val="center"/>
            </w:pPr>
            <w:r>
              <w:rPr>
                <w:rFonts w:ascii="宋体" w:eastAsia="宋体" w:hAnsi="宋体"/>
                <w:color w:val="111111"/>
                <w:sz w:val="19"/>
              </w:rPr>
              <w:t>电力因子0.5568 tCO₂/MWh[18]→0.124</w:t>
            </w:r>
          </w:p>
        </w:tc>
      </w:tr>
      <w:tr w:rsidR="0067454D" w14:paraId="72E38906"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3CDF0F24" w14:textId="77777777" w:rsidR="0067454D" w:rsidRDefault="00000000">
            <w:pPr>
              <w:spacing w:before="60" w:after="60" w:line="288" w:lineRule="auto"/>
              <w:jc w:val="center"/>
            </w:pPr>
            <w:r>
              <w:rPr>
                <w:rFonts w:ascii="宋体" w:eastAsia="宋体" w:hAnsi="宋体"/>
                <w:color w:val="111111"/>
                <w:sz w:val="19"/>
              </w:rPr>
              <w:t>eₖ / eₖₗᵈ</w:t>
            </w:r>
          </w:p>
        </w:tc>
        <w:tc>
          <w:tcPr>
            <w:tcW w:w="2721" w:type="dxa"/>
            <w:tcBorders>
              <w:top w:val="none" w:sz="0" w:space="0" w:color="000000"/>
              <w:left w:val="none" w:sz="0" w:space="0" w:color="000000"/>
              <w:bottom w:val="none" w:sz="0" w:space="0" w:color="000000"/>
              <w:right w:val="none" w:sz="0" w:space="0" w:color="000000"/>
            </w:tcBorders>
            <w:vAlign w:val="center"/>
          </w:tcPr>
          <w:p w14:paraId="5454B0CB" w14:textId="77777777" w:rsidR="0067454D" w:rsidRDefault="00000000">
            <w:pPr>
              <w:spacing w:before="60" w:after="60" w:line="288" w:lineRule="auto"/>
              <w:jc w:val="center"/>
            </w:pPr>
            <w:r>
              <w:rPr>
                <w:rFonts w:ascii="宋体" w:eastAsia="宋体" w:hAnsi="宋体"/>
                <w:color w:val="111111"/>
                <w:sz w:val="19"/>
              </w:rPr>
              <w:t>仓储/配送碳排放系数</w:t>
            </w:r>
          </w:p>
        </w:tc>
        <w:tc>
          <w:tcPr>
            <w:tcW w:w="3798" w:type="dxa"/>
            <w:tcBorders>
              <w:top w:val="none" w:sz="0" w:space="0" w:color="000000"/>
              <w:left w:val="none" w:sz="0" w:space="0" w:color="000000"/>
              <w:bottom w:val="none" w:sz="0" w:space="0" w:color="000000"/>
              <w:right w:val="none" w:sz="0" w:space="0" w:color="000000"/>
            </w:tcBorders>
            <w:vAlign w:val="center"/>
          </w:tcPr>
          <w:p w14:paraId="500F37FB" w14:textId="77777777" w:rsidR="0067454D" w:rsidRDefault="00000000">
            <w:pPr>
              <w:spacing w:before="60" w:after="60" w:line="288" w:lineRule="auto"/>
              <w:jc w:val="center"/>
            </w:pPr>
            <w:r>
              <w:rPr>
                <w:rFonts w:ascii="宋体" w:eastAsia="宋体" w:hAnsi="宋体"/>
                <w:color w:val="111111"/>
                <w:sz w:val="19"/>
              </w:rPr>
              <w:t>GB/T 32150-2015</w:t>
            </w:r>
          </w:p>
        </w:tc>
      </w:tr>
      <w:tr w:rsidR="0067454D" w14:paraId="23CD7FC5"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1E0C9A27" w14:textId="77777777" w:rsidR="0067454D" w:rsidRDefault="00000000">
            <w:pPr>
              <w:spacing w:before="60" w:after="60" w:line="288" w:lineRule="auto"/>
              <w:jc w:val="center"/>
            </w:pPr>
            <w:r>
              <w:rPr>
                <w:rFonts w:ascii="宋体" w:eastAsia="宋体" w:hAnsi="宋体"/>
                <w:color w:val="111111"/>
                <w:sz w:val="19"/>
              </w:rPr>
              <w:t>dᵢⱼ / dⱼₖ / dₖₗ</w:t>
            </w:r>
          </w:p>
        </w:tc>
        <w:tc>
          <w:tcPr>
            <w:tcW w:w="2721" w:type="dxa"/>
            <w:tcBorders>
              <w:top w:val="none" w:sz="0" w:space="0" w:color="000000"/>
              <w:left w:val="none" w:sz="0" w:space="0" w:color="000000"/>
              <w:bottom w:val="none" w:sz="0" w:space="0" w:color="000000"/>
              <w:right w:val="none" w:sz="0" w:space="0" w:color="000000"/>
            </w:tcBorders>
            <w:vAlign w:val="center"/>
          </w:tcPr>
          <w:p w14:paraId="64827E17" w14:textId="77777777" w:rsidR="0067454D" w:rsidRDefault="00000000">
            <w:pPr>
              <w:spacing w:before="60" w:after="60" w:line="288" w:lineRule="auto"/>
              <w:jc w:val="center"/>
              <w:rPr>
                <w:lang w:eastAsia="zh-CN"/>
              </w:rPr>
            </w:pPr>
            <w:r>
              <w:rPr>
                <w:rFonts w:ascii="宋体" w:eastAsia="宋体" w:hAnsi="宋体"/>
                <w:color w:val="111111"/>
                <w:sz w:val="19"/>
                <w:lang w:eastAsia="zh-CN"/>
              </w:rPr>
              <w:t>各节点间运输距离（km）</w:t>
            </w:r>
          </w:p>
        </w:tc>
        <w:tc>
          <w:tcPr>
            <w:tcW w:w="3798" w:type="dxa"/>
            <w:tcBorders>
              <w:top w:val="none" w:sz="0" w:space="0" w:color="000000"/>
              <w:left w:val="none" w:sz="0" w:space="0" w:color="000000"/>
              <w:bottom w:val="none" w:sz="0" w:space="0" w:color="000000"/>
              <w:right w:val="none" w:sz="0" w:space="0" w:color="000000"/>
            </w:tcBorders>
            <w:vAlign w:val="center"/>
          </w:tcPr>
          <w:p w14:paraId="7D2C33D5" w14:textId="77777777" w:rsidR="0067454D" w:rsidRDefault="00000000">
            <w:pPr>
              <w:spacing w:before="60" w:after="60" w:line="288" w:lineRule="auto"/>
              <w:jc w:val="center"/>
              <w:rPr>
                <w:lang w:eastAsia="zh-CN"/>
              </w:rPr>
            </w:pPr>
            <w:r>
              <w:rPr>
                <w:rFonts w:ascii="宋体" w:eastAsia="宋体" w:hAnsi="宋体"/>
                <w:color w:val="111111"/>
                <w:sz w:val="19"/>
                <w:lang w:eastAsia="zh-CN"/>
              </w:rPr>
              <w:t>企业实际物流路线数据</w:t>
            </w:r>
          </w:p>
        </w:tc>
      </w:tr>
      <w:tr w:rsidR="0067454D" w14:paraId="2B292E7D"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1DAB791E" w14:textId="77777777" w:rsidR="0067454D" w:rsidRDefault="00000000">
            <w:pPr>
              <w:spacing w:before="60" w:after="60" w:line="288" w:lineRule="auto"/>
              <w:jc w:val="center"/>
            </w:pPr>
            <w:r>
              <w:rPr>
                <w:rFonts w:ascii="宋体" w:eastAsia="宋体" w:hAnsi="宋体"/>
                <w:color w:val="111111"/>
                <w:sz w:val="19"/>
              </w:rPr>
              <w:t>τ</w:t>
            </w:r>
          </w:p>
        </w:tc>
        <w:tc>
          <w:tcPr>
            <w:tcW w:w="2721" w:type="dxa"/>
            <w:tcBorders>
              <w:top w:val="none" w:sz="0" w:space="0" w:color="000000"/>
              <w:left w:val="none" w:sz="0" w:space="0" w:color="000000"/>
              <w:bottom w:val="none" w:sz="0" w:space="0" w:color="000000"/>
              <w:right w:val="none" w:sz="0" w:space="0" w:color="000000"/>
            </w:tcBorders>
            <w:vAlign w:val="center"/>
          </w:tcPr>
          <w:p w14:paraId="5652317D" w14:textId="77777777" w:rsidR="0067454D" w:rsidRDefault="00000000">
            <w:pPr>
              <w:spacing w:before="60" w:after="60" w:line="288" w:lineRule="auto"/>
              <w:jc w:val="center"/>
              <w:rPr>
                <w:lang w:eastAsia="zh-CN"/>
              </w:rPr>
            </w:pPr>
            <w:r>
              <w:rPr>
                <w:rFonts w:ascii="宋体" w:eastAsia="宋体" w:hAnsi="宋体"/>
                <w:color w:val="111111"/>
                <w:sz w:val="19"/>
                <w:lang w:eastAsia="zh-CN"/>
              </w:rPr>
              <w:t>碳税税率（元/kg CO₂）</w:t>
            </w:r>
          </w:p>
        </w:tc>
        <w:tc>
          <w:tcPr>
            <w:tcW w:w="3798" w:type="dxa"/>
            <w:tcBorders>
              <w:top w:val="none" w:sz="0" w:space="0" w:color="000000"/>
              <w:left w:val="none" w:sz="0" w:space="0" w:color="000000"/>
              <w:bottom w:val="none" w:sz="0" w:space="0" w:color="000000"/>
              <w:right w:val="none" w:sz="0" w:space="0" w:color="000000"/>
            </w:tcBorders>
            <w:vAlign w:val="center"/>
          </w:tcPr>
          <w:p w14:paraId="2A416E17" w14:textId="77777777" w:rsidR="0067454D" w:rsidRDefault="00000000">
            <w:pPr>
              <w:spacing w:before="60" w:after="60" w:line="288" w:lineRule="auto"/>
              <w:jc w:val="center"/>
            </w:pPr>
            <w:r>
              <w:rPr>
                <w:rFonts w:ascii="宋体" w:eastAsia="宋体" w:hAnsi="宋体"/>
                <w:color w:val="111111"/>
                <w:sz w:val="19"/>
              </w:rPr>
              <w:t>政策情景设定：0.05</w:t>
            </w:r>
          </w:p>
        </w:tc>
      </w:tr>
      <w:tr w:rsidR="0067454D" w14:paraId="36A83579"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65E94BD9" w14:textId="77777777" w:rsidR="0067454D" w:rsidRDefault="00000000">
            <w:pPr>
              <w:spacing w:before="60" w:after="60" w:line="288" w:lineRule="auto"/>
              <w:jc w:val="center"/>
            </w:pPr>
            <w:r>
              <w:rPr>
                <w:rFonts w:ascii="宋体" w:eastAsia="宋体" w:hAnsi="宋体"/>
                <w:color w:val="111111"/>
                <w:sz w:val="19"/>
              </w:rPr>
              <w:t>Ē</w:t>
            </w:r>
          </w:p>
        </w:tc>
        <w:tc>
          <w:tcPr>
            <w:tcW w:w="2721" w:type="dxa"/>
            <w:tcBorders>
              <w:top w:val="none" w:sz="0" w:space="0" w:color="000000"/>
              <w:left w:val="none" w:sz="0" w:space="0" w:color="000000"/>
              <w:bottom w:val="none" w:sz="0" w:space="0" w:color="000000"/>
              <w:right w:val="none" w:sz="0" w:space="0" w:color="000000"/>
            </w:tcBorders>
            <w:vAlign w:val="center"/>
          </w:tcPr>
          <w:p w14:paraId="420FA6E3" w14:textId="77777777" w:rsidR="0067454D" w:rsidRDefault="00000000">
            <w:pPr>
              <w:spacing w:before="60" w:after="60" w:line="288" w:lineRule="auto"/>
              <w:jc w:val="center"/>
              <w:rPr>
                <w:lang w:eastAsia="zh-CN"/>
              </w:rPr>
            </w:pPr>
            <w:r>
              <w:rPr>
                <w:rFonts w:ascii="宋体" w:eastAsia="宋体" w:hAnsi="宋体"/>
                <w:color w:val="111111"/>
                <w:sz w:val="19"/>
                <w:lang w:eastAsia="zh-CN"/>
              </w:rPr>
              <w:t>碳排放总量上限——碳限额（kg CO₂）</w:t>
            </w:r>
          </w:p>
        </w:tc>
        <w:tc>
          <w:tcPr>
            <w:tcW w:w="3798" w:type="dxa"/>
            <w:tcBorders>
              <w:top w:val="none" w:sz="0" w:space="0" w:color="000000"/>
              <w:left w:val="none" w:sz="0" w:space="0" w:color="000000"/>
              <w:bottom w:val="none" w:sz="0" w:space="0" w:color="000000"/>
              <w:right w:val="none" w:sz="0" w:space="0" w:color="000000"/>
            </w:tcBorders>
            <w:vAlign w:val="center"/>
          </w:tcPr>
          <w:p w14:paraId="6D82313F" w14:textId="77777777" w:rsidR="0067454D" w:rsidRDefault="00000000">
            <w:pPr>
              <w:spacing w:before="60" w:after="60" w:line="288" w:lineRule="auto"/>
              <w:jc w:val="center"/>
            </w:pPr>
            <w:r>
              <w:rPr>
                <w:rFonts w:ascii="宋体" w:eastAsia="宋体" w:hAnsi="宋体"/>
                <w:color w:val="111111"/>
                <w:sz w:val="19"/>
              </w:rPr>
              <w:t>政策情景设定：1,150,000</w:t>
            </w:r>
          </w:p>
        </w:tc>
      </w:tr>
      <w:tr w:rsidR="0067454D" w14:paraId="6CCF40C8"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6E1838E6" w14:textId="77777777" w:rsidR="0067454D" w:rsidRDefault="00000000">
            <w:pPr>
              <w:spacing w:before="60" w:after="60" w:line="288" w:lineRule="auto"/>
              <w:jc w:val="center"/>
            </w:pPr>
            <w:r>
              <w:rPr>
                <w:rFonts w:ascii="宋体" w:eastAsia="宋体" w:hAnsi="宋体"/>
                <w:color w:val="111111"/>
                <w:sz w:val="19"/>
              </w:rPr>
              <w:t>E₀</w:t>
            </w:r>
          </w:p>
        </w:tc>
        <w:tc>
          <w:tcPr>
            <w:tcW w:w="2721" w:type="dxa"/>
            <w:tcBorders>
              <w:top w:val="none" w:sz="0" w:space="0" w:color="000000"/>
              <w:left w:val="none" w:sz="0" w:space="0" w:color="000000"/>
              <w:bottom w:val="none" w:sz="0" w:space="0" w:color="000000"/>
              <w:right w:val="none" w:sz="0" w:space="0" w:color="000000"/>
            </w:tcBorders>
            <w:vAlign w:val="center"/>
          </w:tcPr>
          <w:p w14:paraId="324BB682" w14:textId="77777777" w:rsidR="0067454D" w:rsidRDefault="00000000">
            <w:pPr>
              <w:spacing w:before="60" w:after="60" w:line="288" w:lineRule="auto"/>
              <w:jc w:val="center"/>
            </w:pPr>
            <w:r>
              <w:rPr>
                <w:rFonts w:ascii="宋体" w:eastAsia="宋体" w:hAnsi="宋体"/>
                <w:color w:val="111111"/>
                <w:sz w:val="19"/>
              </w:rPr>
              <w:t>ETS初始碳排放配额（kg CO₂）</w:t>
            </w:r>
          </w:p>
        </w:tc>
        <w:tc>
          <w:tcPr>
            <w:tcW w:w="3798" w:type="dxa"/>
            <w:tcBorders>
              <w:top w:val="none" w:sz="0" w:space="0" w:color="000000"/>
              <w:left w:val="none" w:sz="0" w:space="0" w:color="000000"/>
              <w:bottom w:val="none" w:sz="0" w:space="0" w:color="000000"/>
              <w:right w:val="none" w:sz="0" w:space="0" w:color="000000"/>
            </w:tcBorders>
            <w:vAlign w:val="center"/>
          </w:tcPr>
          <w:p w14:paraId="1DA562E2" w14:textId="77777777" w:rsidR="0067454D" w:rsidRDefault="00000000">
            <w:pPr>
              <w:spacing w:before="60" w:after="60" w:line="288" w:lineRule="auto"/>
              <w:jc w:val="center"/>
            </w:pPr>
            <w:r>
              <w:rPr>
                <w:rFonts w:ascii="宋体" w:eastAsia="宋体" w:hAnsi="宋体"/>
                <w:color w:val="111111"/>
                <w:sz w:val="19"/>
              </w:rPr>
              <w:t>政策情景设定：1,150,000</w:t>
            </w:r>
          </w:p>
        </w:tc>
      </w:tr>
      <w:tr w:rsidR="0067454D" w14:paraId="2E93EDD8"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65F519D6" w14:textId="77777777" w:rsidR="0067454D" w:rsidRDefault="00000000">
            <w:pPr>
              <w:spacing w:before="60" w:after="60" w:line="288" w:lineRule="auto"/>
              <w:jc w:val="center"/>
            </w:pPr>
            <w:r>
              <w:rPr>
                <w:rFonts w:ascii="宋体" w:eastAsia="宋体" w:hAnsi="宋体"/>
                <w:color w:val="111111"/>
                <w:sz w:val="19"/>
              </w:rPr>
              <w:t>Pₐ</w:t>
            </w:r>
          </w:p>
        </w:tc>
        <w:tc>
          <w:tcPr>
            <w:tcW w:w="2721" w:type="dxa"/>
            <w:tcBorders>
              <w:top w:val="none" w:sz="0" w:space="0" w:color="000000"/>
              <w:left w:val="none" w:sz="0" w:space="0" w:color="000000"/>
              <w:bottom w:val="none" w:sz="0" w:space="0" w:color="000000"/>
              <w:right w:val="none" w:sz="0" w:space="0" w:color="000000"/>
            </w:tcBorders>
            <w:vAlign w:val="center"/>
          </w:tcPr>
          <w:p w14:paraId="06ED1737" w14:textId="77777777" w:rsidR="0067454D" w:rsidRDefault="00000000">
            <w:pPr>
              <w:spacing w:before="60" w:after="60" w:line="288" w:lineRule="auto"/>
              <w:jc w:val="center"/>
              <w:rPr>
                <w:lang w:eastAsia="zh-CN"/>
              </w:rPr>
            </w:pPr>
            <w:r>
              <w:rPr>
                <w:rFonts w:ascii="宋体" w:eastAsia="宋体" w:hAnsi="宋体"/>
                <w:color w:val="111111"/>
                <w:sz w:val="19"/>
                <w:lang w:eastAsia="zh-CN"/>
              </w:rPr>
              <w:t>碳配额市场交易价格（元/kg CO₂）</w:t>
            </w:r>
          </w:p>
        </w:tc>
        <w:tc>
          <w:tcPr>
            <w:tcW w:w="3798" w:type="dxa"/>
            <w:tcBorders>
              <w:top w:val="none" w:sz="0" w:space="0" w:color="000000"/>
              <w:left w:val="none" w:sz="0" w:space="0" w:color="000000"/>
              <w:bottom w:val="none" w:sz="0" w:space="0" w:color="000000"/>
              <w:right w:val="none" w:sz="0" w:space="0" w:color="000000"/>
            </w:tcBorders>
            <w:vAlign w:val="center"/>
          </w:tcPr>
          <w:p w14:paraId="50A03EBE" w14:textId="77777777" w:rsidR="0067454D" w:rsidRDefault="00000000">
            <w:pPr>
              <w:spacing w:before="60" w:after="60" w:line="288" w:lineRule="auto"/>
              <w:jc w:val="center"/>
            </w:pPr>
            <w:r>
              <w:rPr>
                <w:rFonts w:ascii="宋体" w:eastAsia="宋体" w:hAnsi="宋体"/>
                <w:color w:val="111111"/>
                <w:sz w:val="19"/>
              </w:rPr>
              <w:t>全国ETS 2023均价：0.06815[3]</w:t>
            </w:r>
          </w:p>
        </w:tc>
      </w:tr>
      <w:tr w:rsidR="0067454D" w14:paraId="2557B551" w14:textId="77777777">
        <w:trPr>
          <w:jc w:val="center"/>
        </w:trPr>
        <w:tc>
          <w:tcPr>
            <w:tcW w:w="1701" w:type="dxa"/>
            <w:tcBorders>
              <w:top w:val="none" w:sz="0" w:space="0" w:color="000000"/>
              <w:left w:val="none" w:sz="0" w:space="0" w:color="000000"/>
              <w:bottom w:val="single" w:sz="12" w:space="0" w:color="000000"/>
              <w:right w:val="none" w:sz="0" w:space="0" w:color="000000"/>
            </w:tcBorders>
            <w:vAlign w:val="center"/>
          </w:tcPr>
          <w:p w14:paraId="7C1843BE" w14:textId="77777777" w:rsidR="0067454D" w:rsidRDefault="00000000">
            <w:pPr>
              <w:spacing w:before="60" w:after="60" w:line="288" w:lineRule="auto"/>
              <w:jc w:val="center"/>
            </w:pPr>
            <w:r>
              <w:rPr>
                <w:rFonts w:ascii="宋体" w:eastAsia="宋体" w:hAnsi="宋体"/>
                <w:color w:val="111111"/>
                <w:sz w:val="19"/>
              </w:rPr>
              <w:t>Dₗ</w:t>
            </w:r>
          </w:p>
        </w:tc>
        <w:tc>
          <w:tcPr>
            <w:tcW w:w="2721" w:type="dxa"/>
            <w:tcBorders>
              <w:top w:val="none" w:sz="0" w:space="0" w:color="000000"/>
              <w:left w:val="none" w:sz="0" w:space="0" w:color="000000"/>
              <w:bottom w:val="single" w:sz="12" w:space="0" w:color="000000"/>
              <w:right w:val="none" w:sz="0" w:space="0" w:color="000000"/>
            </w:tcBorders>
            <w:vAlign w:val="center"/>
          </w:tcPr>
          <w:p w14:paraId="49EBCCC7" w14:textId="77777777" w:rsidR="0067454D" w:rsidRDefault="00000000">
            <w:pPr>
              <w:spacing w:before="60" w:after="60" w:line="288" w:lineRule="auto"/>
              <w:jc w:val="center"/>
              <w:rPr>
                <w:lang w:eastAsia="zh-CN"/>
              </w:rPr>
            </w:pPr>
            <w:r>
              <w:rPr>
                <w:rFonts w:ascii="宋体" w:eastAsia="宋体" w:hAnsi="宋体"/>
                <w:color w:val="111111"/>
                <w:sz w:val="19"/>
                <w:lang w:eastAsia="zh-CN"/>
              </w:rPr>
              <w:t>各销售终端需求量（吨）</w:t>
            </w:r>
          </w:p>
        </w:tc>
        <w:tc>
          <w:tcPr>
            <w:tcW w:w="3798" w:type="dxa"/>
            <w:tcBorders>
              <w:top w:val="none" w:sz="0" w:space="0" w:color="000000"/>
              <w:left w:val="none" w:sz="0" w:space="0" w:color="000000"/>
              <w:bottom w:val="single" w:sz="12" w:space="0" w:color="000000"/>
              <w:right w:val="none" w:sz="0" w:space="0" w:color="000000"/>
            </w:tcBorders>
            <w:vAlign w:val="center"/>
          </w:tcPr>
          <w:p w14:paraId="761BD8C3" w14:textId="77777777" w:rsidR="0067454D" w:rsidRDefault="00000000">
            <w:pPr>
              <w:spacing w:before="60" w:after="60" w:line="288" w:lineRule="auto"/>
              <w:jc w:val="center"/>
              <w:rPr>
                <w:lang w:eastAsia="zh-CN"/>
              </w:rPr>
            </w:pPr>
            <w:r>
              <w:rPr>
                <w:rFonts w:ascii="宋体" w:eastAsia="宋体" w:hAnsi="宋体"/>
                <w:color w:val="111111"/>
                <w:sz w:val="19"/>
                <w:lang w:eastAsia="zh-CN"/>
              </w:rPr>
              <w:t>企业历史销售均值数据</w:t>
            </w:r>
          </w:p>
        </w:tc>
      </w:tr>
    </w:tbl>
    <w:p w14:paraId="30D39D4C" w14:textId="77777777" w:rsidR="0067454D" w:rsidRDefault="0067454D">
      <w:pPr>
        <w:rPr>
          <w:lang w:eastAsia="zh-CN"/>
        </w:rPr>
      </w:pPr>
    </w:p>
    <w:p w14:paraId="41464147" w14:textId="77777777" w:rsidR="0067454D" w:rsidRDefault="00000000">
      <w:pPr>
        <w:spacing w:after="120" w:line="288" w:lineRule="auto"/>
        <w:rPr>
          <w:lang w:eastAsia="zh-CN"/>
        </w:rPr>
      </w:pPr>
      <w:r>
        <w:rPr>
          <w:rFonts w:ascii="宋体" w:eastAsia="宋体" w:hAnsi="宋体"/>
          <w:b/>
          <w:color w:val="555555"/>
          <w:sz w:val="19"/>
          <w:lang w:eastAsia="zh-CN"/>
        </w:rPr>
        <w:t>注：</w:t>
      </w:r>
      <w:r>
        <w:rPr>
          <w:rFonts w:ascii="宋体" w:eastAsia="宋体" w:hAnsi="宋体"/>
          <w:i/>
          <w:color w:val="555555"/>
          <w:sz w:val="19"/>
          <w:lang w:eastAsia="zh-CN"/>
        </w:rPr>
        <w:t>所有碳排放系数均依据GB/T 32150-2015取值，生产系数经MEE 2024年电力排放因子校准[18]。</w:t>
      </w:r>
    </w:p>
    <w:p w14:paraId="3F43245F" w14:textId="77777777" w:rsidR="0067454D" w:rsidRPr="0076591F" w:rsidRDefault="00000000">
      <w:pPr>
        <w:spacing w:before="360" w:after="120" w:line="360" w:lineRule="auto"/>
        <w:rPr>
          <w:color w:val="000000" w:themeColor="text1"/>
          <w:lang w:eastAsia="zh-CN"/>
        </w:rPr>
      </w:pPr>
      <w:r w:rsidRPr="0076591F">
        <w:rPr>
          <w:rFonts w:ascii="黑体" w:eastAsia="黑体" w:hAnsi="黑体"/>
          <w:b/>
          <w:color w:val="000000" w:themeColor="text1"/>
          <w:sz w:val="32"/>
          <w:lang w:eastAsia="zh-CN"/>
        </w:rPr>
        <w:t>3  研究设计</w:t>
      </w:r>
    </w:p>
    <w:p w14:paraId="0DD739B7"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3.1  研究假设</w:t>
      </w:r>
    </w:p>
    <w:p w14:paraId="14CDD5DC"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基于理论分析与文献综述，本文提出三项可检验的研究假设：</w:t>
      </w:r>
    </w:p>
    <w:p w14:paraId="37920B20" w14:textId="3D134F66" w:rsidR="0067454D" w:rsidRDefault="00F03BDF">
      <w:pPr>
        <w:spacing w:before="60" w:after="60" w:line="360" w:lineRule="auto"/>
        <w:ind w:firstLine="419"/>
        <w:jc w:val="both"/>
        <w:rPr>
          <w:lang w:eastAsia="zh-CN"/>
        </w:rPr>
      </w:pPr>
      <w:r>
        <w:rPr>
          <w:rFonts w:ascii="宋体" w:eastAsia="宋体" w:hAnsi="宋体" w:hint="eastAsia"/>
          <w:b/>
          <w:color w:val="111111"/>
          <w:lang w:eastAsia="zh-CN"/>
        </w:rPr>
        <w:t>假设1</w:t>
      </w:r>
      <w:r>
        <w:rPr>
          <w:rFonts w:ascii="宋体" w:eastAsia="宋体" w:hAnsi="宋体"/>
          <w:b/>
          <w:color w:val="111111"/>
          <w:lang w:eastAsia="zh-CN"/>
        </w:rPr>
        <w:t>：</w:t>
      </w:r>
      <w:r>
        <w:rPr>
          <w:rFonts w:ascii="宋体" w:eastAsia="宋体" w:hAnsi="宋体"/>
          <w:color w:val="111111"/>
          <w:lang w:eastAsia="zh-CN"/>
        </w:rPr>
        <w:t>碳限额、碳税与碳交易三类政策工具对供应链经济效率与环境可持续性的影响机制存在显著差异，碳交易政策（ETS）在实现"经济—环境"目标协同优化方面最具比较优势。</w:t>
      </w:r>
    </w:p>
    <w:p w14:paraId="78C198EC" w14:textId="6818AACD" w:rsidR="0067454D" w:rsidRDefault="00F03BDF">
      <w:pPr>
        <w:spacing w:before="60" w:after="60" w:line="360" w:lineRule="auto"/>
        <w:ind w:firstLine="419"/>
        <w:jc w:val="both"/>
        <w:rPr>
          <w:lang w:eastAsia="zh-CN"/>
        </w:rPr>
      </w:pPr>
      <w:r>
        <w:rPr>
          <w:rFonts w:ascii="宋体" w:eastAsia="宋体" w:hAnsi="宋体" w:hint="eastAsia"/>
          <w:b/>
          <w:color w:val="111111"/>
          <w:lang w:eastAsia="zh-CN"/>
        </w:rPr>
        <w:t>假设2</w:t>
      </w:r>
      <w:r>
        <w:rPr>
          <w:rFonts w:ascii="宋体" w:eastAsia="宋体" w:hAnsi="宋体"/>
          <w:b/>
          <w:color w:val="111111"/>
          <w:lang w:eastAsia="zh-CN"/>
        </w:rPr>
        <w:t>：</w:t>
      </w:r>
      <w:r>
        <w:rPr>
          <w:rFonts w:ascii="宋体" w:eastAsia="宋体" w:hAnsi="宋体"/>
          <w:color w:val="111111"/>
          <w:lang w:eastAsia="zh-CN"/>
        </w:rPr>
        <w:t>相较于传统权重加和法，AUGMECON在帕累托前沿覆盖广度、解集质量及算法效率方面均具有显著优势，更适合处理多重碳规制情境下的复杂多目标供应链优化问题。</w:t>
      </w:r>
    </w:p>
    <w:p w14:paraId="36148ED2" w14:textId="0D8D2636" w:rsidR="0067454D" w:rsidRDefault="00F03BDF">
      <w:pPr>
        <w:spacing w:before="60" w:after="60" w:line="360" w:lineRule="auto"/>
        <w:ind w:firstLine="419"/>
        <w:jc w:val="both"/>
        <w:rPr>
          <w:lang w:eastAsia="zh-CN"/>
        </w:rPr>
      </w:pPr>
      <w:r>
        <w:rPr>
          <w:rFonts w:ascii="宋体" w:eastAsia="宋体" w:hAnsi="宋体" w:hint="eastAsia"/>
          <w:b/>
          <w:color w:val="111111"/>
          <w:lang w:eastAsia="zh-CN"/>
        </w:rPr>
        <w:t>假设3</w:t>
      </w:r>
      <w:r>
        <w:rPr>
          <w:rFonts w:ascii="宋体" w:eastAsia="宋体" w:hAnsi="宋体"/>
          <w:b/>
          <w:color w:val="111111"/>
          <w:lang w:eastAsia="zh-CN"/>
        </w:rPr>
        <w:t>：</w:t>
      </w:r>
      <w:r>
        <w:rPr>
          <w:rFonts w:ascii="宋体" w:eastAsia="宋体" w:hAnsi="宋体"/>
          <w:color w:val="111111"/>
          <w:lang w:eastAsia="zh-CN"/>
        </w:rPr>
        <w:t>TOPSIS法能有效对帕累托最优解集进行综合多属性排序，所筛选的最优方案与案例企业的实际运营决策需求高度契合，具备良好的管理实践适用性。</w:t>
      </w:r>
    </w:p>
    <w:p w14:paraId="4DB7D625"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3.2  供应链多目标优化模型建构</w:t>
      </w:r>
    </w:p>
    <w:p w14:paraId="209F2AB3" w14:textId="77777777" w:rsidR="0067454D" w:rsidRDefault="00000000">
      <w:pPr>
        <w:spacing w:before="160" w:after="60" w:line="360" w:lineRule="auto"/>
        <w:rPr>
          <w:lang w:eastAsia="zh-CN"/>
        </w:rPr>
      </w:pPr>
      <w:r>
        <w:rPr>
          <w:rFonts w:ascii="宋体" w:eastAsia="宋体" w:hAnsi="宋体"/>
          <w:b/>
          <w:color w:val="333333"/>
          <w:sz w:val="24"/>
          <w:lang w:eastAsia="zh-CN"/>
        </w:rPr>
        <w:t>3.2.1  目标函数</w:t>
      </w:r>
    </w:p>
    <w:p w14:paraId="1535E607"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目标函数1——供应链总运营成本最小化（f₁，万元）：</w:t>
      </w:r>
    </w:p>
    <w:p w14:paraId="4FC65B95" w14:textId="77777777" w:rsidR="0067454D" w:rsidRDefault="00000000">
      <w:pPr>
        <w:spacing w:before="100" w:after="100" w:line="336" w:lineRule="auto"/>
        <w:jc w:val="center"/>
      </w:pPr>
      <w:r>
        <w:rPr>
          <w:rFonts w:ascii="Times New Roman" w:eastAsia="Times New Roman" w:hAnsi="Times New Roman"/>
          <w:color w:val="111111"/>
        </w:rPr>
        <w:t>f₁ = C_proc + C_prod + C_stor + C_trans + C_carbon</w:t>
      </w:r>
    </w:p>
    <w:p w14:paraId="07B43016" w14:textId="77777777" w:rsidR="0067454D" w:rsidRDefault="00000000">
      <w:pPr>
        <w:spacing w:before="100" w:after="100" w:line="336" w:lineRule="auto"/>
        <w:jc w:val="center"/>
      </w:pPr>
      <w:r>
        <w:rPr>
          <w:rFonts w:ascii="Times New Roman" w:eastAsia="Times New Roman" w:hAnsi="Times New Roman"/>
          <w:color w:val="111111"/>
        </w:rPr>
        <w:t xml:space="preserve">   = Σᵢⱼ cᵢⱼᵖ·xᵢⱼ  +  Σⱼ cⱼₘ·Σᵢxᵢⱼ  +  Σₖ cₖₛ·Σⱼyⱼₖ</w:t>
      </w:r>
    </w:p>
    <w:p w14:paraId="26A55E03" w14:textId="77777777" w:rsidR="0067454D" w:rsidRDefault="00000000">
      <w:pPr>
        <w:spacing w:before="100" w:after="100" w:line="336" w:lineRule="auto"/>
        <w:jc w:val="center"/>
        <w:rPr>
          <w:lang w:eastAsia="zh-CN"/>
        </w:rPr>
      </w:pPr>
      <w:r>
        <w:rPr>
          <w:rFonts w:ascii="Times New Roman" w:eastAsia="Times New Roman" w:hAnsi="Times New Roman"/>
          <w:color w:val="111111"/>
        </w:rPr>
        <w:t xml:space="preserve">     + Σⱼₖ cⱼₖᵗ·yⱼₖ + Σₖₗ cₖₗᵈ·zₖₗ  +  C_carbon     … </w:t>
      </w:r>
      <w:r>
        <w:rPr>
          <w:rFonts w:ascii="Times New Roman" w:eastAsia="Times New Roman" w:hAnsi="Times New Roman"/>
          <w:color w:val="111111"/>
          <w:lang w:eastAsia="zh-CN"/>
        </w:rPr>
        <w:t>(1)</w:t>
      </w:r>
    </w:p>
    <w:p w14:paraId="31145E66"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目标函数2——供应链总碳排放量最小化（f₂，kg CO₂）：</w:t>
      </w:r>
    </w:p>
    <w:p w14:paraId="75764991" w14:textId="77777777" w:rsidR="0067454D" w:rsidRDefault="00000000">
      <w:pPr>
        <w:spacing w:before="100" w:after="100" w:line="336" w:lineRule="auto"/>
        <w:jc w:val="center"/>
      </w:pPr>
      <w:r>
        <w:rPr>
          <w:rFonts w:ascii="Times New Roman" w:eastAsia="Times New Roman" w:hAnsi="Times New Roman"/>
          <w:color w:val="111111"/>
        </w:rPr>
        <w:t>f₂ = Σᵢⱼ eᵢⱼᵖ·xᵢⱼ·dᵢⱼ  +  Σⱼ eⱼ·Σᵢxᵢⱼ</w:t>
      </w:r>
    </w:p>
    <w:p w14:paraId="55F129B3" w14:textId="77777777" w:rsidR="0067454D" w:rsidRDefault="00000000">
      <w:pPr>
        <w:spacing w:before="100" w:after="100" w:line="336" w:lineRule="auto"/>
        <w:jc w:val="center"/>
        <w:rPr>
          <w:lang w:eastAsia="zh-CN"/>
        </w:rPr>
      </w:pPr>
      <w:r>
        <w:rPr>
          <w:rFonts w:ascii="Times New Roman" w:eastAsia="Times New Roman" w:hAnsi="Times New Roman"/>
          <w:color w:val="111111"/>
        </w:rPr>
        <w:t xml:space="preserve">     + Σₖ eₖ·Σⱼyⱼₖ  +  Σⱼₖ eⱼₖᵗ·yⱼₖ·dⱼₖ + Σₖₗ eₖₗᵈ·zₖₗ·dₖₗ   … </w:t>
      </w:r>
      <w:r>
        <w:rPr>
          <w:rFonts w:ascii="Times New Roman" w:eastAsia="Times New Roman" w:hAnsi="Times New Roman"/>
          <w:color w:val="111111"/>
          <w:lang w:eastAsia="zh-CN"/>
        </w:rPr>
        <w:t>(2)</w:t>
      </w:r>
    </w:p>
    <w:p w14:paraId="1FD992C5"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式（2）各碳排放系数均依据GB/T 32150-2015取值；生产系数由生态环境部2022年全国电力平均CO₂排放因子（0.5568 tCO₂/MWh）[18]折算，取eⱼ = 0.124 kg CO₂/吨产品。</w:t>
      </w:r>
    </w:p>
    <w:p w14:paraId="78E041C4" w14:textId="77777777" w:rsidR="0067454D" w:rsidRDefault="00000000">
      <w:pPr>
        <w:spacing w:before="160" w:after="60" w:line="360" w:lineRule="auto"/>
      </w:pPr>
      <w:r>
        <w:rPr>
          <w:rFonts w:ascii="宋体" w:eastAsia="宋体" w:hAnsi="宋体"/>
          <w:b/>
          <w:color w:val="333333"/>
          <w:sz w:val="24"/>
        </w:rPr>
        <w:t>3.2.2  三类碳政策约束与成本</w:t>
      </w:r>
    </w:p>
    <w:p w14:paraId="4E47F0DE" w14:textId="77777777" w:rsidR="0067454D" w:rsidRDefault="00000000">
      <w:pPr>
        <w:spacing w:before="60" w:after="60" w:line="360" w:lineRule="auto"/>
        <w:ind w:firstLine="419"/>
        <w:jc w:val="both"/>
      </w:pPr>
      <w:r>
        <w:rPr>
          <w:rFonts w:ascii="宋体" w:eastAsia="宋体" w:hAnsi="宋体"/>
          <w:b/>
          <w:color w:val="111111"/>
        </w:rPr>
        <w:t>政策A——碳限额（Carbon Cap）：</w:t>
      </w:r>
    </w:p>
    <w:p w14:paraId="38F04772" w14:textId="77777777" w:rsidR="0067454D" w:rsidRDefault="00000000">
      <w:pPr>
        <w:spacing w:before="100" w:after="100" w:line="336" w:lineRule="auto"/>
        <w:jc w:val="center"/>
      </w:pPr>
      <w:r>
        <w:rPr>
          <w:rFonts w:ascii="Times New Roman" w:eastAsia="Times New Roman" w:hAnsi="Times New Roman"/>
          <w:color w:val="111111"/>
        </w:rPr>
        <w:t>f₂ ≤ Ē = 1,150,000 kg CO₂                         … (3)</w:t>
      </w:r>
    </w:p>
    <w:p w14:paraId="74F1AF3C" w14:textId="77777777" w:rsidR="0067454D" w:rsidRDefault="00000000">
      <w:pPr>
        <w:spacing w:before="100" w:after="100" w:line="336" w:lineRule="auto"/>
        <w:jc w:val="center"/>
      </w:pPr>
      <w:r>
        <w:rPr>
          <w:rFonts w:ascii="Times New Roman" w:eastAsia="Times New Roman" w:hAnsi="Times New Roman"/>
          <w:color w:val="111111"/>
        </w:rPr>
        <w:t>C_carbon^A = max(f₂ − Ē, 0) × Pₚ,   Pₚ = 0.08 元/kg CO₂  … (4)</w:t>
      </w:r>
    </w:p>
    <w:p w14:paraId="76DC944B" w14:textId="77777777" w:rsidR="0067454D" w:rsidRDefault="00000000">
      <w:pPr>
        <w:spacing w:before="60" w:after="60" w:line="360" w:lineRule="auto"/>
        <w:ind w:firstLine="419"/>
        <w:jc w:val="both"/>
      </w:pPr>
      <w:r>
        <w:rPr>
          <w:rFonts w:ascii="宋体" w:eastAsia="宋体" w:hAnsi="宋体"/>
          <w:b/>
          <w:color w:val="111111"/>
        </w:rPr>
        <w:t>政策B——碳税（Carbon Tax）：</w:t>
      </w:r>
    </w:p>
    <w:p w14:paraId="0731F90F" w14:textId="77777777" w:rsidR="0067454D" w:rsidRDefault="00000000">
      <w:pPr>
        <w:spacing w:before="100" w:after="100" w:line="336" w:lineRule="auto"/>
        <w:jc w:val="center"/>
      </w:pPr>
      <w:r>
        <w:rPr>
          <w:rFonts w:ascii="Times New Roman" w:eastAsia="Times New Roman" w:hAnsi="Times New Roman"/>
          <w:color w:val="111111"/>
        </w:rPr>
        <w:t>C_carbon^B = τ · f₂,   τ = 0.05 元/kg CO₂           … (5)</w:t>
      </w:r>
    </w:p>
    <w:p w14:paraId="232C7903" w14:textId="77777777" w:rsidR="0067454D" w:rsidRDefault="00000000">
      <w:pPr>
        <w:spacing w:before="60" w:after="60" w:line="360" w:lineRule="auto"/>
        <w:ind w:firstLine="419"/>
        <w:jc w:val="both"/>
      </w:pPr>
      <w:r>
        <w:rPr>
          <w:rFonts w:ascii="宋体" w:eastAsia="宋体" w:hAnsi="宋体"/>
          <w:b/>
          <w:color w:val="111111"/>
        </w:rPr>
        <w:t>政策C——碳交易（ETS）：</w:t>
      </w:r>
    </w:p>
    <w:p w14:paraId="7C2B2348" w14:textId="77777777" w:rsidR="0067454D" w:rsidRDefault="00000000">
      <w:pPr>
        <w:spacing w:before="100" w:after="100" w:line="336" w:lineRule="auto"/>
        <w:jc w:val="center"/>
      </w:pPr>
      <w:r>
        <w:rPr>
          <w:rFonts w:ascii="Times New Roman" w:eastAsia="Times New Roman" w:hAnsi="Times New Roman"/>
          <w:color w:val="111111"/>
        </w:rPr>
        <w:t>C_carbon^C = (f₂ − E₀) × Pₐ</w:t>
      </w:r>
    </w:p>
    <w:p w14:paraId="1DF56E08"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Pₐ = 0.06815 元/kg CO₂（= 68.15 元/吨，2023年全国ETS均价[3]）</w:t>
      </w:r>
    </w:p>
    <w:p w14:paraId="6B8AD988"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E₀ = 1,150,000 kg CO₂（初始碳排放配额）                … (6)</w:t>
      </w:r>
    </w:p>
    <w:p w14:paraId="48C83230"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注：当f₂ &lt; E₀时，C_carbon^C &lt; 0，即配额盈余可在市场出售获取额外收益，体现ETS的双向激励机制。</w:t>
      </w:r>
    </w:p>
    <w:p w14:paraId="433A37F9" w14:textId="77777777" w:rsidR="0067454D" w:rsidRDefault="00000000">
      <w:pPr>
        <w:spacing w:before="160" w:after="60" w:line="360" w:lineRule="auto"/>
        <w:rPr>
          <w:lang w:eastAsia="zh-CN"/>
        </w:rPr>
      </w:pPr>
      <w:r>
        <w:rPr>
          <w:rFonts w:ascii="宋体" w:eastAsia="宋体" w:hAnsi="宋体"/>
          <w:b/>
          <w:color w:val="333333"/>
          <w:sz w:val="24"/>
          <w:lang w:eastAsia="zh-CN"/>
        </w:rPr>
        <w:t>3.2.3  约束条件体系</w:t>
      </w:r>
    </w:p>
    <w:p w14:paraId="2B8231D0"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供应商产能：    </w:t>
      </w:r>
      <w:r>
        <w:rPr>
          <w:rFonts w:ascii="Times New Roman" w:eastAsia="Times New Roman" w:hAnsi="Times New Roman"/>
          <w:color w:val="111111"/>
        </w:rPr>
        <w:t>Σ</w:t>
      </w:r>
      <w:r>
        <w:rPr>
          <w:rFonts w:ascii="Times New Roman" w:eastAsia="Times New Roman" w:hAnsi="Times New Roman"/>
          <w:color w:val="111111"/>
          <w:lang w:eastAsia="zh-CN"/>
        </w:rPr>
        <w:t>ⱼ xᵢⱼ ≤ Capᵢ,      ∀i                 … (7)</w:t>
      </w:r>
    </w:p>
    <w:p w14:paraId="3CBDB0AF"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生产产能：      </w:t>
      </w:r>
      <w:r>
        <w:rPr>
          <w:rFonts w:ascii="Times New Roman" w:eastAsia="Times New Roman" w:hAnsi="Times New Roman"/>
          <w:color w:val="111111"/>
        </w:rPr>
        <w:t>Σ</w:t>
      </w:r>
      <w:r>
        <w:rPr>
          <w:rFonts w:ascii="Times New Roman" w:eastAsia="Times New Roman" w:hAnsi="Times New Roman"/>
          <w:color w:val="111111"/>
          <w:lang w:eastAsia="zh-CN"/>
        </w:rPr>
        <w:t>ᵢ xᵢⱼ ≤ Capⱼ,      ∀j                 … (8)</w:t>
      </w:r>
    </w:p>
    <w:p w14:paraId="54300549"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仓储容量：      </w:t>
      </w:r>
      <w:r>
        <w:rPr>
          <w:rFonts w:ascii="Times New Roman" w:eastAsia="Times New Roman" w:hAnsi="Times New Roman"/>
          <w:color w:val="111111"/>
        </w:rPr>
        <w:t>Σ</w:t>
      </w:r>
      <w:r>
        <w:rPr>
          <w:rFonts w:ascii="Times New Roman" w:eastAsia="Times New Roman" w:hAnsi="Times New Roman"/>
          <w:color w:val="111111"/>
          <w:lang w:eastAsia="zh-CN"/>
        </w:rPr>
        <w:t>ⱼ yⱼₖ ≤ Capₖ,      ∀k                 … (9)</w:t>
      </w:r>
    </w:p>
    <w:p w14:paraId="5147A7F2"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生产—仓储平衡：  </w:t>
      </w:r>
      <w:r>
        <w:rPr>
          <w:rFonts w:ascii="Times New Roman" w:eastAsia="Times New Roman" w:hAnsi="Times New Roman"/>
          <w:color w:val="111111"/>
        </w:rPr>
        <w:t>Σ</w:t>
      </w:r>
      <w:r>
        <w:rPr>
          <w:rFonts w:ascii="Times New Roman" w:eastAsia="Times New Roman" w:hAnsi="Times New Roman"/>
          <w:color w:val="111111"/>
          <w:lang w:eastAsia="zh-CN"/>
        </w:rPr>
        <w:t xml:space="preserve">ₖ yⱼₖ = </w:t>
      </w:r>
      <w:r>
        <w:rPr>
          <w:rFonts w:ascii="Times New Roman" w:eastAsia="Times New Roman" w:hAnsi="Times New Roman"/>
          <w:color w:val="111111"/>
        </w:rPr>
        <w:t>Σ</w:t>
      </w:r>
      <w:r>
        <w:rPr>
          <w:rFonts w:ascii="Times New Roman" w:eastAsia="Times New Roman" w:hAnsi="Times New Roman"/>
          <w:color w:val="111111"/>
          <w:lang w:eastAsia="zh-CN"/>
        </w:rPr>
        <w:t>ᵢ xᵢⱼ,  ∀j                 … (10)</w:t>
      </w:r>
    </w:p>
    <w:p w14:paraId="4502D45E"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仓储—配送平衡：  </w:t>
      </w:r>
      <w:r>
        <w:rPr>
          <w:rFonts w:ascii="Times New Roman" w:eastAsia="Times New Roman" w:hAnsi="Times New Roman"/>
          <w:color w:val="111111"/>
        </w:rPr>
        <w:t>Σ</w:t>
      </w:r>
      <w:r>
        <w:rPr>
          <w:rFonts w:ascii="Times New Roman" w:eastAsia="Times New Roman" w:hAnsi="Times New Roman"/>
          <w:color w:val="111111"/>
          <w:lang w:eastAsia="zh-CN"/>
        </w:rPr>
        <w:t xml:space="preserve">ₗ zₖₗ = </w:t>
      </w:r>
      <w:r>
        <w:rPr>
          <w:rFonts w:ascii="Times New Roman" w:eastAsia="Times New Roman" w:hAnsi="Times New Roman"/>
          <w:color w:val="111111"/>
        </w:rPr>
        <w:t>Σ</w:t>
      </w:r>
      <w:r>
        <w:rPr>
          <w:rFonts w:ascii="Times New Roman" w:eastAsia="Times New Roman" w:hAnsi="Times New Roman"/>
          <w:color w:val="111111"/>
          <w:lang w:eastAsia="zh-CN"/>
        </w:rPr>
        <w:t>ⱼ yⱼₖ,  ∀k                 … (11)</w:t>
      </w:r>
    </w:p>
    <w:p w14:paraId="1899F1BE"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 xml:space="preserve">需求满足：       </w:t>
      </w:r>
      <w:r>
        <w:rPr>
          <w:rFonts w:ascii="Times New Roman" w:eastAsia="Times New Roman" w:hAnsi="Times New Roman"/>
          <w:color w:val="111111"/>
        </w:rPr>
        <w:t>Σ</w:t>
      </w:r>
      <w:r>
        <w:rPr>
          <w:rFonts w:ascii="Times New Roman" w:eastAsia="Times New Roman" w:hAnsi="Times New Roman"/>
          <w:color w:val="111111"/>
          <w:lang w:eastAsia="zh-CN"/>
        </w:rPr>
        <w:t>ₖ zₖₗ ≥ Dₗ,        ∀l                 … (12)</w:t>
      </w:r>
    </w:p>
    <w:p w14:paraId="64DBC676" w14:textId="77777777" w:rsidR="0067454D" w:rsidRDefault="00000000">
      <w:pPr>
        <w:spacing w:before="100" w:after="100" w:line="336" w:lineRule="auto"/>
        <w:jc w:val="center"/>
        <w:rPr>
          <w:lang w:eastAsia="zh-CN"/>
        </w:rPr>
      </w:pPr>
      <w:r>
        <w:rPr>
          <w:rFonts w:ascii="Times New Roman" w:eastAsia="Times New Roman" w:hAnsi="Times New Roman"/>
          <w:color w:val="111111"/>
          <w:lang w:eastAsia="zh-CN"/>
        </w:rPr>
        <w:t>非负约束：       xᵢⱼ ≥ 0,  yⱼₖ ≥ 0,  zₖₗ ≥ 0            … (13)</w:t>
      </w:r>
    </w:p>
    <w:p w14:paraId="5E597ECC"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3.3  Python核心实现代码</w:t>
      </w:r>
    </w:p>
    <w:p w14:paraId="2A624176"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以下为AUGMECON求解器与TOPSIS排序函数的核心Python实现（Python 3.10+），全部碳排放系数参数均依据权威公开数据校准，完整代码含详细注释，具备直接复现性：</w:t>
      </w:r>
    </w:p>
    <w:p w14:paraId="16760E2E" w14:textId="77777777" w:rsidR="0067454D" w:rsidRDefault="00000000">
      <w:pPr>
        <w:shd w:val="clear" w:color="auto" w:fill="F0F4F8"/>
        <w:spacing w:before="20" w:after="20"/>
      </w:pPr>
      <w:r>
        <w:rPr>
          <w:rFonts w:ascii="Courier New" w:hAnsi="Courier New"/>
          <w:color w:val="14146A"/>
          <w:sz w:val="17"/>
        </w:rPr>
        <w:t>"""</w:t>
      </w:r>
    </w:p>
    <w:p w14:paraId="4A0ACB09" w14:textId="77777777" w:rsidR="0067454D" w:rsidRDefault="00000000">
      <w:pPr>
        <w:shd w:val="clear" w:color="auto" w:fill="F0F4F8"/>
        <w:spacing w:before="20" w:after="20"/>
      </w:pPr>
      <w:r>
        <w:rPr>
          <w:rFonts w:ascii="Courier New" w:hAnsi="Courier New"/>
          <w:color w:val="14146A"/>
          <w:sz w:val="17"/>
        </w:rPr>
        <w:t xml:space="preserve">augmecon_scm.py  ——  AUGMECON + TOPSIS </w:t>
      </w:r>
      <w:r>
        <w:rPr>
          <w:rFonts w:ascii="Courier New" w:hAnsi="Courier New"/>
          <w:color w:val="14146A"/>
          <w:sz w:val="17"/>
        </w:rPr>
        <w:t>可持续供应链多目标优化求解器</w:t>
      </w:r>
    </w:p>
    <w:p w14:paraId="1B1BE752" w14:textId="77777777" w:rsidR="0067454D" w:rsidRDefault="00000000">
      <w:pPr>
        <w:shd w:val="clear" w:color="auto" w:fill="F0F4F8"/>
        <w:spacing w:before="20" w:after="20"/>
      </w:pPr>
      <w:r>
        <w:rPr>
          <w:rFonts w:ascii="Courier New" w:hAnsi="Courier New"/>
          <w:color w:val="14146A"/>
          <w:sz w:val="17"/>
        </w:rPr>
        <w:t>数据来源</w:t>
      </w:r>
      <w:r>
        <w:rPr>
          <w:rFonts w:ascii="Courier New" w:hAnsi="Courier New"/>
          <w:color w:val="14146A"/>
          <w:sz w:val="17"/>
        </w:rPr>
        <w:t>:</w:t>
      </w:r>
    </w:p>
    <w:p w14:paraId="18860078" w14:textId="77777777" w:rsidR="0067454D" w:rsidRDefault="00000000">
      <w:pPr>
        <w:shd w:val="clear" w:color="auto" w:fill="F0F4F8"/>
        <w:spacing w:before="20" w:after="20"/>
      </w:pPr>
      <w:r>
        <w:rPr>
          <w:rFonts w:ascii="Courier New" w:hAnsi="Courier New"/>
          <w:color w:val="14146A"/>
          <w:sz w:val="17"/>
        </w:rPr>
        <w:t xml:space="preserve">  </w:t>
      </w:r>
      <w:r>
        <w:rPr>
          <w:rFonts w:ascii="Courier New" w:hAnsi="Courier New"/>
          <w:color w:val="14146A"/>
          <w:sz w:val="17"/>
        </w:rPr>
        <w:t>碳交易价格</w:t>
      </w:r>
      <w:r>
        <w:rPr>
          <w:rFonts w:ascii="Courier New" w:hAnsi="Courier New"/>
          <w:color w:val="14146A"/>
          <w:sz w:val="17"/>
        </w:rPr>
        <w:t xml:space="preserve">  : 68.15 CNY/ton</w:t>
      </w:r>
      <w:r>
        <w:rPr>
          <w:rFonts w:ascii="Courier New" w:hAnsi="Courier New"/>
          <w:color w:val="14146A"/>
          <w:sz w:val="17"/>
        </w:rPr>
        <w:t>（上海环境能源交易所，</w:t>
      </w:r>
      <w:r>
        <w:rPr>
          <w:rFonts w:ascii="Courier New" w:hAnsi="Courier New"/>
          <w:color w:val="14146A"/>
          <w:sz w:val="17"/>
        </w:rPr>
        <w:t>2023</w:t>
      </w:r>
      <w:r>
        <w:rPr>
          <w:rFonts w:ascii="Courier New" w:hAnsi="Courier New"/>
          <w:color w:val="14146A"/>
          <w:sz w:val="17"/>
        </w:rPr>
        <w:t>年度均价</w:t>
      </w:r>
      <w:r>
        <w:rPr>
          <w:rFonts w:ascii="Courier New" w:hAnsi="Courier New"/>
          <w:color w:val="14146A"/>
          <w:sz w:val="17"/>
        </w:rPr>
        <w:t>[3]</w:t>
      </w:r>
      <w:r>
        <w:rPr>
          <w:rFonts w:ascii="Courier New" w:hAnsi="Courier New"/>
          <w:color w:val="14146A"/>
          <w:sz w:val="17"/>
        </w:rPr>
        <w:t>）</w:t>
      </w:r>
    </w:p>
    <w:p w14:paraId="67CCC09A" w14:textId="77777777" w:rsidR="0067454D" w:rsidRDefault="00000000">
      <w:pPr>
        <w:shd w:val="clear" w:color="auto" w:fill="F0F4F8"/>
        <w:spacing w:before="20" w:after="20"/>
      </w:pPr>
      <w:r>
        <w:rPr>
          <w:rFonts w:ascii="Courier New" w:hAnsi="Courier New"/>
          <w:color w:val="14146A"/>
          <w:sz w:val="17"/>
        </w:rPr>
        <w:t xml:space="preserve">  </w:t>
      </w:r>
      <w:r>
        <w:rPr>
          <w:rFonts w:ascii="Courier New" w:hAnsi="Courier New"/>
          <w:color w:val="14146A"/>
          <w:sz w:val="17"/>
        </w:rPr>
        <w:t>电力排放因子</w:t>
      </w:r>
      <w:r>
        <w:rPr>
          <w:rFonts w:ascii="Courier New" w:hAnsi="Courier New"/>
          <w:color w:val="14146A"/>
          <w:sz w:val="17"/>
        </w:rPr>
        <w:t>: 0.5568 tCO₂/MWh</w:t>
      </w:r>
      <w:r>
        <w:rPr>
          <w:rFonts w:ascii="Courier New" w:hAnsi="Courier New"/>
          <w:color w:val="14146A"/>
          <w:sz w:val="17"/>
        </w:rPr>
        <w:t>（生态环境部</w:t>
      </w:r>
      <w:r>
        <w:rPr>
          <w:rFonts w:ascii="Courier New" w:hAnsi="Courier New"/>
          <w:color w:val="14146A"/>
          <w:sz w:val="17"/>
        </w:rPr>
        <w:t>2024</w:t>
      </w:r>
      <w:r>
        <w:rPr>
          <w:rFonts w:ascii="Courier New" w:hAnsi="Courier New"/>
          <w:color w:val="14146A"/>
          <w:sz w:val="17"/>
        </w:rPr>
        <w:t>年第</w:t>
      </w:r>
      <w:r>
        <w:rPr>
          <w:rFonts w:ascii="Courier New" w:hAnsi="Courier New"/>
          <w:color w:val="14146A"/>
          <w:sz w:val="17"/>
        </w:rPr>
        <w:t>28</w:t>
      </w:r>
      <w:r>
        <w:rPr>
          <w:rFonts w:ascii="Courier New" w:hAnsi="Courier New"/>
          <w:color w:val="14146A"/>
          <w:sz w:val="17"/>
        </w:rPr>
        <w:t>号公告</w:t>
      </w:r>
      <w:r>
        <w:rPr>
          <w:rFonts w:ascii="Courier New" w:hAnsi="Courier New"/>
          <w:color w:val="14146A"/>
          <w:sz w:val="17"/>
        </w:rPr>
        <w:t>[18]</w:t>
      </w:r>
      <w:r>
        <w:rPr>
          <w:rFonts w:ascii="Courier New" w:hAnsi="Courier New"/>
          <w:color w:val="14146A"/>
          <w:sz w:val="17"/>
        </w:rPr>
        <w:t>）</w:t>
      </w:r>
    </w:p>
    <w:p w14:paraId="3505B8F3" w14:textId="77777777" w:rsidR="0067454D" w:rsidRDefault="00000000">
      <w:pPr>
        <w:shd w:val="clear" w:color="auto" w:fill="F0F4F8"/>
        <w:spacing w:before="20" w:after="20"/>
        <w:rPr>
          <w:lang w:eastAsia="zh-CN"/>
        </w:rPr>
      </w:pPr>
      <w:r>
        <w:rPr>
          <w:rFonts w:ascii="Courier New" w:hAnsi="Courier New"/>
          <w:color w:val="14146A"/>
          <w:sz w:val="17"/>
        </w:rPr>
        <w:t xml:space="preserve">  </w:t>
      </w:r>
      <w:r>
        <w:rPr>
          <w:rFonts w:ascii="Courier New" w:hAnsi="Courier New"/>
          <w:color w:val="14146A"/>
          <w:sz w:val="17"/>
          <w:lang w:eastAsia="zh-CN"/>
        </w:rPr>
        <w:t>碳排放系数</w:t>
      </w:r>
      <w:r>
        <w:rPr>
          <w:rFonts w:ascii="Courier New" w:hAnsi="Courier New"/>
          <w:color w:val="14146A"/>
          <w:sz w:val="17"/>
          <w:lang w:eastAsia="zh-CN"/>
        </w:rPr>
        <w:t xml:space="preserve">  : GB/T 32150-2015</w:t>
      </w:r>
      <w:r>
        <w:rPr>
          <w:rFonts w:ascii="Courier New" w:hAnsi="Courier New"/>
          <w:color w:val="14146A"/>
          <w:sz w:val="17"/>
          <w:lang w:eastAsia="zh-CN"/>
        </w:rPr>
        <w:t>《工业企业温室气体排放核算和报告通则》</w:t>
      </w:r>
    </w:p>
    <w:p w14:paraId="3795166C" w14:textId="77777777" w:rsidR="0067454D" w:rsidRDefault="00000000">
      <w:pPr>
        <w:shd w:val="clear" w:color="auto" w:fill="F0F4F8"/>
        <w:spacing w:before="20" w:after="20"/>
      </w:pPr>
      <w:r>
        <w:rPr>
          <w:rFonts w:ascii="Courier New" w:hAnsi="Courier New"/>
          <w:color w:val="14146A"/>
          <w:sz w:val="17"/>
        </w:rPr>
        <w:t>"""</w:t>
      </w:r>
    </w:p>
    <w:p w14:paraId="6D8A0666" w14:textId="77777777" w:rsidR="0067454D" w:rsidRDefault="00000000">
      <w:pPr>
        <w:shd w:val="clear" w:color="auto" w:fill="F0F4F8"/>
        <w:spacing w:before="20" w:after="20"/>
      </w:pPr>
      <w:r>
        <w:rPr>
          <w:rFonts w:ascii="Courier New" w:hAnsi="Courier New"/>
          <w:color w:val="14146A"/>
          <w:sz w:val="17"/>
        </w:rPr>
        <w:t>import numpy as np</w:t>
      </w:r>
    </w:p>
    <w:p w14:paraId="632456BC" w14:textId="77777777" w:rsidR="0067454D" w:rsidRDefault="00000000">
      <w:pPr>
        <w:shd w:val="clear" w:color="auto" w:fill="F0F4F8"/>
        <w:spacing w:before="20" w:after="20"/>
      </w:pPr>
      <w:r>
        <w:rPr>
          <w:rFonts w:ascii="Courier New" w:hAnsi="Courier New"/>
          <w:color w:val="14146A"/>
          <w:sz w:val="17"/>
        </w:rPr>
        <w:t>from scipy.optimize import linprog</w:t>
      </w:r>
    </w:p>
    <w:p w14:paraId="042068DB" w14:textId="77777777" w:rsidR="0067454D" w:rsidRDefault="00000000">
      <w:pPr>
        <w:shd w:val="clear" w:color="auto" w:fill="F0F4F8"/>
        <w:spacing w:before="20" w:after="20"/>
      </w:pPr>
      <w:r>
        <w:rPr>
          <w:rFonts w:ascii="Courier New" w:hAnsi="Courier New"/>
          <w:color w:val="14146A"/>
          <w:sz w:val="17"/>
        </w:rPr>
        <w:t>from typing import List, Tuple, Optional</w:t>
      </w:r>
    </w:p>
    <w:p w14:paraId="6A634504" w14:textId="77777777" w:rsidR="0067454D" w:rsidRDefault="0067454D">
      <w:pPr>
        <w:shd w:val="clear" w:color="auto" w:fill="F0F4F8"/>
        <w:spacing w:before="20" w:after="20"/>
      </w:pPr>
    </w:p>
    <w:p w14:paraId="7D5B91C7" w14:textId="77777777" w:rsidR="0067454D" w:rsidRDefault="00000000">
      <w:pPr>
        <w:shd w:val="clear" w:color="auto" w:fill="F0F4F8"/>
        <w:spacing w:before="20" w:after="20"/>
        <w:rPr>
          <w:lang w:eastAsia="zh-CN"/>
        </w:rPr>
      </w:pPr>
      <w:r>
        <w:rPr>
          <w:rFonts w:ascii="Courier New" w:hAnsi="Courier New"/>
          <w:color w:val="14146A"/>
          <w:sz w:val="17"/>
          <w:lang w:eastAsia="zh-CN"/>
        </w:rPr>
        <w:t xml:space="preserve"># ── </w:t>
      </w:r>
      <w:r>
        <w:rPr>
          <w:rFonts w:ascii="Courier New" w:hAnsi="Courier New"/>
          <w:color w:val="14146A"/>
          <w:sz w:val="17"/>
          <w:lang w:eastAsia="zh-CN"/>
        </w:rPr>
        <w:t>数据校准参数</w:t>
      </w:r>
      <w:r>
        <w:rPr>
          <w:rFonts w:ascii="Courier New" w:hAnsi="Courier New"/>
          <w:color w:val="14146A"/>
          <w:sz w:val="17"/>
          <w:lang w:eastAsia="zh-CN"/>
        </w:rPr>
        <w:t xml:space="preserve"> ──────────────────────────────────────────────</w:t>
      </w:r>
    </w:p>
    <w:p w14:paraId="3CF46BA4" w14:textId="77777777" w:rsidR="0067454D" w:rsidRDefault="00000000">
      <w:pPr>
        <w:shd w:val="clear" w:color="auto" w:fill="F0F4F8"/>
        <w:spacing w:before="20" w:after="20"/>
      </w:pPr>
      <w:r>
        <w:rPr>
          <w:rFonts w:ascii="Courier New" w:hAnsi="Courier New"/>
          <w:color w:val="14146A"/>
          <w:sz w:val="17"/>
        </w:rPr>
        <w:t>ETS_PRICE = 68.15 / 1000       # CNY/kg CO₂</w:t>
      </w:r>
      <w:r>
        <w:rPr>
          <w:rFonts w:ascii="Courier New" w:hAnsi="Courier New"/>
          <w:color w:val="14146A"/>
          <w:sz w:val="17"/>
        </w:rPr>
        <w:t>（</w:t>
      </w:r>
      <w:r>
        <w:rPr>
          <w:rFonts w:ascii="Courier New" w:hAnsi="Courier New"/>
          <w:color w:val="14146A"/>
          <w:sz w:val="17"/>
        </w:rPr>
        <w:t>2023</w:t>
      </w:r>
      <w:r>
        <w:rPr>
          <w:rFonts w:ascii="Courier New" w:hAnsi="Courier New"/>
          <w:color w:val="14146A"/>
          <w:sz w:val="17"/>
        </w:rPr>
        <w:t>年全国</w:t>
      </w:r>
      <w:r>
        <w:rPr>
          <w:rFonts w:ascii="Courier New" w:hAnsi="Courier New"/>
          <w:color w:val="14146A"/>
          <w:sz w:val="17"/>
        </w:rPr>
        <w:t>ETS</w:t>
      </w:r>
      <w:r>
        <w:rPr>
          <w:rFonts w:ascii="Courier New" w:hAnsi="Courier New"/>
          <w:color w:val="14146A"/>
          <w:sz w:val="17"/>
        </w:rPr>
        <w:t>成交均价换算）</w:t>
      </w:r>
    </w:p>
    <w:p w14:paraId="07D23F3C" w14:textId="77777777" w:rsidR="0067454D" w:rsidRDefault="00000000">
      <w:pPr>
        <w:shd w:val="clear" w:color="auto" w:fill="F0F4F8"/>
        <w:spacing w:before="20" w:after="20"/>
      </w:pPr>
      <w:r>
        <w:rPr>
          <w:rFonts w:ascii="Courier New" w:hAnsi="Courier New"/>
          <w:color w:val="14146A"/>
          <w:sz w:val="17"/>
        </w:rPr>
        <w:t>e_proc  = np.array([0.082, 0.076, 0.089])   # kg CO₂/ton·km</w:t>
      </w:r>
      <w:r>
        <w:rPr>
          <w:rFonts w:ascii="Courier New" w:hAnsi="Courier New"/>
          <w:color w:val="14146A"/>
          <w:sz w:val="17"/>
        </w:rPr>
        <w:t>（</w:t>
      </w:r>
      <w:r>
        <w:rPr>
          <w:rFonts w:ascii="Courier New" w:hAnsi="Courier New"/>
          <w:color w:val="14146A"/>
          <w:sz w:val="17"/>
        </w:rPr>
        <w:t>S1/S2/S3</w:t>
      </w:r>
      <w:r>
        <w:rPr>
          <w:rFonts w:ascii="Courier New" w:hAnsi="Courier New"/>
          <w:color w:val="14146A"/>
          <w:sz w:val="17"/>
        </w:rPr>
        <w:t>）</w:t>
      </w:r>
    </w:p>
    <w:p w14:paraId="27D08D4E" w14:textId="77777777" w:rsidR="0067454D" w:rsidRDefault="00000000">
      <w:pPr>
        <w:shd w:val="clear" w:color="auto" w:fill="F0F4F8"/>
        <w:spacing w:before="20" w:after="20"/>
      </w:pPr>
      <w:r>
        <w:rPr>
          <w:rFonts w:ascii="Courier New" w:hAnsi="Courier New"/>
          <w:color w:val="14146A"/>
          <w:sz w:val="17"/>
        </w:rPr>
        <w:t>e_prod  = 0.124                              # kg CO₂/ton</w:t>
      </w:r>
      <w:r>
        <w:rPr>
          <w:rFonts w:ascii="Courier New" w:hAnsi="Courier New"/>
          <w:color w:val="14146A"/>
          <w:sz w:val="17"/>
        </w:rPr>
        <w:t>（由电力因子折算）</w:t>
      </w:r>
    </w:p>
    <w:p w14:paraId="06C9BF22" w14:textId="77777777" w:rsidR="0067454D" w:rsidRDefault="00000000">
      <w:pPr>
        <w:shd w:val="clear" w:color="auto" w:fill="F0F4F8"/>
        <w:spacing w:before="20" w:after="20"/>
      </w:pPr>
      <w:r>
        <w:rPr>
          <w:rFonts w:ascii="Courier New" w:hAnsi="Courier New"/>
          <w:color w:val="14146A"/>
          <w:sz w:val="17"/>
        </w:rPr>
        <w:t>e_stor  = np.array([0.031, 0.028])           # kg CO₂/ton</w:t>
      </w:r>
      <w:r>
        <w:rPr>
          <w:rFonts w:ascii="Courier New" w:hAnsi="Courier New"/>
          <w:color w:val="14146A"/>
          <w:sz w:val="17"/>
        </w:rPr>
        <w:t>（</w:t>
      </w:r>
      <w:r>
        <w:rPr>
          <w:rFonts w:ascii="Courier New" w:hAnsi="Courier New"/>
          <w:color w:val="14146A"/>
          <w:sz w:val="17"/>
        </w:rPr>
        <w:t>W1/W2</w:t>
      </w:r>
      <w:r>
        <w:rPr>
          <w:rFonts w:ascii="Courier New" w:hAnsi="Courier New"/>
          <w:color w:val="14146A"/>
          <w:sz w:val="17"/>
        </w:rPr>
        <w:t>）</w:t>
      </w:r>
    </w:p>
    <w:p w14:paraId="04B62E02" w14:textId="77777777" w:rsidR="0067454D" w:rsidRDefault="00000000">
      <w:pPr>
        <w:shd w:val="clear" w:color="auto" w:fill="F0F4F8"/>
        <w:spacing w:before="20" w:after="20"/>
      </w:pPr>
      <w:r>
        <w:rPr>
          <w:rFonts w:ascii="Courier New" w:hAnsi="Courier New"/>
          <w:color w:val="14146A"/>
          <w:sz w:val="17"/>
        </w:rPr>
        <w:t>e_trans = 0.068                              # kg CO₂/ton·km</w:t>
      </w:r>
      <w:r>
        <w:rPr>
          <w:rFonts w:ascii="Courier New" w:hAnsi="Courier New"/>
          <w:color w:val="14146A"/>
          <w:sz w:val="17"/>
        </w:rPr>
        <w:t>（配送）</w:t>
      </w:r>
    </w:p>
    <w:p w14:paraId="5C0FAE1C" w14:textId="77777777" w:rsidR="0067454D" w:rsidRDefault="0067454D">
      <w:pPr>
        <w:shd w:val="clear" w:color="auto" w:fill="F0F4F8"/>
        <w:spacing w:before="20" w:after="20"/>
      </w:pPr>
    </w:p>
    <w:p w14:paraId="60974887" w14:textId="77777777" w:rsidR="0067454D" w:rsidRDefault="00000000">
      <w:pPr>
        <w:shd w:val="clear" w:color="auto" w:fill="F0F4F8"/>
        <w:spacing w:before="20" w:after="20"/>
        <w:rPr>
          <w:lang w:eastAsia="zh-CN"/>
        </w:rPr>
      </w:pPr>
      <w:r>
        <w:rPr>
          <w:rFonts w:ascii="Courier New" w:hAnsi="Courier New"/>
          <w:color w:val="14146A"/>
          <w:sz w:val="17"/>
          <w:lang w:eastAsia="zh-CN"/>
        </w:rPr>
        <w:t xml:space="preserve"># ── </w:t>
      </w:r>
      <w:r>
        <w:rPr>
          <w:rFonts w:ascii="Courier New" w:hAnsi="Courier New"/>
          <w:color w:val="14146A"/>
          <w:sz w:val="17"/>
          <w:lang w:eastAsia="zh-CN"/>
        </w:rPr>
        <w:t>碳政策成本函数</w:t>
      </w:r>
      <w:r>
        <w:rPr>
          <w:rFonts w:ascii="Courier New" w:hAnsi="Courier New"/>
          <w:color w:val="14146A"/>
          <w:sz w:val="17"/>
          <w:lang w:eastAsia="zh-CN"/>
        </w:rPr>
        <w:t xml:space="preserve"> ────────────────────────────────────────────</w:t>
      </w:r>
    </w:p>
    <w:p w14:paraId="26C65383" w14:textId="77777777" w:rsidR="0067454D" w:rsidRDefault="00000000">
      <w:pPr>
        <w:shd w:val="clear" w:color="auto" w:fill="F0F4F8"/>
        <w:spacing w:before="20" w:after="20"/>
      </w:pPr>
      <w:r>
        <w:rPr>
          <w:rFonts w:ascii="Courier New" w:hAnsi="Courier New"/>
          <w:color w:val="14146A"/>
          <w:sz w:val="17"/>
        </w:rPr>
        <w:t>def carbon_cost(f2: float, policy: str) -&gt; float:</w:t>
      </w:r>
    </w:p>
    <w:p w14:paraId="217E94B8" w14:textId="77777777" w:rsidR="0067454D" w:rsidRDefault="00000000">
      <w:pPr>
        <w:shd w:val="clear" w:color="auto" w:fill="F0F4F8"/>
        <w:spacing w:before="20" w:after="20"/>
      </w:pPr>
      <w:r>
        <w:rPr>
          <w:rFonts w:ascii="Courier New" w:hAnsi="Courier New"/>
          <w:color w:val="14146A"/>
          <w:sz w:val="17"/>
        </w:rPr>
        <w:t xml:space="preserve">    E_bar = 1_150_000</w:t>
      </w:r>
    </w:p>
    <w:p w14:paraId="101C1F4D" w14:textId="77777777" w:rsidR="0067454D" w:rsidRDefault="00000000">
      <w:pPr>
        <w:shd w:val="clear" w:color="auto" w:fill="F0F4F8"/>
        <w:spacing w:before="20" w:after="20"/>
      </w:pPr>
      <w:r>
        <w:rPr>
          <w:rFonts w:ascii="Courier New" w:hAnsi="Courier New"/>
          <w:color w:val="14146A"/>
          <w:sz w:val="17"/>
        </w:rPr>
        <w:t xml:space="preserve">    if   policy == "cap": return max(f2 - E_bar, 0) * 0.08</w:t>
      </w:r>
    </w:p>
    <w:p w14:paraId="21E99940" w14:textId="77777777" w:rsidR="0067454D" w:rsidRDefault="00000000">
      <w:pPr>
        <w:shd w:val="clear" w:color="auto" w:fill="F0F4F8"/>
        <w:spacing w:before="20" w:after="20"/>
      </w:pPr>
      <w:r>
        <w:rPr>
          <w:rFonts w:ascii="Courier New" w:hAnsi="Courier New"/>
          <w:color w:val="14146A"/>
          <w:sz w:val="17"/>
        </w:rPr>
        <w:t xml:space="preserve">    elif policy == "tax": return f2 * 0.05</w:t>
      </w:r>
    </w:p>
    <w:p w14:paraId="19A902A5" w14:textId="77777777" w:rsidR="0067454D" w:rsidRDefault="00000000">
      <w:pPr>
        <w:shd w:val="clear" w:color="auto" w:fill="F0F4F8"/>
        <w:spacing w:before="20" w:after="20"/>
      </w:pPr>
      <w:r>
        <w:rPr>
          <w:rFonts w:ascii="Courier New" w:hAnsi="Courier New"/>
          <w:color w:val="14146A"/>
          <w:sz w:val="17"/>
        </w:rPr>
        <w:t xml:space="preserve">    elif policy == "ets": return (f2 - E_bar) * ETS_PRICE</w:t>
      </w:r>
    </w:p>
    <w:p w14:paraId="03D737FB" w14:textId="77777777" w:rsidR="0067454D" w:rsidRDefault="00000000">
      <w:pPr>
        <w:shd w:val="clear" w:color="auto" w:fill="F0F4F8"/>
        <w:spacing w:before="20" w:after="20"/>
      </w:pPr>
      <w:r>
        <w:rPr>
          <w:rFonts w:ascii="Courier New" w:hAnsi="Courier New"/>
          <w:color w:val="14146A"/>
          <w:sz w:val="17"/>
        </w:rPr>
        <w:t xml:space="preserve">    return 0.0</w:t>
      </w:r>
    </w:p>
    <w:p w14:paraId="728B48F6" w14:textId="77777777" w:rsidR="0067454D" w:rsidRDefault="0067454D">
      <w:pPr>
        <w:shd w:val="clear" w:color="auto" w:fill="F0F4F8"/>
        <w:spacing w:before="20" w:after="20"/>
      </w:pPr>
    </w:p>
    <w:p w14:paraId="647AE8B8" w14:textId="77777777" w:rsidR="0067454D" w:rsidRDefault="00000000">
      <w:pPr>
        <w:shd w:val="clear" w:color="auto" w:fill="F0F4F8"/>
        <w:spacing w:before="20" w:after="20"/>
      </w:pPr>
      <w:r>
        <w:rPr>
          <w:rFonts w:ascii="Courier New" w:hAnsi="Courier New"/>
          <w:color w:val="14146A"/>
          <w:sz w:val="17"/>
        </w:rPr>
        <w:t># ── TOPSIS</w:t>
      </w:r>
      <w:r>
        <w:rPr>
          <w:rFonts w:ascii="Courier New" w:hAnsi="Courier New"/>
          <w:color w:val="14146A"/>
          <w:sz w:val="17"/>
        </w:rPr>
        <w:t>综合排序</w:t>
      </w:r>
      <w:r>
        <w:rPr>
          <w:rFonts w:ascii="Courier New" w:hAnsi="Courier New"/>
          <w:color w:val="14146A"/>
          <w:sz w:val="17"/>
        </w:rPr>
        <w:t xml:space="preserve"> ────────────────────────────────────────────</w:t>
      </w:r>
    </w:p>
    <w:p w14:paraId="5A3ED5A6" w14:textId="77777777" w:rsidR="0067454D" w:rsidRDefault="00000000">
      <w:pPr>
        <w:shd w:val="clear" w:color="auto" w:fill="F0F4F8"/>
        <w:spacing w:before="20" w:after="20"/>
      </w:pPr>
      <w:r>
        <w:rPr>
          <w:rFonts w:ascii="Courier New" w:hAnsi="Courier New"/>
          <w:color w:val="14146A"/>
          <w:sz w:val="17"/>
        </w:rPr>
        <w:t>def topsis(pareto: List[Tuple[float,float]],</w:t>
      </w:r>
    </w:p>
    <w:p w14:paraId="37973658" w14:textId="77777777" w:rsidR="0067454D" w:rsidRDefault="00000000">
      <w:pPr>
        <w:shd w:val="clear" w:color="auto" w:fill="F0F4F8"/>
        <w:spacing w:before="20" w:after="20"/>
      </w:pPr>
      <w:r>
        <w:rPr>
          <w:rFonts w:ascii="Courier New" w:hAnsi="Courier New"/>
          <w:color w:val="14146A"/>
          <w:sz w:val="17"/>
        </w:rPr>
        <w:t xml:space="preserve">           w=(0.5, 0.5)) -&gt; np.ndarray:</w:t>
      </w:r>
    </w:p>
    <w:p w14:paraId="3F0C9D2B" w14:textId="77777777" w:rsidR="0067454D" w:rsidRDefault="00000000">
      <w:pPr>
        <w:shd w:val="clear" w:color="auto" w:fill="F0F4F8"/>
        <w:spacing w:before="20" w:after="20"/>
      </w:pPr>
      <w:r>
        <w:rPr>
          <w:rFonts w:ascii="Courier New" w:hAnsi="Courier New"/>
          <w:color w:val="14146A"/>
          <w:sz w:val="17"/>
        </w:rPr>
        <w:t xml:space="preserve">    mat  = np.array(pareto)                      # </w:t>
      </w:r>
      <w:r>
        <w:rPr>
          <w:rFonts w:ascii="Courier New" w:hAnsi="Courier New"/>
          <w:color w:val="14146A"/>
          <w:sz w:val="17"/>
        </w:rPr>
        <w:t>决策矩阵</w:t>
      </w:r>
      <w:r>
        <w:rPr>
          <w:rFonts w:ascii="Courier New" w:hAnsi="Courier New"/>
          <w:color w:val="14146A"/>
          <w:sz w:val="17"/>
        </w:rPr>
        <w:t xml:space="preserve"> (n×2)</w:t>
      </w:r>
    </w:p>
    <w:p w14:paraId="61F6543C" w14:textId="77777777" w:rsidR="0067454D" w:rsidRDefault="00000000">
      <w:pPr>
        <w:shd w:val="clear" w:color="auto" w:fill="F0F4F8"/>
        <w:spacing w:before="20" w:after="20"/>
      </w:pPr>
      <w:r>
        <w:rPr>
          <w:rFonts w:ascii="Courier New" w:hAnsi="Courier New"/>
          <w:color w:val="14146A"/>
          <w:sz w:val="17"/>
        </w:rPr>
        <w:t xml:space="preserve">    norm = mat / np.sqrt((mat**2).sum(axis=0))   # </w:t>
      </w:r>
      <w:r>
        <w:rPr>
          <w:rFonts w:ascii="Courier New" w:hAnsi="Courier New"/>
          <w:color w:val="14146A"/>
          <w:sz w:val="17"/>
        </w:rPr>
        <w:t>步骤</w:t>
      </w:r>
      <w:r>
        <w:rPr>
          <w:rFonts w:ascii="Courier New" w:hAnsi="Courier New"/>
          <w:color w:val="14146A"/>
          <w:sz w:val="17"/>
        </w:rPr>
        <w:t>1</w:t>
      </w:r>
      <w:r>
        <w:rPr>
          <w:rFonts w:ascii="Courier New" w:hAnsi="Courier New"/>
          <w:color w:val="14146A"/>
          <w:sz w:val="17"/>
        </w:rPr>
        <w:t>：规范化</w:t>
      </w:r>
    </w:p>
    <w:p w14:paraId="420A64ED" w14:textId="77777777" w:rsidR="0067454D" w:rsidRDefault="00000000">
      <w:pPr>
        <w:shd w:val="clear" w:color="auto" w:fill="F0F4F8"/>
        <w:spacing w:before="20" w:after="20"/>
      </w:pPr>
      <w:r>
        <w:rPr>
          <w:rFonts w:ascii="Courier New" w:hAnsi="Courier New"/>
          <w:color w:val="14146A"/>
          <w:sz w:val="17"/>
        </w:rPr>
        <w:t xml:space="preserve">    v    = norm * np.array(w)                    # </w:t>
      </w:r>
      <w:r>
        <w:rPr>
          <w:rFonts w:ascii="Courier New" w:hAnsi="Courier New"/>
          <w:color w:val="14146A"/>
          <w:sz w:val="17"/>
        </w:rPr>
        <w:t>步骤</w:t>
      </w:r>
      <w:r>
        <w:rPr>
          <w:rFonts w:ascii="Courier New" w:hAnsi="Courier New"/>
          <w:color w:val="14146A"/>
          <w:sz w:val="17"/>
        </w:rPr>
        <w:t>2</w:t>
      </w:r>
      <w:r>
        <w:rPr>
          <w:rFonts w:ascii="Courier New" w:hAnsi="Courier New"/>
          <w:color w:val="14146A"/>
          <w:sz w:val="17"/>
        </w:rPr>
        <w:t>：加权</w:t>
      </w:r>
    </w:p>
    <w:p w14:paraId="23CEBDDA" w14:textId="77777777" w:rsidR="0067454D" w:rsidRDefault="00000000">
      <w:pPr>
        <w:shd w:val="clear" w:color="auto" w:fill="F0F4F8"/>
        <w:spacing w:before="20" w:after="20"/>
      </w:pPr>
      <w:r>
        <w:rPr>
          <w:rFonts w:ascii="Courier New" w:hAnsi="Courier New"/>
          <w:color w:val="14146A"/>
          <w:sz w:val="17"/>
        </w:rPr>
        <w:t xml:space="preserve">    Ap   = v.min(axis=0)                         # </w:t>
      </w:r>
      <w:r>
        <w:rPr>
          <w:rFonts w:ascii="Courier New" w:hAnsi="Courier New"/>
          <w:color w:val="14146A"/>
          <w:sz w:val="17"/>
        </w:rPr>
        <w:t>步骤</w:t>
      </w:r>
      <w:r>
        <w:rPr>
          <w:rFonts w:ascii="Courier New" w:hAnsi="Courier New"/>
          <w:color w:val="14146A"/>
          <w:sz w:val="17"/>
        </w:rPr>
        <w:t>3</w:t>
      </w:r>
      <w:r>
        <w:rPr>
          <w:rFonts w:ascii="Courier New" w:hAnsi="Courier New"/>
          <w:color w:val="14146A"/>
          <w:sz w:val="17"/>
        </w:rPr>
        <w:t>：正理想解</w:t>
      </w:r>
    </w:p>
    <w:p w14:paraId="4D56214C" w14:textId="77777777" w:rsidR="0067454D" w:rsidRDefault="00000000">
      <w:pPr>
        <w:shd w:val="clear" w:color="auto" w:fill="F0F4F8"/>
        <w:spacing w:before="20" w:after="20"/>
      </w:pPr>
      <w:r>
        <w:rPr>
          <w:rFonts w:ascii="Courier New" w:hAnsi="Courier New"/>
          <w:color w:val="14146A"/>
          <w:sz w:val="17"/>
        </w:rPr>
        <w:t xml:space="preserve">    An   = v.max(axis=0)                         # </w:t>
      </w:r>
      <w:r>
        <w:rPr>
          <w:rFonts w:ascii="Courier New" w:hAnsi="Courier New"/>
          <w:color w:val="14146A"/>
          <w:sz w:val="17"/>
        </w:rPr>
        <w:t>步骤</w:t>
      </w:r>
      <w:r>
        <w:rPr>
          <w:rFonts w:ascii="Courier New" w:hAnsi="Courier New"/>
          <w:color w:val="14146A"/>
          <w:sz w:val="17"/>
        </w:rPr>
        <w:t>3</w:t>
      </w:r>
      <w:r>
        <w:rPr>
          <w:rFonts w:ascii="Courier New" w:hAnsi="Courier New"/>
          <w:color w:val="14146A"/>
          <w:sz w:val="17"/>
        </w:rPr>
        <w:t>：负理想解</w:t>
      </w:r>
    </w:p>
    <w:p w14:paraId="7C4836EC" w14:textId="77777777" w:rsidR="0067454D" w:rsidRDefault="00000000">
      <w:pPr>
        <w:shd w:val="clear" w:color="auto" w:fill="F0F4F8"/>
        <w:spacing w:before="20" w:after="20"/>
      </w:pPr>
      <w:r>
        <w:rPr>
          <w:rFonts w:ascii="Courier New" w:hAnsi="Courier New"/>
          <w:color w:val="14146A"/>
          <w:sz w:val="17"/>
        </w:rPr>
        <w:t xml:space="preserve">    Dp   = np.sqrt(((v-Ap)**2).sum(axis=1))      # </w:t>
      </w:r>
      <w:r>
        <w:rPr>
          <w:rFonts w:ascii="Courier New" w:hAnsi="Courier New"/>
          <w:color w:val="14146A"/>
          <w:sz w:val="17"/>
        </w:rPr>
        <w:t>步骤</w:t>
      </w:r>
      <w:r>
        <w:rPr>
          <w:rFonts w:ascii="Courier New" w:hAnsi="Courier New"/>
          <w:color w:val="14146A"/>
          <w:sz w:val="17"/>
        </w:rPr>
        <w:t>4</w:t>
      </w:r>
      <w:r>
        <w:rPr>
          <w:rFonts w:ascii="Courier New" w:hAnsi="Courier New"/>
          <w:color w:val="14146A"/>
          <w:sz w:val="17"/>
        </w:rPr>
        <w:t>：距正理想解</w:t>
      </w:r>
    </w:p>
    <w:p w14:paraId="79700586" w14:textId="77777777" w:rsidR="0067454D" w:rsidRDefault="00000000">
      <w:pPr>
        <w:shd w:val="clear" w:color="auto" w:fill="F0F4F8"/>
        <w:spacing w:before="20" w:after="20"/>
      </w:pPr>
      <w:r>
        <w:rPr>
          <w:rFonts w:ascii="Courier New" w:hAnsi="Courier New"/>
          <w:color w:val="14146A"/>
          <w:sz w:val="17"/>
        </w:rPr>
        <w:t xml:space="preserve">    Dn   = np.sqrt(((v-An)**2).sum(axis=1))      # </w:t>
      </w:r>
      <w:r>
        <w:rPr>
          <w:rFonts w:ascii="Courier New" w:hAnsi="Courier New"/>
          <w:color w:val="14146A"/>
          <w:sz w:val="17"/>
        </w:rPr>
        <w:t>步骤</w:t>
      </w:r>
      <w:r>
        <w:rPr>
          <w:rFonts w:ascii="Courier New" w:hAnsi="Courier New"/>
          <w:color w:val="14146A"/>
          <w:sz w:val="17"/>
        </w:rPr>
        <w:t>4</w:t>
      </w:r>
      <w:r>
        <w:rPr>
          <w:rFonts w:ascii="Courier New" w:hAnsi="Courier New"/>
          <w:color w:val="14146A"/>
          <w:sz w:val="17"/>
        </w:rPr>
        <w:t>：距负理想解</w:t>
      </w:r>
    </w:p>
    <w:p w14:paraId="5990E761" w14:textId="77777777" w:rsidR="0067454D" w:rsidRDefault="00000000">
      <w:pPr>
        <w:shd w:val="clear" w:color="auto" w:fill="F0F4F8"/>
        <w:spacing w:before="20" w:after="20"/>
      </w:pPr>
      <w:r>
        <w:rPr>
          <w:rFonts w:ascii="Courier New" w:hAnsi="Courier New"/>
          <w:color w:val="14146A"/>
          <w:sz w:val="17"/>
        </w:rPr>
        <w:t xml:space="preserve">    return Dn / (Dp + Dn)                        # </w:t>
      </w:r>
      <w:r>
        <w:rPr>
          <w:rFonts w:ascii="Courier New" w:hAnsi="Courier New"/>
          <w:color w:val="14146A"/>
          <w:sz w:val="17"/>
        </w:rPr>
        <w:t>步骤</w:t>
      </w:r>
      <w:r>
        <w:rPr>
          <w:rFonts w:ascii="Courier New" w:hAnsi="Courier New"/>
          <w:color w:val="14146A"/>
          <w:sz w:val="17"/>
        </w:rPr>
        <w:t>5</w:t>
      </w:r>
      <w:r>
        <w:rPr>
          <w:rFonts w:ascii="Courier New" w:hAnsi="Courier New"/>
          <w:color w:val="14146A"/>
          <w:sz w:val="17"/>
        </w:rPr>
        <w:t>：综合贴近度</w:t>
      </w:r>
    </w:p>
    <w:p w14:paraId="27095E43" w14:textId="77777777" w:rsidR="0067454D" w:rsidRDefault="0067454D">
      <w:pPr>
        <w:shd w:val="clear" w:color="auto" w:fill="F0F4F8"/>
        <w:spacing w:before="20" w:after="20"/>
      </w:pPr>
    </w:p>
    <w:p w14:paraId="2D720B01" w14:textId="77777777" w:rsidR="0067454D" w:rsidRDefault="00000000">
      <w:pPr>
        <w:shd w:val="clear" w:color="auto" w:fill="F0F4F8"/>
        <w:spacing w:before="20" w:after="20"/>
      </w:pPr>
      <w:r>
        <w:rPr>
          <w:rFonts w:ascii="Courier New" w:hAnsi="Courier New"/>
          <w:color w:val="14146A"/>
          <w:sz w:val="17"/>
        </w:rPr>
        <w:t xml:space="preserve"># ── </w:t>
      </w:r>
      <w:r>
        <w:rPr>
          <w:rFonts w:ascii="Courier New" w:hAnsi="Courier New"/>
          <w:color w:val="14146A"/>
          <w:sz w:val="17"/>
        </w:rPr>
        <w:t>帕累托前沿生成</w:t>
      </w:r>
      <w:r>
        <w:rPr>
          <w:rFonts w:ascii="Courier New" w:hAnsi="Courier New"/>
          <w:color w:val="14146A"/>
          <w:sz w:val="17"/>
        </w:rPr>
        <w:t xml:space="preserve"> ────────────────────────────────────────────</w:t>
      </w:r>
    </w:p>
    <w:p w14:paraId="0B1CF6F7" w14:textId="77777777" w:rsidR="0067454D" w:rsidRDefault="00000000">
      <w:pPr>
        <w:shd w:val="clear" w:color="auto" w:fill="F0F4F8"/>
        <w:spacing w:before="20" w:after="20"/>
      </w:pPr>
      <w:r>
        <w:rPr>
          <w:rFonts w:ascii="Courier New" w:hAnsi="Courier New"/>
          <w:color w:val="14146A"/>
          <w:sz w:val="17"/>
        </w:rPr>
        <w:t>def gen_pareto(N=20, policy="ets"):</w:t>
      </w:r>
    </w:p>
    <w:p w14:paraId="713B0DC9" w14:textId="77777777" w:rsidR="0067454D" w:rsidRDefault="00000000">
      <w:pPr>
        <w:shd w:val="clear" w:color="auto" w:fill="F0F4F8"/>
        <w:spacing w:before="20" w:after="20"/>
      </w:pPr>
      <w:r>
        <w:rPr>
          <w:rFonts w:ascii="Courier New" w:hAnsi="Courier New"/>
          <w:color w:val="14146A"/>
          <w:sz w:val="17"/>
        </w:rPr>
        <w:t xml:space="preserve">    f2_min, f2_max = 980_000, 1_380_000</w:t>
      </w:r>
    </w:p>
    <w:p w14:paraId="018CD0BC" w14:textId="77777777" w:rsidR="0067454D" w:rsidRDefault="00000000">
      <w:pPr>
        <w:shd w:val="clear" w:color="auto" w:fill="F0F4F8"/>
        <w:spacing w:before="20" w:after="20"/>
      </w:pPr>
      <w:r>
        <w:rPr>
          <w:rFonts w:ascii="Courier New" w:hAnsi="Courier New"/>
          <w:color w:val="14146A"/>
          <w:sz w:val="17"/>
        </w:rPr>
        <w:t xml:space="preserve">    pareto = []</w:t>
      </w:r>
    </w:p>
    <w:p w14:paraId="12306164" w14:textId="77777777" w:rsidR="0067454D" w:rsidRDefault="00000000">
      <w:pPr>
        <w:shd w:val="clear" w:color="auto" w:fill="F0F4F8"/>
        <w:spacing w:before="20" w:after="20"/>
      </w:pPr>
      <w:r>
        <w:rPr>
          <w:rFonts w:ascii="Courier New" w:hAnsi="Courier New"/>
          <w:color w:val="14146A"/>
          <w:sz w:val="17"/>
        </w:rPr>
        <w:t xml:space="preserve">    for q in range(N+1):</w:t>
      </w:r>
    </w:p>
    <w:p w14:paraId="6514E96E" w14:textId="77777777" w:rsidR="0067454D" w:rsidRDefault="00000000">
      <w:pPr>
        <w:shd w:val="clear" w:color="auto" w:fill="F0F4F8"/>
        <w:spacing w:before="20" w:after="20"/>
      </w:pPr>
      <w:r>
        <w:rPr>
          <w:rFonts w:ascii="Courier New" w:hAnsi="Courier New"/>
          <w:color w:val="14146A"/>
          <w:sz w:val="17"/>
        </w:rPr>
        <w:t xml:space="preserve">        eps2   = f2_max - q*(f2_max-f2_min)/N</w:t>
      </w:r>
    </w:p>
    <w:p w14:paraId="6E4C1DD4" w14:textId="77777777" w:rsidR="0067454D" w:rsidRDefault="00000000">
      <w:pPr>
        <w:shd w:val="clear" w:color="auto" w:fill="F0F4F8"/>
        <w:spacing w:before="20" w:after="20"/>
      </w:pPr>
      <w:r>
        <w:rPr>
          <w:rFonts w:ascii="Courier New" w:hAnsi="Courier New"/>
          <w:color w:val="14146A"/>
          <w:sz w:val="17"/>
        </w:rPr>
        <w:t xml:space="preserve">        result = augmecon_run(eps2, policy)   # </w:t>
      </w:r>
      <w:r>
        <w:rPr>
          <w:rFonts w:ascii="Courier New" w:hAnsi="Courier New"/>
          <w:color w:val="14146A"/>
          <w:sz w:val="17"/>
        </w:rPr>
        <w:t>见附录</w:t>
      </w:r>
      <w:r>
        <w:rPr>
          <w:rFonts w:ascii="Courier New" w:hAnsi="Courier New"/>
          <w:color w:val="14146A"/>
          <w:sz w:val="17"/>
        </w:rPr>
        <w:t>A</w:t>
      </w:r>
    </w:p>
    <w:p w14:paraId="79212FB8" w14:textId="77777777" w:rsidR="0067454D" w:rsidRDefault="00000000">
      <w:pPr>
        <w:shd w:val="clear" w:color="auto" w:fill="F0F4F8"/>
        <w:spacing w:before="20" w:after="20"/>
      </w:pPr>
      <w:r>
        <w:rPr>
          <w:rFonts w:ascii="Courier New" w:hAnsi="Courier New"/>
          <w:color w:val="14146A"/>
          <w:sz w:val="17"/>
        </w:rPr>
        <w:t xml:space="preserve">        if result: pareto.append(result)</w:t>
      </w:r>
    </w:p>
    <w:p w14:paraId="0930A0A8" w14:textId="77777777" w:rsidR="0067454D" w:rsidRDefault="00000000">
      <w:pPr>
        <w:shd w:val="clear" w:color="auto" w:fill="F0F4F8"/>
        <w:spacing w:before="20" w:after="20"/>
      </w:pPr>
      <w:r>
        <w:rPr>
          <w:rFonts w:ascii="Courier New" w:hAnsi="Courier New"/>
          <w:color w:val="14146A"/>
          <w:sz w:val="17"/>
        </w:rPr>
        <w:t xml:space="preserve">    return pareto</w:t>
      </w:r>
    </w:p>
    <w:p w14:paraId="298FF56B" w14:textId="77777777" w:rsidR="0067454D" w:rsidRPr="0076591F" w:rsidRDefault="00000000">
      <w:pPr>
        <w:spacing w:before="240" w:after="100" w:line="360" w:lineRule="auto"/>
        <w:rPr>
          <w:color w:val="000000" w:themeColor="text1"/>
        </w:rPr>
      </w:pPr>
      <w:r w:rsidRPr="0076591F">
        <w:rPr>
          <w:rFonts w:ascii="黑体" w:eastAsia="黑体" w:hAnsi="黑体"/>
          <w:b/>
          <w:color w:val="000000" w:themeColor="text1"/>
          <w:sz w:val="26"/>
        </w:rPr>
        <w:t>3.4  实证设计方案</w:t>
      </w:r>
    </w:p>
    <w:p w14:paraId="12C6E00B" w14:textId="77777777" w:rsidR="0067454D" w:rsidRDefault="00000000">
      <w:pPr>
        <w:spacing w:before="60" w:after="60" w:line="360" w:lineRule="auto"/>
        <w:ind w:firstLine="419"/>
        <w:jc w:val="both"/>
      </w:pPr>
      <w:r>
        <w:rPr>
          <w:rFonts w:ascii="宋体" w:eastAsia="宋体" w:hAnsi="宋体"/>
          <w:color w:val="111111"/>
        </w:rPr>
        <w:t>为系统比较三类碳政策差异化影响并验证AUGMECON的方法优越性，本文构建四组对比实验方案如表3所示。</w:t>
      </w:r>
    </w:p>
    <w:p w14:paraId="728DB520" w14:textId="77777777" w:rsidR="0067454D" w:rsidRDefault="00000000">
      <w:pPr>
        <w:spacing w:before="120" w:after="40" w:line="288" w:lineRule="auto"/>
        <w:jc w:val="center"/>
        <w:rPr>
          <w:lang w:eastAsia="zh-CN"/>
        </w:rPr>
      </w:pPr>
      <w:r>
        <w:rPr>
          <w:rFonts w:ascii="宋体" w:eastAsia="宋体" w:hAnsi="宋体"/>
          <w:b/>
          <w:color w:val="555555"/>
          <w:sz w:val="20"/>
          <w:lang w:eastAsia="zh-CN"/>
        </w:rPr>
        <w:t>表3  四组实验方案对比设计</w:t>
      </w:r>
    </w:p>
    <w:tbl>
      <w:tblPr>
        <w:tblStyle w:val="aff1"/>
        <w:tblW w:w="0" w:type="auto"/>
        <w:jc w:val="center"/>
        <w:tblLook w:val="04A0" w:firstRow="1" w:lastRow="0" w:firstColumn="1" w:lastColumn="0" w:noHBand="0" w:noVBand="1"/>
      </w:tblPr>
      <w:tblGrid>
        <w:gridCol w:w="737"/>
        <w:gridCol w:w="1701"/>
        <w:gridCol w:w="1474"/>
        <w:gridCol w:w="2438"/>
        <w:gridCol w:w="1871"/>
      </w:tblGrid>
      <w:tr w:rsidR="0067454D" w14:paraId="6785EC1A" w14:textId="77777777">
        <w:trPr>
          <w:jc w:val="center"/>
        </w:trPr>
        <w:tc>
          <w:tcPr>
            <w:tcW w:w="737" w:type="dxa"/>
            <w:tcBorders>
              <w:top w:val="single" w:sz="12" w:space="0" w:color="000000"/>
              <w:left w:val="none" w:sz="0" w:space="0" w:color="000000"/>
              <w:bottom w:val="single" w:sz="6" w:space="0" w:color="000000"/>
              <w:right w:val="none" w:sz="0" w:space="0" w:color="000000"/>
            </w:tcBorders>
            <w:vAlign w:val="center"/>
          </w:tcPr>
          <w:p w14:paraId="416A7021" w14:textId="77777777" w:rsidR="0067454D" w:rsidRDefault="00000000">
            <w:pPr>
              <w:spacing w:before="60" w:after="60" w:line="288" w:lineRule="auto"/>
              <w:jc w:val="center"/>
            </w:pPr>
            <w:r>
              <w:rPr>
                <w:rFonts w:ascii="宋体" w:eastAsia="宋体" w:hAnsi="宋体"/>
                <w:b/>
                <w:color w:val="111111"/>
                <w:sz w:val="20"/>
              </w:rPr>
              <w:t>方案</w:t>
            </w:r>
          </w:p>
        </w:tc>
        <w:tc>
          <w:tcPr>
            <w:tcW w:w="1701" w:type="dxa"/>
            <w:tcBorders>
              <w:top w:val="single" w:sz="12" w:space="0" w:color="000000"/>
              <w:left w:val="none" w:sz="0" w:space="0" w:color="000000"/>
              <w:bottom w:val="single" w:sz="6" w:space="0" w:color="000000"/>
              <w:right w:val="none" w:sz="0" w:space="0" w:color="000000"/>
            </w:tcBorders>
            <w:vAlign w:val="center"/>
          </w:tcPr>
          <w:p w14:paraId="2B5C8439" w14:textId="77777777" w:rsidR="0067454D" w:rsidRDefault="00000000">
            <w:pPr>
              <w:spacing w:before="60" w:after="60" w:line="288" w:lineRule="auto"/>
              <w:jc w:val="center"/>
            </w:pPr>
            <w:r>
              <w:rPr>
                <w:rFonts w:ascii="宋体" w:eastAsia="宋体" w:hAnsi="宋体"/>
                <w:b/>
                <w:color w:val="111111"/>
                <w:sz w:val="20"/>
              </w:rPr>
              <w:t>求解方法</w:t>
            </w:r>
          </w:p>
        </w:tc>
        <w:tc>
          <w:tcPr>
            <w:tcW w:w="1474" w:type="dxa"/>
            <w:tcBorders>
              <w:top w:val="single" w:sz="12" w:space="0" w:color="000000"/>
              <w:left w:val="none" w:sz="0" w:space="0" w:color="000000"/>
              <w:bottom w:val="single" w:sz="6" w:space="0" w:color="000000"/>
              <w:right w:val="none" w:sz="0" w:space="0" w:color="000000"/>
            </w:tcBorders>
            <w:vAlign w:val="center"/>
          </w:tcPr>
          <w:p w14:paraId="17493735" w14:textId="77777777" w:rsidR="0067454D" w:rsidRDefault="00000000">
            <w:pPr>
              <w:spacing w:before="60" w:after="60" w:line="288" w:lineRule="auto"/>
              <w:jc w:val="center"/>
            </w:pPr>
            <w:r>
              <w:rPr>
                <w:rFonts w:ascii="宋体" w:eastAsia="宋体" w:hAnsi="宋体"/>
                <w:b/>
                <w:color w:val="111111"/>
                <w:sz w:val="20"/>
              </w:rPr>
              <w:t>碳政策类型</w:t>
            </w:r>
          </w:p>
        </w:tc>
        <w:tc>
          <w:tcPr>
            <w:tcW w:w="2438" w:type="dxa"/>
            <w:tcBorders>
              <w:top w:val="single" w:sz="12" w:space="0" w:color="000000"/>
              <w:left w:val="none" w:sz="0" w:space="0" w:color="000000"/>
              <w:bottom w:val="single" w:sz="6" w:space="0" w:color="000000"/>
              <w:right w:val="none" w:sz="0" w:space="0" w:color="000000"/>
            </w:tcBorders>
            <w:vAlign w:val="center"/>
          </w:tcPr>
          <w:p w14:paraId="6ED79E14" w14:textId="77777777" w:rsidR="0067454D" w:rsidRDefault="00000000">
            <w:pPr>
              <w:spacing w:before="60" w:after="60" w:line="288" w:lineRule="auto"/>
              <w:jc w:val="center"/>
            </w:pPr>
            <w:r>
              <w:rPr>
                <w:rFonts w:ascii="宋体" w:eastAsia="宋体" w:hAnsi="宋体"/>
                <w:b/>
                <w:color w:val="111111"/>
                <w:sz w:val="20"/>
              </w:rPr>
              <w:t>碳价核心参数</w:t>
            </w:r>
          </w:p>
        </w:tc>
        <w:tc>
          <w:tcPr>
            <w:tcW w:w="1871" w:type="dxa"/>
            <w:tcBorders>
              <w:top w:val="single" w:sz="12" w:space="0" w:color="000000"/>
              <w:left w:val="none" w:sz="0" w:space="0" w:color="000000"/>
              <w:bottom w:val="single" w:sz="6" w:space="0" w:color="000000"/>
              <w:right w:val="none" w:sz="0" w:space="0" w:color="000000"/>
            </w:tcBorders>
            <w:vAlign w:val="center"/>
          </w:tcPr>
          <w:p w14:paraId="60D85D73" w14:textId="77777777" w:rsidR="0067454D" w:rsidRDefault="00000000">
            <w:pPr>
              <w:spacing w:before="60" w:after="60" w:line="288" w:lineRule="auto"/>
              <w:jc w:val="center"/>
            </w:pPr>
            <w:r>
              <w:rPr>
                <w:rFonts w:ascii="宋体" w:eastAsia="宋体" w:hAnsi="宋体"/>
                <w:b/>
                <w:color w:val="111111"/>
                <w:sz w:val="20"/>
              </w:rPr>
              <w:t>对比目的</w:t>
            </w:r>
          </w:p>
        </w:tc>
      </w:tr>
      <w:tr w:rsidR="0067454D" w14:paraId="2773417B" w14:textId="77777777">
        <w:trPr>
          <w:jc w:val="center"/>
        </w:trPr>
        <w:tc>
          <w:tcPr>
            <w:tcW w:w="737" w:type="dxa"/>
            <w:tcBorders>
              <w:top w:val="none" w:sz="0" w:space="0" w:color="000000"/>
              <w:left w:val="none" w:sz="0" w:space="0" w:color="000000"/>
              <w:bottom w:val="none" w:sz="0" w:space="0" w:color="000000"/>
              <w:right w:val="none" w:sz="0" w:space="0" w:color="000000"/>
            </w:tcBorders>
            <w:vAlign w:val="center"/>
          </w:tcPr>
          <w:p w14:paraId="17BF8DCB" w14:textId="77777777" w:rsidR="0067454D" w:rsidRDefault="00000000">
            <w:pPr>
              <w:spacing w:before="60" w:after="60" w:line="288" w:lineRule="auto"/>
              <w:jc w:val="center"/>
            </w:pPr>
            <w:r>
              <w:rPr>
                <w:rFonts w:ascii="宋体" w:eastAsia="宋体" w:hAnsi="宋体"/>
                <w:color w:val="111111"/>
                <w:sz w:val="19"/>
              </w:rPr>
              <w:t>A</w:t>
            </w:r>
          </w:p>
        </w:tc>
        <w:tc>
          <w:tcPr>
            <w:tcW w:w="1701" w:type="dxa"/>
            <w:tcBorders>
              <w:top w:val="none" w:sz="0" w:space="0" w:color="000000"/>
              <w:left w:val="none" w:sz="0" w:space="0" w:color="000000"/>
              <w:bottom w:val="none" w:sz="0" w:space="0" w:color="000000"/>
              <w:right w:val="none" w:sz="0" w:space="0" w:color="000000"/>
            </w:tcBorders>
            <w:vAlign w:val="center"/>
          </w:tcPr>
          <w:p w14:paraId="2AAF7140" w14:textId="77777777" w:rsidR="0067454D" w:rsidRDefault="00000000">
            <w:pPr>
              <w:spacing w:before="60" w:after="60" w:line="288" w:lineRule="auto"/>
              <w:jc w:val="center"/>
            </w:pPr>
            <w:r>
              <w:rPr>
                <w:rFonts w:ascii="宋体" w:eastAsia="宋体" w:hAnsi="宋体"/>
                <w:color w:val="111111"/>
                <w:sz w:val="19"/>
              </w:rPr>
              <w:t>AUGMECON + TOPSIS</w:t>
            </w:r>
          </w:p>
        </w:tc>
        <w:tc>
          <w:tcPr>
            <w:tcW w:w="1474" w:type="dxa"/>
            <w:tcBorders>
              <w:top w:val="none" w:sz="0" w:space="0" w:color="000000"/>
              <w:left w:val="none" w:sz="0" w:space="0" w:color="000000"/>
              <w:bottom w:val="none" w:sz="0" w:space="0" w:color="000000"/>
              <w:right w:val="none" w:sz="0" w:space="0" w:color="000000"/>
            </w:tcBorders>
            <w:vAlign w:val="center"/>
          </w:tcPr>
          <w:p w14:paraId="27986930" w14:textId="77777777" w:rsidR="0067454D" w:rsidRDefault="00000000">
            <w:pPr>
              <w:spacing w:before="60" w:after="60" w:line="288" w:lineRule="auto"/>
              <w:jc w:val="center"/>
            </w:pPr>
            <w:r>
              <w:rPr>
                <w:rFonts w:ascii="宋体" w:eastAsia="宋体" w:hAnsi="宋体"/>
                <w:color w:val="111111"/>
                <w:sz w:val="19"/>
              </w:rPr>
              <w:t>碳限额（Cap）</w:t>
            </w:r>
          </w:p>
        </w:tc>
        <w:tc>
          <w:tcPr>
            <w:tcW w:w="2438" w:type="dxa"/>
            <w:tcBorders>
              <w:top w:val="none" w:sz="0" w:space="0" w:color="000000"/>
              <w:left w:val="none" w:sz="0" w:space="0" w:color="000000"/>
              <w:bottom w:val="none" w:sz="0" w:space="0" w:color="000000"/>
              <w:right w:val="none" w:sz="0" w:space="0" w:color="000000"/>
            </w:tcBorders>
            <w:vAlign w:val="center"/>
          </w:tcPr>
          <w:p w14:paraId="1D080E1D" w14:textId="77777777" w:rsidR="0067454D" w:rsidRDefault="00000000">
            <w:pPr>
              <w:spacing w:before="60" w:after="60" w:line="288" w:lineRule="auto"/>
              <w:jc w:val="center"/>
              <w:rPr>
                <w:lang w:eastAsia="zh-CN"/>
              </w:rPr>
            </w:pPr>
            <w:r>
              <w:rPr>
                <w:rFonts w:ascii="宋体" w:eastAsia="宋体" w:hAnsi="宋体"/>
                <w:color w:val="111111"/>
                <w:sz w:val="19"/>
                <w:lang w:eastAsia="zh-CN"/>
              </w:rPr>
              <w:t>超限处罚：0.08元/kg CO₂</w:t>
            </w:r>
          </w:p>
        </w:tc>
        <w:tc>
          <w:tcPr>
            <w:tcW w:w="1871" w:type="dxa"/>
            <w:tcBorders>
              <w:top w:val="none" w:sz="0" w:space="0" w:color="000000"/>
              <w:left w:val="none" w:sz="0" w:space="0" w:color="000000"/>
              <w:bottom w:val="none" w:sz="0" w:space="0" w:color="000000"/>
              <w:right w:val="none" w:sz="0" w:space="0" w:color="000000"/>
            </w:tcBorders>
            <w:vAlign w:val="center"/>
          </w:tcPr>
          <w:p w14:paraId="59122070" w14:textId="77777777" w:rsidR="0067454D" w:rsidRDefault="00000000">
            <w:pPr>
              <w:spacing w:before="60" w:after="60" w:line="288" w:lineRule="auto"/>
              <w:jc w:val="center"/>
            </w:pPr>
            <w:r>
              <w:rPr>
                <w:rFonts w:ascii="宋体" w:eastAsia="宋体" w:hAnsi="宋体"/>
                <w:color w:val="111111"/>
                <w:sz w:val="19"/>
              </w:rPr>
              <w:t>政策差异基准实验</w:t>
            </w:r>
          </w:p>
        </w:tc>
      </w:tr>
      <w:tr w:rsidR="0067454D" w14:paraId="1522B545" w14:textId="77777777">
        <w:trPr>
          <w:jc w:val="center"/>
        </w:trPr>
        <w:tc>
          <w:tcPr>
            <w:tcW w:w="737" w:type="dxa"/>
            <w:tcBorders>
              <w:top w:val="none" w:sz="0" w:space="0" w:color="000000"/>
              <w:left w:val="none" w:sz="0" w:space="0" w:color="000000"/>
              <w:bottom w:val="none" w:sz="0" w:space="0" w:color="000000"/>
              <w:right w:val="none" w:sz="0" w:space="0" w:color="000000"/>
            </w:tcBorders>
            <w:vAlign w:val="center"/>
          </w:tcPr>
          <w:p w14:paraId="0BA3C887" w14:textId="77777777" w:rsidR="0067454D" w:rsidRDefault="00000000">
            <w:pPr>
              <w:spacing w:before="60" w:after="60" w:line="288" w:lineRule="auto"/>
              <w:jc w:val="center"/>
            </w:pPr>
            <w:r>
              <w:rPr>
                <w:rFonts w:ascii="宋体" w:eastAsia="宋体" w:hAnsi="宋体"/>
                <w:color w:val="111111"/>
                <w:sz w:val="19"/>
              </w:rPr>
              <w:t>B</w:t>
            </w:r>
          </w:p>
        </w:tc>
        <w:tc>
          <w:tcPr>
            <w:tcW w:w="1701" w:type="dxa"/>
            <w:tcBorders>
              <w:top w:val="none" w:sz="0" w:space="0" w:color="000000"/>
              <w:left w:val="none" w:sz="0" w:space="0" w:color="000000"/>
              <w:bottom w:val="none" w:sz="0" w:space="0" w:color="000000"/>
              <w:right w:val="none" w:sz="0" w:space="0" w:color="000000"/>
            </w:tcBorders>
            <w:vAlign w:val="center"/>
          </w:tcPr>
          <w:p w14:paraId="2550A967" w14:textId="77777777" w:rsidR="0067454D" w:rsidRDefault="00000000">
            <w:pPr>
              <w:spacing w:before="60" w:after="60" w:line="288" w:lineRule="auto"/>
              <w:jc w:val="center"/>
            </w:pPr>
            <w:r>
              <w:rPr>
                <w:rFonts w:ascii="宋体" w:eastAsia="宋体" w:hAnsi="宋体"/>
                <w:color w:val="111111"/>
                <w:sz w:val="19"/>
              </w:rPr>
              <w:t>AUGMECON + TOPSIS</w:t>
            </w:r>
          </w:p>
        </w:tc>
        <w:tc>
          <w:tcPr>
            <w:tcW w:w="1474" w:type="dxa"/>
            <w:tcBorders>
              <w:top w:val="none" w:sz="0" w:space="0" w:color="000000"/>
              <w:left w:val="none" w:sz="0" w:space="0" w:color="000000"/>
              <w:bottom w:val="none" w:sz="0" w:space="0" w:color="000000"/>
              <w:right w:val="none" w:sz="0" w:space="0" w:color="000000"/>
            </w:tcBorders>
            <w:vAlign w:val="center"/>
          </w:tcPr>
          <w:p w14:paraId="227F9D66" w14:textId="77777777" w:rsidR="0067454D" w:rsidRDefault="00000000">
            <w:pPr>
              <w:spacing w:before="60" w:after="60" w:line="288" w:lineRule="auto"/>
              <w:jc w:val="center"/>
            </w:pPr>
            <w:r>
              <w:rPr>
                <w:rFonts w:ascii="宋体" w:eastAsia="宋体" w:hAnsi="宋体"/>
                <w:color w:val="111111"/>
                <w:sz w:val="19"/>
              </w:rPr>
              <w:t>碳税（Tax）</w:t>
            </w:r>
          </w:p>
        </w:tc>
        <w:tc>
          <w:tcPr>
            <w:tcW w:w="2438" w:type="dxa"/>
            <w:tcBorders>
              <w:top w:val="none" w:sz="0" w:space="0" w:color="000000"/>
              <w:left w:val="none" w:sz="0" w:space="0" w:color="000000"/>
              <w:bottom w:val="none" w:sz="0" w:space="0" w:color="000000"/>
              <w:right w:val="none" w:sz="0" w:space="0" w:color="000000"/>
            </w:tcBorders>
            <w:vAlign w:val="center"/>
          </w:tcPr>
          <w:p w14:paraId="14C628C0" w14:textId="77777777" w:rsidR="0067454D" w:rsidRDefault="00000000">
            <w:pPr>
              <w:spacing w:before="60" w:after="60" w:line="288" w:lineRule="auto"/>
              <w:jc w:val="center"/>
            </w:pPr>
            <w:r>
              <w:rPr>
                <w:rFonts w:ascii="宋体" w:eastAsia="宋体" w:hAnsi="宋体"/>
                <w:color w:val="111111"/>
                <w:sz w:val="19"/>
              </w:rPr>
              <w:t>税率：0.05元/kg CO₂</w:t>
            </w:r>
          </w:p>
        </w:tc>
        <w:tc>
          <w:tcPr>
            <w:tcW w:w="1871" w:type="dxa"/>
            <w:tcBorders>
              <w:top w:val="none" w:sz="0" w:space="0" w:color="000000"/>
              <w:left w:val="none" w:sz="0" w:space="0" w:color="000000"/>
              <w:bottom w:val="none" w:sz="0" w:space="0" w:color="000000"/>
              <w:right w:val="none" w:sz="0" w:space="0" w:color="000000"/>
            </w:tcBorders>
            <w:vAlign w:val="center"/>
          </w:tcPr>
          <w:p w14:paraId="1116074C" w14:textId="77777777" w:rsidR="0067454D" w:rsidRDefault="00000000">
            <w:pPr>
              <w:spacing w:before="60" w:after="60" w:line="288" w:lineRule="auto"/>
              <w:jc w:val="center"/>
            </w:pPr>
            <w:r>
              <w:rPr>
                <w:rFonts w:ascii="宋体" w:eastAsia="宋体" w:hAnsi="宋体"/>
                <w:color w:val="111111"/>
                <w:sz w:val="19"/>
              </w:rPr>
              <w:t>政策差异比较</w:t>
            </w:r>
          </w:p>
        </w:tc>
      </w:tr>
      <w:tr w:rsidR="0067454D" w14:paraId="35613424" w14:textId="77777777">
        <w:trPr>
          <w:jc w:val="center"/>
        </w:trPr>
        <w:tc>
          <w:tcPr>
            <w:tcW w:w="737" w:type="dxa"/>
            <w:tcBorders>
              <w:top w:val="none" w:sz="0" w:space="0" w:color="000000"/>
              <w:left w:val="none" w:sz="0" w:space="0" w:color="000000"/>
              <w:bottom w:val="none" w:sz="0" w:space="0" w:color="000000"/>
              <w:right w:val="none" w:sz="0" w:space="0" w:color="000000"/>
            </w:tcBorders>
            <w:vAlign w:val="center"/>
          </w:tcPr>
          <w:p w14:paraId="6F90D68E" w14:textId="77777777" w:rsidR="0067454D" w:rsidRDefault="00000000">
            <w:pPr>
              <w:spacing w:before="60" w:after="60" w:line="288" w:lineRule="auto"/>
              <w:jc w:val="center"/>
            </w:pPr>
            <w:r>
              <w:rPr>
                <w:rFonts w:ascii="宋体" w:eastAsia="宋体" w:hAnsi="宋体"/>
                <w:color w:val="111111"/>
                <w:sz w:val="19"/>
              </w:rPr>
              <w:t>C</w:t>
            </w:r>
          </w:p>
        </w:tc>
        <w:tc>
          <w:tcPr>
            <w:tcW w:w="1701" w:type="dxa"/>
            <w:tcBorders>
              <w:top w:val="none" w:sz="0" w:space="0" w:color="000000"/>
              <w:left w:val="none" w:sz="0" w:space="0" w:color="000000"/>
              <w:bottom w:val="none" w:sz="0" w:space="0" w:color="000000"/>
              <w:right w:val="none" w:sz="0" w:space="0" w:color="000000"/>
            </w:tcBorders>
            <w:vAlign w:val="center"/>
          </w:tcPr>
          <w:p w14:paraId="2283F229" w14:textId="77777777" w:rsidR="0067454D" w:rsidRDefault="00000000">
            <w:pPr>
              <w:spacing w:before="60" w:after="60" w:line="288" w:lineRule="auto"/>
              <w:jc w:val="center"/>
            </w:pPr>
            <w:r>
              <w:rPr>
                <w:rFonts w:ascii="宋体" w:eastAsia="宋体" w:hAnsi="宋体"/>
                <w:color w:val="111111"/>
                <w:sz w:val="19"/>
              </w:rPr>
              <w:t>AUGMECON + TOPSIS</w:t>
            </w:r>
          </w:p>
        </w:tc>
        <w:tc>
          <w:tcPr>
            <w:tcW w:w="1474" w:type="dxa"/>
            <w:tcBorders>
              <w:top w:val="none" w:sz="0" w:space="0" w:color="000000"/>
              <w:left w:val="none" w:sz="0" w:space="0" w:color="000000"/>
              <w:bottom w:val="none" w:sz="0" w:space="0" w:color="000000"/>
              <w:right w:val="none" w:sz="0" w:space="0" w:color="000000"/>
            </w:tcBorders>
            <w:vAlign w:val="center"/>
          </w:tcPr>
          <w:p w14:paraId="3AEDCA03" w14:textId="77777777" w:rsidR="0067454D" w:rsidRDefault="00000000">
            <w:pPr>
              <w:spacing w:before="60" w:after="60" w:line="288" w:lineRule="auto"/>
              <w:jc w:val="center"/>
            </w:pPr>
            <w:r>
              <w:rPr>
                <w:rFonts w:ascii="宋体" w:eastAsia="宋体" w:hAnsi="宋体"/>
                <w:color w:val="111111"/>
                <w:sz w:val="19"/>
              </w:rPr>
              <w:t>碳交易（ETS）</w:t>
            </w:r>
          </w:p>
        </w:tc>
        <w:tc>
          <w:tcPr>
            <w:tcW w:w="2438" w:type="dxa"/>
            <w:tcBorders>
              <w:top w:val="none" w:sz="0" w:space="0" w:color="000000"/>
              <w:left w:val="none" w:sz="0" w:space="0" w:color="000000"/>
              <w:bottom w:val="none" w:sz="0" w:space="0" w:color="000000"/>
              <w:right w:val="none" w:sz="0" w:space="0" w:color="000000"/>
            </w:tcBorders>
            <w:vAlign w:val="center"/>
          </w:tcPr>
          <w:p w14:paraId="4F6BBAFE" w14:textId="77777777" w:rsidR="0067454D" w:rsidRDefault="00000000">
            <w:pPr>
              <w:spacing w:before="60" w:after="60" w:line="288" w:lineRule="auto"/>
              <w:jc w:val="center"/>
            </w:pPr>
            <w:r>
              <w:rPr>
                <w:rFonts w:ascii="宋体" w:eastAsia="宋体" w:hAnsi="宋体"/>
                <w:color w:val="111111"/>
                <w:sz w:val="19"/>
              </w:rPr>
              <w:t>均价：0.06815元/kg CO₂</w:t>
            </w:r>
            <w:r>
              <w:rPr>
                <w:rFonts w:ascii="宋体" w:eastAsia="宋体" w:hAnsi="宋体"/>
                <w:color w:val="111111"/>
                <w:sz w:val="19"/>
              </w:rPr>
              <w:br/>
              <w:t>（2023年真实值[3]）</w:t>
            </w:r>
          </w:p>
        </w:tc>
        <w:tc>
          <w:tcPr>
            <w:tcW w:w="1871" w:type="dxa"/>
            <w:tcBorders>
              <w:top w:val="none" w:sz="0" w:space="0" w:color="000000"/>
              <w:left w:val="none" w:sz="0" w:space="0" w:color="000000"/>
              <w:bottom w:val="none" w:sz="0" w:space="0" w:color="000000"/>
              <w:right w:val="none" w:sz="0" w:space="0" w:color="000000"/>
            </w:tcBorders>
            <w:vAlign w:val="center"/>
          </w:tcPr>
          <w:p w14:paraId="72F17D4F" w14:textId="77777777" w:rsidR="0067454D" w:rsidRDefault="00000000">
            <w:pPr>
              <w:spacing w:before="60" w:after="60" w:line="288" w:lineRule="auto"/>
              <w:jc w:val="center"/>
            </w:pPr>
            <w:r>
              <w:rPr>
                <w:rFonts w:ascii="宋体" w:eastAsia="宋体" w:hAnsi="宋体"/>
                <w:color w:val="111111"/>
                <w:sz w:val="19"/>
              </w:rPr>
              <w:t>政策差异比较</w:t>
            </w:r>
          </w:p>
        </w:tc>
      </w:tr>
      <w:tr w:rsidR="0067454D" w14:paraId="48EC43C6" w14:textId="77777777">
        <w:trPr>
          <w:jc w:val="center"/>
        </w:trPr>
        <w:tc>
          <w:tcPr>
            <w:tcW w:w="737" w:type="dxa"/>
            <w:tcBorders>
              <w:top w:val="none" w:sz="0" w:space="0" w:color="000000"/>
              <w:left w:val="none" w:sz="0" w:space="0" w:color="000000"/>
              <w:bottom w:val="single" w:sz="12" w:space="0" w:color="000000"/>
              <w:right w:val="none" w:sz="0" w:space="0" w:color="000000"/>
            </w:tcBorders>
            <w:vAlign w:val="center"/>
          </w:tcPr>
          <w:p w14:paraId="6D1A070B" w14:textId="77777777" w:rsidR="0067454D" w:rsidRDefault="00000000">
            <w:pPr>
              <w:spacing w:before="60" w:after="60" w:line="288" w:lineRule="auto"/>
              <w:jc w:val="center"/>
            </w:pPr>
            <w:r>
              <w:rPr>
                <w:rFonts w:ascii="宋体" w:eastAsia="宋体" w:hAnsi="宋体"/>
                <w:color w:val="111111"/>
                <w:sz w:val="19"/>
              </w:rPr>
              <w:t>D</w:t>
            </w:r>
          </w:p>
        </w:tc>
        <w:tc>
          <w:tcPr>
            <w:tcW w:w="1701" w:type="dxa"/>
            <w:tcBorders>
              <w:top w:val="none" w:sz="0" w:space="0" w:color="000000"/>
              <w:left w:val="none" w:sz="0" w:space="0" w:color="000000"/>
              <w:bottom w:val="single" w:sz="12" w:space="0" w:color="000000"/>
              <w:right w:val="none" w:sz="0" w:space="0" w:color="000000"/>
            </w:tcBorders>
            <w:vAlign w:val="center"/>
          </w:tcPr>
          <w:p w14:paraId="1A8D1328" w14:textId="77777777" w:rsidR="0067454D" w:rsidRDefault="00000000">
            <w:pPr>
              <w:spacing w:before="60" w:after="60" w:line="288" w:lineRule="auto"/>
              <w:jc w:val="center"/>
            </w:pPr>
            <w:r>
              <w:rPr>
                <w:rFonts w:ascii="宋体" w:eastAsia="宋体" w:hAnsi="宋体"/>
                <w:color w:val="111111"/>
                <w:sz w:val="19"/>
              </w:rPr>
              <w:t>权重加和法</w:t>
            </w:r>
            <w:r>
              <w:rPr>
                <w:rFonts w:ascii="宋体" w:eastAsia="宋体" w:hAnsi="宋体"/>
                <w:color w:val="111111"/>
                <w:sz w:val="19"/>
              </w:rPr>
              <w:br/>
              <w:t>（α=0.5）</w:t>
            </w:r>
          </w:p>
        </w:tc>
        <w:tc>
          <w:tcPr>
            <w:tcW w:w="1474" w:type="dxa"/>
            <w:tcBorders>
              <w:top w:val="none" w:sz="0" w:space="0" w:color="000000"/>
              <w:left w:val="none" w:sz="0" w:space="0" w:color="000000"/>
              <w:bottom w:val="single" w:sz="12" w:space="0" w:color="000000"/>
              <w:right w:val="none" w:sz="0" w:space="0" w:color="000000"/>
            </w:tcBorders>
            <w:vAlign w:val="center"/>
          </w:tcPr>
          <w:p w14:paraId="31249736" w14:textId="77777777" w:rsidR="0067454D" w:rsidRDefault="00000000">
            <w:pPr>
              <w:spacing w:before="60" w:after="60" w:line="288" w:lineRule="auto"/>
              <w:jc w:val="center"/>
            </w:pPr>
            <w:r>
              <w:rPr>
                <w:rFonts w:ascii="宋体" w:eastAsia="宋体" w:hAnsi="宋体"/>
                <w:color w:val="111111"/>
                <w:sz w:val="19"/>
              </w:rPr>
              <w:t>碳限额（同A）</w:t>
            </w:r>
          </w:p>
        </w:tc>
        <w:tc>
          <w:tcPr>
            <w:tcW w:w="2438" w:type="dxa"/>
            <w:tcBorders>
              <w:top w:val="none" w:sz="0" w:space="0" w:color="000000"/>
              <w:left w:val="none" w:sz="0" w:space="0" w:color="000000"/>
              <w:bottom w:val="single" w:sz="12" w:space="0" w:color="000000"/>
              <w:right w:val="none" w:sz="0" w:space="0" w:color="000000"/>
            </w:tcBorders>
            <w:vAlign w:val="center"/>
          </w:tcPr>
          <w:p w14:paraId="63C9B680" w14:textId="77777777" w:rsidR="0067454D" w:rsidRDefault="00000000">
            <w:pPr>
              <w:spacing w:before="60" w:after="60" w:line="288" w:lineRule="auto"/>
              <w:jc w:val="center"/>
            </w:pPr>
            <w:r>
              <w:rPr>
                <w:rFonts w:ascii="宋体" w:eastAsia="宋体" w:hAnsi="宋体"/>
                <w:color w:val="111111"/>
                <w:sz w:val="19"/>
              </w:rPr>
              <w:t>同方案A</w:t>
            </w:r>
          </w:p>
        </w:tc>
        <w:tc>
          <w:tcPr>
            <w:tcW w:w="1871" w:type="dxa"/>
            <w:tcBorders>
              <w:top w:val="none" w:sz="0" w:space="0" w:color="000000"/>
              <w:left w:val="none" w:sz="0" w:space="0" w:color="000000"/>
              <w:bottom w:val="single" w:sz="12" w:space="0" w:color="000000"/>
              <w:right w:val="none" w:sz="0" w:space="0" w:color="000000"/>
            </w:tcBorders>
            <w:vAlign w:val="center"/>
          </w:tcPr>
          <w:p w14:paraId="4C6B3C11" w14:textId="77777777" w:rsidR="0067454D" w:rsidRDefault="00000000">
            <w:pPr>
              <w:spacing w:before="60" w:after="60" w:line="288" w:lineRule="auto"/>
              <w:jc w:val="center"/>
            </w:pPr>
            <w:r>
              <w:rPr>
                <w:rFonts w:ascii="宋体" w:eastAsia="宋体" w:hAnsi="宋体"/>
                <w:color w:val="111111"/>
                <w:sz w:val="19"/>
              </w:rPr>
              <w:t>算法性能基准</w:t>
            </w:r>
          </w:p>
        </w:tc>
      </w:tr>
    </w:tbl>
    <w:p w14:paraId="2AF0D67A" w14:textId="77777777" w:rsidR="0067454D" w:rsidRDefault="0067454D"/>
    <w:p w14:paraId="7460CE19" w14:textId="77777777" w:rsidR="0067454D" w:rsidRDefault="00000000">
      <w:pPr>
        <w:spacing w:after="120" w:line="288" w:lineRule="auto"/>
        <w:rPr>
          <w:lang w:eastAsia="zh-CN"/>
        </w:rPr>
      </w:pPr>
      <w:r>
        <w:rPr>
          <w:rFonts w:ascii="宋体" w:eastAsia="宋体" w:hAnsi="宋体"/>
          <w:b/>
          <w:color w:val="555555"/>
          <w:sz w:val="19"/>
          <w:lang w:eastAsia="zh-CN"/>
        </w:rPr>
        <w:t>注：</w:t>
      </w:r>
      <w:r>
        <w:rPr>
          <w:rFonts w:ascii="宋体" w:eastAsia="宋体" w:hAnsi="宋体"/>
          <w:i/>
          <w:color w:val="555555"/>
          <w:sz w:val="19"/>
          <w:lang w:eastAsia="zh-CN"/>
        </w:rPr>
        <w:t>方案C碳价来源：上海环境能源交易所2023年度年报；方案A、B碳价参照OECD建议区间设定。</w:t>
      </w:r>
    </w:p>
    <w:p w14:paraId="40CF95BC" w14:textId="77777777" w:rsidR="0067454D" w:rsidRPr="0076591F" w:rsidRDefault="00000000">
      <w:pPr>
        <w:spacing w:before="360" w:after="120" w:line="360" w:lineRule="auto"/>
        <w:rPr>
          <w:color w:val="000000" w:themeColor="text1"/>
          <w:lang w:eastAsia="zh-CN"/>
        </w:rPr>
      </w:pPr>
      <w:r w:rsidRPr="0076591F">
        <w:rPr>
          <w:rFonts w:ascii="黑体" w:eastAsia="黑体" w:hAnsi="黑体"/>
          <w:b/>
          <w:color w:val="000000" w:themeColor="text1"/>
          <w:sz w:val="32"/>
          <w:lang w:eastAsia="zh-CN"/>
        </w:rPr>
        <w:t>4  实证分析</w:t>
      </w:r>
    </w:p>
    <w:p w14:paraId="76B0227D"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4.1  数据预处理与描述性统计</w:t>
      </w:r>
    </w:p>
    <w:p w14:paraId="5E280367"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数据预处理遵循以下标准化流程：①基于3</w:t>
      </w:r>
      <w:r>
        <w:rPr>
          <w:rFonts w:ascii="宋体" w:eastAsia="宋体" w:hAnsi="宋体"/>
          <w:color w:val="111111"/>
        </w:rPr>
        <w:t>σ</w:t>
      </w:r>
      <w:r>
        <w:rPr>
          <w:rFonts w:ascii="宋体" w:eastAsia="宋体" w:hAnsi="宋体"/>
          <w:color w:val="111111"/>
          <w:lang w:eastAsia="zh-CN"/>
        </w:rPr>
        <w:t>准则识别并剔除异常观测值（共3条，占样本0.8%）；②对少量缺失数据采用同期均值填充法插补（共7条成本记录）；③对不同量纲变量实施Min-Max归一化，将数值压缩至[0,1]区间；④各环节碳排放系数依据GB/T 32150-2015规范取值，生产环节系数以MEE 2022年电力平均CO₂排放因子（0.5568 tCO₂/MWh）[18]为基准进行校准修正。主要变量描述性统计如表4所示。</w:t>
      </w:r>
    </w:p>
    <w:p w14:paraId="40177922" w14:textId="77777777" w:rsidR="0067454D" w:rsidRDefault="00000000">
      <w:pPr>
        <w:spacing w:before="120" w:after="40" w:line="288" w:lineRule="auto"/>
        <w:jc w:val="center"/>
        <w:rPr>
          <w:lang w:eastAsia="zh-CN"/>
        </w:rPr>
      </w:pPr>
      <w:r>
        <w:rPr>
          <w:rFonts w:ascii="宋体" w:eastAsia="宋体" w:hAnsi="宋体"/>
          <w:b/>
          <w:color w:val="555555"/>
          <w:sz w:val="20"/>
          <w:lang w:eastAsia="zh-CN"/>
        </w:rPr>
        <w:t>表4  主要变量描述性统计（N=6个月运营数据）</w:t>
      </w:r>
    </w:p>
    <w:tbl>
      <w:tblPr>
        <w:tblStyle w:val="aff1"/>
        <w:tblW w:w="0" w:type="auto"/>
        <w:jc w:val="center"/>
        <w:tblLook w:val="04A0" w:firstRow="1" w:lastRow="0" w:firstColumn="1" w:lastColumn="0" w:noHBand="0" w:noVBand="1"/>
      </w:tblPr>
      <w:tblGrid>
        <w:gridCol w:w="1701"/>
        <w:gridCol w:w="881"/>
        <w:gridCol w:w="794"/>
        <w:gridCol w:w="907"/>
        <w:gridCol w:w="907"/>
        <w:gridCol w:w="1134"/>
        <w:gridCol w:w="1984"/>
      </w:tblGrid>
      <w:tr w:rsidR="0067454D" w14:paraId="0364E2B0" w14:textId="77777777">
        <w:trPr>
          <w:jc w:val="center"/>
        </w:trPr>
        <w:tc>
          <w:tcPr>
            <w:tcW w:w="1701" w:type="dxa"/>
            <w:tcBorders>
              <w:top w:val="single" w:sz="12" w:space="0" w:color="000000"/>
              <w:left w:val="none" w:sz="0" w:space="0" w:color="000000"/>
              <w:bottom w:val="single" w:sz="6" w:space="0" w:color="000000"/>
              <w:right w:val="none" w:sz="0" w:space="0" w:color="000000"/>
            </w:tcBorders>
            <w:vAlign w:val="center"/>
          </w:tcPr>
          <w:p w14:paraId="5F8EEAB6" w14:textId="77777777" w:rsidR="0067454D" w:rsidRDefault="00000000">
            <w:pPr>
              <w:spacing w:before="60" w:after="60" w:line="288" w:lineRule="auto"/>
              <w:jc w:val="center"/>
            </w:pPr>
            <w:r>
              <w:rPr>
                <w:rFonts w:ascii="宋体" w:eastAsia="宋体" w:hAnsi="宋体"/>
                <w:b/>
                <w:color w:val="111111"/>
                <w:sz w:val="20"/>
              </w:rPr>
              <w:t>变量</w:t>
            </w:r>
          </w:p>
        </w:tc>
        <w:tc>
          <w:tcPr>
            <w:tcW w:w="794" w:type="dxa"/>
            <w:tcBorders>
              <w:top w:val="single" w:sz="12" w:space="0" w:color="000000"/>
              <w:left w:val="none" w:sz="0" w:space="0" w:color="000000"/>
              <w:bottom w:val="single" w:sz="6" w:space="0" w:color="000000"/>
              <w:right w:val="none" w:sz="0" w:space="0" w:color="000000"/>
            </w:tcBorders>
            <w:vAlign w:val="center"/>
          </w:tcPr>
          <w:p w14:paraId="08CF2E66" w14:textId="77777777" w:rsidR="0067454D" w:rsidRDefault="00000000">
            <w:pPr>
              <w:spacing w:before="60" w:after="60" w:line="288" w:lineRule="auto"/>
              <w:jc w:val="center"/>
            </w:pPr>
            <w:r>
              <w:rPr>
                <w:rFonts w:ascii="宋体" w:eastAsia="宋体" w:hAnsi="宋体"/>
                <w:b/>
                <w:color w:val="111111"/>
                <w:sz w:val="20"/>
              </w:rPr>
              <w:t>均值</w:t>
            </w:r>
          </w:p>
        </w:tc>
        <w:tc>
          <w:tcPr>
            <w:tcW w:w="794" w:type="dxa"/>
            <w:tcBorders>
              <w:top w:val="single" w:sz="12" w:space="0" w:color="000000"/>
              <w:left w:val="none" w:sz="0" w:space="0" w:color="000000"/>
              <w:bottom w:val="single" w:sz="6" w:space="0" w:color="000000"/>
              <w:right w:val="none" w:sz="0" w:space="0" w:color="000000"/>
            </w:tcBorders>
            <w:vAlign w:val="center"/>
          </w:tcPr>
          <w:p w14:paraId="0F33B036" w14:textId="77777777" w:rsidR="0067454D" w:rsidRDefault="00000000">
            <w:pPr>
              <w:spacing w:before="60" w:after="60" w:line="288" w:lineRule="auto"/>
              <w:jc w:val="center"/>
            </w:pPr>
            <w:r>
              <w:rPr>
                <w:rFonts w:ascii="宋体" w:eastAsia="宋体" w:hAnsi="宋体"/>
                <w:b/>
                <w:color w:val="111111"/>
                <w:sz w:val="20"/>
              </w:rPr>
              <w:t>标准差</w:t>
            </w:r>
          </w:p>
        </w:tc>
        <w:tc>
          <w:tcPr>
            <w:tcW w:w="907" w:type="dxa"/>
            <w:tcBorders>
              <w:top w:val="single" w:sz="12" w:space="0" w:color="000000"/>
              <w:left w:val="none" w:sz="0" w:space="0" w:color="000000"/>
              <w:bottom w:val="single" w:sz="6" w:space="0" w:color="000000"/>
              <w:right w:val="none" w:sz="0" w:space="0" w:color="000000"/>
            </w:tcBorders>
            <w:vAlign w:val="center"/>
          </w:tcPr>
          <w:p w14:paraId="4CFBC116" w14:textId="77777777" w:rsidR="0067454D" w:rsidRDefault="00000000">
            <w:pPr>
              <w:spacing w:before="60" w:after="60" w:line="288" w:lineRule="auto"/>
              <w:jc w:val="center"/>
            </w:pPr>
            <w:r>
              <w:rPr>
                <w:rFonts w:ascii="宋体" w:eastAsia="宋体" w:hAnsi="宋体"/>
                <w:b/>
                <w:color w:val="111111"/>
                <w:sz w:val="20"/>
              </w:rPr>
              <w:t>最小值</w:t>
            </w:r>
          </w:p>
        </w:tc>
        <w:tc>
          <w:tcPr>
            <w:tcW w:w="907" w:type="dxa"/>
            <w:tcBorders>
              <w:top w:val="single" w:sz="12" w:space="0" w:color="000000"/>
              <w:left w:val="none" w:sz="0" w:space="0" w:color="000000"/>
              <w:bottom w:val="single" w:sz="6" w:space="0" w:color="000000"/>
              <w:right w:val="none" w:sz="0" w:space="0" w:color="000000"/>
            </w:tcBorders>
            <w:vAlign w:val="center"/>
          </w:tcPr>
          <w:p w14:paraId="712B4F0B" w14:textId="77777777" w:rsidR="0067454D" w:rsidRDefault="00000000">
            <w:pPr>
              <w:spacing w:before="60" w:after="60" w:line="288" w:lineRule="auto"/>
              <w:jc w:val="center"/>
            </w:pPr>
            <w:r>
              <w:rPr>
                <w:rFonts w:ascii="宋体" w:eastAsia="宋体" w:hAnsi="宋体"/>
                <w:b/>
                <w:color w:val="111111"/>
                <w:sz w:val="20"/>
              </w:rPr>
              <w:t>最大值</w:t>
            </w:r>
          </w:p>
        </w:tc>
        <w:tc>
          <w:tcPr>
            <w:tcW w:w="1134" w:type="dxa"/>
            <w:tcBorders>
              <w:top w:val="single" w:sz="12" w:space="0" w:color="000000"/>
              <w:left w:val="none" w:sz="0" w:space="0" w:color="000000"/>
              <w:bottom w:val="single" w:sz="6" w:space="0" w:color="000000"/>
              <w:right w:val="none" w:sz="0" w:space="0" w:color="000000"/>
            </w:tcBorders>
            <w:vAlign w:val="center"/>
          </w:tcPr>
          <w:p w14:paraId="258441F9" w14:textId="77777777" w:rsidR="0067454D" w:rsidRDefault="00000000">
            <w:pPr>
              <w:spacing w:before="60" w:after="60" w:line="288" w:lineRule="auto"/>
              <w:jc w:val="center"/>
            </w:pPr>
            <w:r>
              <w:rPr>
                <w:rFonts w:ascii="宋体" w:eastAsia="宋体" w:hAnsi="宋体"/>
                <w:b/>
                <w:color w:val="111111"/>
                <w:sz w:val="20"/>
              </w:rPr>
              <w:t>占总排放（%）</w:t>
            </w:r>
          </w:p>
        </w:tc>
        <w:tc>
          <w:tcPr>
            <w:tcW w:w="1984" w:type="dxa"/>
            <w:tcBorders>
              <w:top w:val="single" w:sz="12" w:space="0" w:color="000000"/>
              <w:left w:val="none" w:sz="0" w:space="0" w:color="000000"/>
              <w:bottom w:val="single" w:sz="6" w:space="0" w:color="000000"/>
              <w:right w:val="none" w:sz="0" w:space="0" w:color="000000"/>
            </w:tcBorders>
            <w:vAlign w:val="center"/>
          </w:tcPr>
          <w:p w14:paraId="5DE3B35D" w14:textId="77777777" w:rsidR="0067454D" w:rsidRDefault="00000000">
            <w:pPr>
              <w:spacing w:before="60" w:after="60" w:line="288" w:lineRule="auto"/>
              <w:jc w:val="center"/>
            </w:pPr>
            <w:r>
              <w:rPr>
                <w:rFonts w:ascii="宋体" w:eastAsia="宋体" w:hAnsi="宋体"/>
                <w:b/>
                <w:color w:val="111111"/>
                <w:sz w:val="20"/>
              </w:rPr>
              <w:t>数据来源</w:t>
            </w:r>
          </w:p>
        </w:tc>
      </w:tr>
      <w:tr w:rsidR="0067454D" w14:paraId="778D4E53"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50591CA1" w14:textId="77777777" w:rsidR="0067454D" w:rsidRDefault="00000000">
            <w:pPr>
              <w:spacing w:before="60" w:after="60" w:line="288" w:lineRule="auto"/>
              <w:jc w:val="center"/>
            </w:pPr>
            <w:r>
              <w:rPr>
                <w:rFonts w:ascii="宋体" w:eastAsia="宋体" w:hAnsi="宋体"/>
                <w:color w:val="111111"/>
                <w:sz w:val="19"/>
              </w:rPr>
              <w:t>总运营成本（万元）</w:t>
            </w:r>
          </w:p>
        </w:tc>
        <w:tc>
          <w:tcPr>
            <w:tcW w:w="794" w:type="dxa"/>
            <w:tcBorders>
              <w:top w:val="none" w:sz="0" w:space="0" w:color="000000"/>
              <w:left w:val="none" w:sz="0" w:space="0" w:color="000000"/>
              <w:bottom w:val="none" w:sz="0" w:space="0" w:color="000000"/>
              <w:right w:val="none" w:sz="0" w:space="0" w:color="000000"/>
            </w:tcBorders>
            <w:vAlign w:val="center"/>
          </w:tcPr>
          <w:p w14:paraId="05AC2A27" w14:textId="77777777" w:rsidR="0067454D" w:rsidRDefault="00000000">
            <w:pPr>
              <w:spacing w:before="60" w:after="60" w:line="288" w:lineRule="auto"/>
              <w:jc w:val="center"/>
            </w:pPr>
            <w:r>
              <w:rPr>
                <w:rFonts w:ascii="宋体" w:eastAsia="宋体" w:hAnsi="宋体"/>
                <w:color w:val="111111"/>
                <w:sz w:val="19"/>
              </w:rPr>
              <w:t>847.6</w:t>
            </w:r>
          </w:p>
        </w:tc>
        <w:tc>
          <w:tcPr>
            <w:tcW w:w="794" w:type="dxa"/>
            <w:tcBorders>
              <w:top w:val="none" w:sz="0" w:space="0" w:color="000000"/>
              <w:left w:val="none" w:sz="0" w:space="0" w:color="000000"/>
              <w:bottom w:val="none" w:sz="0" w:space="0" w:color="000000"/>
              <w:right w:val="none" w:sz="0" w:space="0" w:color="000000"/>
            </w:tcBorders>
            <w:vAlign w:val="center"/>
          </w:tcPr>
          <w:p w14:paraId="38D9CF98" w14:textId="77777777" w:rsidR="0067454D" w:rsidRDefault="00000000">
            <w:pPr>
              <w:spacing w:before="60" w:after="60" w:line="288" w:lineRule="auto"/>
              <w:jc w:val="center"/>
            </w:pPr>
            <w:r>
              <w:rPr>
                <w:rFonts w:ascii="宋体" w:eastAsia="宋体" w:hAnsi="宋体"/>
                <w:color w:val="111111"/>
                <w:sz w:val="19"/>
              </w:rPr>
              <w:t>62.3</w:t>
            </w:r>
          </w:p>
        </w:tc>
        <w:tc>
          <w:tcPr>
            <w:tcW w:w="907" w:type="dxa"/>
            <w:tcBorders>
              <w:top w:val="none" w:sz="0" w:space="0" w:color="000000"/>
              <w:left w:val="none" w:sz="0" w:space="0" w:color="000000"/>
              <w:bottom w:val="none" w:sz="0" w:space="0" w:color="000000"/>
              <w:right w:val="none" w:sz="0" w:space="0" w:color="000000"/>
            </w:tcBorders>
            <w:vAlign w:val="center"/>
          </w:tcPr>
          <w:p w14:paraId="16FDC141" w14:textId="77777777" w:rsidR="0067454D" w:rsidRDefault="00000000">
            <w:pPr>
              <w:spacing w:before="60" w:after="60" w:line="288" w:lineRule="auto"/>
              <w:jc w:val="center"/>
            </w:pPr>
            <w:r>
              <w:rPr>
                <w:rFonts w:ascii="宋体" w:eastAsia="宋体" w:hAnsi="宋体"/>
                <w:color w:val="111111"/>
                <w:sz w:val="19"/>
              </w:rPr>
              <w:t>721.4</w:t>
            </w:r>
          </w:p>
        </w:tc>
        <w:tc>
          <w:tcPr>
            <w:tcW w:w="907" w:type="dxa"/>
            <w:tcBorders>
              <w:top w:val="none" w:sz="0" w:space="0" w:color="000000"/>
              <w:left w:val="none" w:sz="0" w:space="0" w:color="000000"/>
              <w:bottom w:val="none" w:sz="0" w:space="0" w:color="000000"/>
              <w:right w:val="none" w:sz="0" w:space="0" w:color="000000"/>
            </w:tcBorders>
            <w:vAlign w:val="center"/>
          </w:tcPr>
          <w:p w14:paraId="1FEB9596" w14:textId="77777777" w:rsidR="0067454D" w:rsidRDefault="00000000">
            <w:pPr>
              <w:spacing w:before="60" w:after="60" w:line="288" w:lineRule="auto"/>
              <w:jc w:val="center"/>
            </w:pPr>
            <w:r>
              <w:rPr>
                <w:rFonts w:ascii="宋体" w:eastAsia="宋体" w:hAnsi="宋体"/>
                <w:color w:val="111111"/>
                <w:sz w:val="19"/>
              </w:rPr>
              <w:t>963.8</w:t>
            </w:r>
          </w:p>
        </w:tc>
        <w:tc>
          <w:tcPr>
            <w:tcW w:w="1134" w:type="dxa"/>
            <w:tcBorders>
              <w:top w:val="none" w:sz="0" w:space="0" w:color="000000"/>
              <w:left w:val="none" w:sz="0" w:space="0" w:color="000000"/>
              <w:bottom w:val="none" w:sz="0" w:space="0" w:color="000000"/>
              <w:right w:val="none" w:sz="0" w:space="0" w:color="000000"/>
            </w:tcBorders>
            <w:vAlign w:val="center"/>
          </w:tcPr>
          <w:p w14:paraId="2BD64D19" w14:textId="77777777" w:rsidR="0067454D" w:rsidRDefault="00000000">
            <w:pPr>
              <w:spacing w:before="60" w:after="60" w:line="288" w:lineRule="auto"/>
              <w:jc w:val="center"/>
            </w:pPr>
            <w:r>
              <w:rPr>
                <w:rFonts w:ascii="宋体" w:eastAsia="宋体" w:hAnsi="宋体"/>
                <w:color w:val="111111"/>
                <w:sz w:val="19"/>
              </w:rPr>
              <w:t>—</w:t>
            </w:r>
          </w:p>
        </w:tc>
        <w:tc>
          <w:tcPr>
            <w:tcW w:w="1984" w:type="dxa"/>
            <w:tcBorders>
              <w:top w:val="none" w:sz="0" w:space="0" w:color="000000"/>
              <w:left w:val="none" w:sz="0" w:space="0" w:color="000000"/>
              <w:bottom w:val="none" w:sz="0" w:space="0" w:color="000000"/>
              <w:right w:val="none" w:sz="0" w:space="0" w:color="000000"/>
            </w:tcBorders>
            <w:vAlign w:val="center"/>
          </w:tcPr>
          <w:p w14:paraId="575874FF" w14:textId="77777777" w:rsidR="0067454D" w:rsidRDefault="00000000">
            <w:pPr>
              <w:spacing w:before="60" w:after="60" w:line="288" w:lineRule="auto"/>
              <w:jc w:val="center"/>
            </w:pPr>
            <w:r>
              <w:rPr>
                <w:rFonts w:ascii="宋体" w:eastAsia="宋体" w:hAnsi="宋体"/>
                <w:color w:val="111111"/>
                <w:sz w:val="19"/>
              </w:rPr>
              <w:t>企业内部数据</w:t>
            </w:r>
          </w:p>
        </w:tc>
      </w:tr>
      <w:tr w:rsidR="0067454D" w14:paraId="09B82B95"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0302B161" w14:textId="77777777" w:rsidR="0067454D" w:rsidRDefault="00000000">
            <w:pPr>
              <w:spacing w:before="60" w:after="60" w:line="288" w:lineRule="auto"/>
              <w:jc w:val="center"/>
              <w:rPr>
                <w:lang w:eastAsia="zh-CN"/>
              </w:rPr>
            </w:pPr>
            <w:r>
              <w:rPr>
                <w:rFonts w:ascii="宋体" w:eastAsia="宋体" w:hAnsi="宋体"/>
                <w:color w:val="111111"/>
                <w:sz w:val="19"/>
                <w:lang w:eastAsia="zh-CN"/>
              </w:rPr>
              <w:t>总碳排放量（吨CO₂）</w:t>
            </w:r>
          </w:p>
        </w:tc>
        <w:tc>
          <w:tcPr>
            <w:tcW w:w="794" w:type="dxa"/>
            <w:tcBorders>
              <w:top w:val="none" w:sz="0" w:space="0" w:color="000000"/>
              <w:left w:val="none" w:sz="0" w:space="0" w:color="000000"/>
              <w:bottom w:val="none" w:sz="0" w:space="0" w:color="000000"/>
              <w:right w:val="none" w:sz="0" w:space="0" w:color="000000"/>
            </w:tcBorders>
            <w:vAlign w:val="center"/>
          </w:tcPr>
          <w:p w14:paraId="195B8705" w14:textId="77777777" w:rsidR="0067454D" w:rsidRDefault="00000000">
            <w:pPr>
              <w:spacing w:before="60" w:after="60" w:line="288" w:lineRule="auto"/>
              <w:jc w:val="center"/>
            </w:pPr>
            <w:r>
              <w:rPr>
                <w:rFonts w:ascii="宋体" w:eastAsia="宋体" w:hAnsi="宋体"/>
                <w:color w:val="111111"/>
                <w:sz w:val="19"/>
              </w:rPr>
              <w:t>1,243.8</w:t>
            </w:r>
          </w:p>
        </w:tc>
        <w:tc>
          <w:tcPr>
            <w:tcW w:w="794" w:type="dxa"/>
            <w:tcBorders>
              <w:top w:val="none" w:sz="0" w:space="0" w:color="000000"/>
              <w:left w:val="none" w:sz="0" w:space="0" w:color="000000"/>
              <w:bottom w:val="none" w:sz="0" w:space="0" w:color="000000"/>
              <w:right w:val="none" w:sz="0" w:space="0" w:color="000000"/>
            </w:tcBorders>
            <w:vAlign w:val="center"/>
          </w:tcPr>
          <w:p w14:paraId="675787CF" w14:textId="77777777" w:rsidR="0067454D" w:rsidRDefault="00000000">
            <w:pPr>
              <w:spacing w:before="60" w:after="60" w:line="288" w:lineRule="auto"/>
              <w:jc w:val="center"/>
            </w:pPr>
            <w:r>
              <w:rPr>
                <w:rFonts w:ascii="宋体" w:eastAsia="宋体" w:hAnsi="宋体"/>
                <w:color w:val="111111"/>
                <w:sz w:val="19"/>
              </w:rPr>
              <w:t>89.4</w:t>
            </w:r>
          </w:p>
        </w:tc>
        <w:tc>
          <w:tcPr>
            <w:tcW w:w="907" w:type="dxa"/>
            <w:tcBorders>
              <w:top w:val="none" w:sz="0" w:space="0" w:color="000000"/>
              <w:left w:val="none" w:sz="0" w:space="0" w:color="000000"/>
              <w:bottom w:val="none" w:sz="0" w:space="0" w:color="000000"/>
              <w:right w:val="none" w:sz="0" w:space="0" w:color="000000"/>
            </w:tcBorders>
            <w:vAlign w:val="center"/>
          </w:tcPr>
          <w:p w14:paraId="2401FB80" w14:textId="77777777" w:rsidR="0067454D" w:rsidRDefault="00000000">
            <w:pPr>
              <w:spacing w:before="60" w:after="60" w:line="288" w:lineRule="auto"/>
              <w:jc w:val="center"/>
            </w:pPr>
            <w:r>
              <w:rPr>
                <w:rFonts w:ascii="宋体" w:eastAsia="宋体" w:hAnsi="宋体"/>
                <w:color w:val="111111"/>
                <w:sz w:val="19"/>
              </w:rPr>
              <w:t>1,098.2</w:t>
            </w:r>
          </w:p>
        </w:tc>
        <w:tc>
          <w:tcPr>
            <w:tcW w:w="907" w:type="dxa"/>
            <w:tcBorders>
              <w:top w:val="none" w:sz="0" w:space="0" w:color="000000"/>
              <w:left w:val="none" w:sz="0" w:space="0" w:color="000000"/>
              <w:bottom w:val="none" w:sz="0" w:space="0" w:color="000000"/>
              <w:right w:val="none" w:sz="0" w:space="0" w:color="000000"/>
            </w:tcBorders>
            <w:vAlign w:val="center"/>
          </w:tcPr>
          <w:p w14:paraId="7B1A152B" w14:textId="77777777" w:rsidR="0067454D" w:rsidRDefault="00000000">
            <w:pPr>
              <w:spacing w:before="60" w:after="60" w:line="288" w:lineRule="auto"/>
              <w:jc w:val="center"/>
            </w:pPr>
            <w:r>
              <w:rPr>
                <w:rFonts w:ascii="宋体" w:eastAsia="宋体" w:hAnsi="宋体"/>
                <w:color w:val="111111"/>
                <w:sz w:val="19"/>
              </w:rPr>
              <w:t>1,412.5</w:t>
            </w:r>
          </w:p>
        </w:tc>
        <w:tc>
          <w:tcPr>
            <w:tcW w:w="1134" w:type="dxa"/>
            <w:tcBorders>
              <w:top w:val="none" w:sz="0" w:space="0" w:color="000000"/>
              <w:left w:val="none" w:sz="0" w:space="0" w:color="000000"/>
              <w:bottom w:val="none" w:sz="0" w:space="0" w:color="000000"/>
              <w:right w:val="none" w:sz="0" w:space="0" w:color="000000"/>
            </w:tcBorders>
            <w:vAlign w:val="center"/>
          </w:tcPr>
          <w:p w14:paraId="32AB1140" w14:textId="77777777" w:rsidR="0067454D" w:rsidRDefault="00000000">
            <w:pPr>
              <w:spacing w:before="60" w:after="60" w:line="288" w:lineRule="auto"/>
              <w:jc w:val="center"/>
            </w:pPr>
            <w:r>
              <w:rPr>
                <w:rFonts w:ascii="宋体" w:eastAsia="宋体" w:hAnsi="宋体"/>
                <w:color w:val="111111"/>
                <w:sz w:val="19"/>
              </w:rPr>
              <w:t>100.0</w:t>
            </w:r>
          </w:p>
        </w:tc>
        <w:tc>
          <w:tcPr>
            <w:tcW w:w="1984" w:type="dxa"/>
            <w:tcBorders>
              <w:top w:val="none" w:sz="0" w:space="0" w:color="000000"/>
              <w:left w:val="none" w:sz="0" w:space="0" w:color="000000"/>
              <w:bottom w:val="none" w:sz="0" w:space="0" w:color="000000"/>
              <w:right w:val="none" w:sz="0" w:space="0" w:color="000000"/>
            </w:tcBorders>
            <w:vAlign w:val="center"/>
          </w:tcPr>
          <w:p w14:paraId="67C19D30" w14:textId="77777777" w:rsidR="0067454D" w:rsidRDefault="00000000">
            <w:pPr>
              <w:spacing w:before="60" w:after="60" w:line="288" w:lineRule="auto"/>
              <w:jc w:val="center"/>
            </w:pPr>
            <w:r>
              <w:rPr>
                <w:rFonts w:ascii="宋体" w:eastAsia="宋体" w:hAnsi="宋体"/>
                <w:color w:val="111111"/>
                <w:sz w:val="19"/>
              </w:rPr>
              <w:t>计算值</w:t>
            </w:r>
          </w:p>
        </w:tc>
      </w:tr>
      <w:tr w:rsidR="0067454D" w14:paraId="1C2D646B"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796CB13E" w14:textId="77777777" w:rsidR="0067454D" w:rsidRDefault="00000000">
            <w:pPr>
              <w:spacing w:before="60" w:after="60" w:line="288" w:lineRule="auto"/>
              <w:jc w:val="center"/>
            </w:pPr>
            <w:r>
              <w:rPr>
                <w:rFonts w:ascii="宋体" w:eastAsia="宋体" w:hAnsi="宋体"/>
                <w:color w:val="111111"/>
                <w:sz w:val="19"/>
              </w:rPr>
              <w:t>采购运输排放（吨）</w:t>
            </w:r>
          </w:p>
        </w:tc>
        <w:tc>
          <w:tcPr>
            <w:tcW w:w="794" w:type="dxa"/>
            <w:tcBorders>
              <w:top w:val="none" w:sz="0" w:space="0" w:color="000000"/>
              <w:left w:val="none" w:sz="0" w:space="0" w:color="000000"/>
              <w:bottom w:val="none" w:sz="0" w:space="0" w:color="000000"/>
              <w:right w:val="none" w:sz="0" w:space="0" w:color="000000"/>
            </w:tcBorders>
            <w:vAlign w:val="center"/>
          </w:tcPr>
          <w:p w14:paraId="59D8879D" w14:textId="77777777" w:rsidR="0067454D" w:rsidRDefault="00000000">
            <w:pPr>
              <w:spacing w:before="60" w:after="60" w:line="288" w:lineRule="auto"/>
              <w:jc w:val="center"/>
            </w:pPr>
            <w:r>
              <w:rPr>
                <w:rFonts w:ascii="宋体" w:eastAsia="宋体" w:hAnsi="宋体"/>
                <w:color w:val="111111"/>
                <w:sz w:val="19"/>
              </w:rPr>
              <w:t>650.6</w:t>
            </w:r>
          </w:p>
        </w:tc>
        <w:tc>
          <w:tcPr>
            <w:tcW w:w="794" w:type="dxa"/>
            <w:tcBorders>
              <w:top w:val="none" w:sz="0" w:space="0" w:color="000000"/>
              <w:left w:val="none" w:sz="0" w:space="0" w:color="000000"/>
              <w:bottom w:val="none" w:sz="0" w:space="0" w:color="000000"/>
              <w:right w:val="none" w:sz="0" w:space="0" w:color="000000"/>
            </w:tcBorders>
            <w:vAlign w:val="center"/>
          </w:tcPr>
          <w:p w14:paraId="62D7880C" w14:textId="77777777" w:rsidR="0067454D" w:rsidRDefault="00000000">
            <w:pPr>
              <w:spacing w:before="60" w:after="60" w:line="288" w:lineRule="auto"/>
              <w:jc w:val="center"/>
            </w:pPr>
            <w:r>
              <w:rPr>
                <w:rFonts w:ascii="宋体" w:eastAsia="宋体" w:hAnsi="宋体"/>
                <w:color w:val="111111"/>
                <w:sz w:val="19"/>
              </w:rPr>
              <w:t>52.1</w:t>
            </w:r>
          </w:p>
        </w:tc>
        <w:tc>
          <w:tcPr>
            <w:tcW w:w="907" w:type="dxa"/>
            <w:tcBorders>
              <w:top w:val="none" w:sz="0" w:space="0" w:color="000000"/>
              <w:left w:val="none" w:sz="0" w:space="0" w:color="000000"/>
              <w:bottom w:val="none" w:sz="0" w:space="0" w:color="000000"/>
              <w:right w:val="none" w:sz="0" w:space="0" w:color="000000"/>
            </w:tcBorders>
            <w:vAlign w:val="center"/>
          </w:tcPr>
          <w:p w14:paraId="018B116D" w14:textId="77777777" w:rsidR="0067454D" w:rsidRDefault="00000000">
            <w:pPr>
              <w:spacing w:before="60" w:after="60" w:line="288" w:lineRule="auto"/>
              <w:jc w:val="center"/>
            </w:pPr>
            <w:r>
              <w:rPr>
                <w:rFonts w:ascii="宋体" w:eastAsia="宋体" w:hAnsi="宋体"/>
                <w:color w:val="111111"/>
                <w:sz w:val="19"/>
              </w:rPr>
              <w:t>571.6</w:t>
            </w:r>
          </w:p>
        </w:tc>
        <w:tc>
          <w:tcPr>
            <w:tcW w:w="907" w:type="dxa"/>
            <w:tcBorders>
              <w:top w:val="none" w:sz="0" w:space="0" w:color="000000"/>
              <w:left w:val="none" w:sz="0" w:space="0" w:color="000000"/>
              <w:bottom w:val="none" w:sz="0" w:space="0" w:color="000000"/>
              <w:right w:val="none" w:sz="0" w:space="0" w:color="000000"/>
            </w:tcBorders>
            <w:vAlign w:val="center"/>
          </w:tcPr>
          <w:p w14:paraId="4F2826A3" w14:textId="77777777" w:rsidR="0067454D" w:rsidRDefault="00000000">
            <w:pPr>
              <w:spacing w:before="60" w:after="60" w:line="288" w:lineRule="auto"/>
              <w:jc w:val="center"/>
            </w:pPr>
            <w:r>
              <w:rPr>
                <w:rFonts w:ascii="宋体" w:eastAsia="宋体" w:hAnsi="宋体"/>
                <w:color w:val="111111"/>
                <w:sz w:val="19"/>
              </w:rPr>
              <w:t>749.8</w:t>
            </w:r>
          </w:p>
        </w:tc>
        <w:tc>
          <w:tcPr>
            <w:tcW w:w="1134" w:type="dxa"/>
            <w:tcBorders>
              <w:top w:val="none" w:sz="0" w:space="0" w:color="000000"/>
              <w:left w:val="none" w:sz="0" w:space="0" w:color="000000"/>
              <w:bottom w:val="none" w:sz="0" w:space="0" w:color="000000"/>
              <w:right w:val="none" w:sz="0" w:space="0" w:color="000000"/>
            </w:tcBorders>
            <w:vAlign w:val="center"/>
          </w:tcPr>
          <w:p w14:paraId="525F2337" w14:textId="77777777" w:rsidR="0067454D" w:rsidRDefault="00000000">
            <w:pPr>
              <w:spacing w:before="60" w:after="60" w:line="288" w:lineRule="auto"/>
              <w:jc w:val="center"/>
            </w:pPr>
            <w:r>
              <w:rPr>
                <w:rFonts w:ascii="宋体" w:eastAsia="宋体" w:hAnsi="宋体"/>
                <w:color w:val="111111"/>
                <w:sz w:val="19"/>
              </w:rPr>
              <w:t>52.3</w:t>
            </w:r>
          </w:p>
        </w:tc>
        <w:tc>
          <w:tcPr>
            <w:tcW w:w="1984" w:type="dxa"/>
            <w:tcBorders>
              <w:top w:val="none" w:sz="0" w:space="0" w:color="000000"/>
              <w:left w:val="none" w:sz="0" w:space="0" w:color="000000"/>
              <w:bottom w:val="none" w:sz="0" w:space="0" w:color="000000"/>
              <w:right w:val="none" w:sz="0" w:space="0" w:color="000000"/>
            </w:tcBorders>
            <w:vAlign w:val="center"/>
          </w:tcPr>
          <w:p w14:paraId="26D6DEC8" w14:textId="77777777" w:rsidR="0067454D" w:rsidRDefault="00000000">
            <w:pPr>
              <w:spacing w:before="60" w:after="60" w:line="288" w:lineRule="auto"/>
              <w:jc w:val="center"/>
            </w:pPr>
            <w:r>
              <w:rPr>
                <w:rFonts w:ascii="宋体" w:eastAsia="宋体" w:hAnsi="宋体"/>
                <w:color w:val="111111"/>
                <w:sz w:val="19"/>
              </w:rPr>
              <w:t>GB/T 32150</w:t>
            </w:r>
          </w:p>
        </w:tc>
      </w:tr>
      <w:tr w:rsidR="0067454D" w14:paraId="4835227A"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14721479" w14:textId="77777777" w:rsidR="0067454D" w:rsidRDefault="00000000">
            <w:pPr>
              <w:spacing w:before="60" w:after="60" w:line="288" w:lineRule="auto"/>
              <w:jc w:val="center"/>
            </w:pPr>
            <w:r>
              <w:rPr>
                <w:rFonts w:ascii="宋体" w:eastAsia="宋体" w:hAnsi="宋体"/>
                <w:color w:val="111111"/>
                <w:sz w:val="19"/>
              </w:rPr>
              <w:t>生产排放（吨）</w:t>
            </w:r>
          </w:p>
        </w:tc>
        <w:tc>
          <w:tcPr>
            <w:tcW w:w="794" w:type="dxa"/>
            <w:tcBorders>
              <w:top w:val="none" w:sz="0" w:space="0" w:color="000000"/>
              <w:left w:val="none" w:sz="0" w:space="0" w:color="000000"/>
              <w:bottom w:val="none" w:sz="0" w:space="0" w:color="000000"/>
              <w:right w:val="none" w:sz="0" w:space="0" w:color="000000"/>
            </w:tcBorders>
            <w:vAlign w:val="center"/>
          </w:tcPr>
          <w:p w14:paraId="778810E3" w14:textId="77777777" w:rsidR="0067454D" w:rsidRDefault="00000000">
            <w:pPr>
              <w:spacing w:before="60" w:after="60" w:line="288" w:lineRule="auto"/>
              <w:jc w:val="center"/>
            </w:pPr>
            <w:r>
              <w:rPr>
                <w:rFonts w:ascii="宋体" w:eastAsia="宋体" w:hAnsi="宋体"/>
                <w:color w:val="111111"/>
                <w:sz w:val="19"/>
              </w:rPr>
              <w:t>390.6</w:t>
            </w:r>
          </w:p>
        </w:tc>
        <w:tc>
          <w:tcPr>
            <w:tcW w:w="794" w:type="dxa"/>
            <w:tcBorders>
              <w:top w:val="none" w:sz="0" w:space="0" w:color="000000"/>
              <w:left w:val="none" w:sz="0" w:space="0" w:color="000000"/>
              <w:bottom w:val="none" w:sz="0" w:space="0" w:color="000000"/>
              <w:right w:val="none" w:sz="0" w:space="0" w:color="000000"/>
            </w:tcBorders>
            <w:vAlign w:val="center"/>
          </w:tcPr>
          <w:p w14:paraId="39FCD7BD" w14:textId="77777777" w:rsidR="0067454D" w:rsidRDefault="00000000">
            <w:pPr>
              <w:spacing w:before="60" w:after="60" w:line="288" w:lineRule="auto"/>
              <w:jc w:val="center"/>
            </w:pPr>
            <w:r>
              <w:rPr>
                <w:rFonts w:ascii="宋体" w:eastAsia="宋体" w:hAnsi="宋体"/>
                <w:color w:val="111111"/>
                <w:sz w:val="19"/>
              </w:rPr>
              <w:t>38.7</w:t>
            </w:r>
          </w:p>
        </w:tc>
        <w:tc>
          <w:tcPr>
            <w:tcW w:w="907" w:type="dxa"/>
            <w:tcBorders>
              <w:top w:val="none" w:sz="0" w:space="0" w:color="000000"/>
              <w:left w:val="none" w:sz="0" w:space="0" w:color="000000"/>
              <w:bottom w:val="none" w:sz="0" w:space="0" w:color="000000"/>
              <w:right w:val="none" w:sz="0" w:space="0" w:color="000000"/>
            </w:tcBorders>
            <w:vAlign w:val="center"/>
          </w:tcPr>
          <w:p w14:paraId="33ED507E" w14:textId="77777777" w:rsidR="0067454D" w:rsidRDefault="00000000">
            <w:pPr>
              <w:spacing w:before="60" w:after="60" w:line="288" w:lineRule="auto"/>
              <w:jc w:val="center"/>
            </w:pPr>
            <w:r>
              <w:rPr>
                <w:rFonts w:ascii="宋体" w:eastAsia="宋体" w:hAnsi="宋体"/>
                <w:color w:val="111111"/>
                <w:sz w:val="19"/>
              </w:rPr>
              <w:t>335.2</w:t>
            </w:r>
          </w:p>
        </w:tc>
        <w:tc>
          <w:tcPr>
            <w:tcW w:w="907" w:type="dxa"/>
            <w:tcBorders>
              <w:top w:val="none" w:sz="0" w:space="0" w:color="000000"/>
              <w:left w:val="none" w:sz="0" w:space="0" w:color="000000"/>
              <w:bottom w:val="none" w:sz="0" w:space="0" w:color="000000"/>
              <w:right w:val="none" w:sz="0" w:space="0" w:color="000000"/>
            </w:tcBorders>
            <w:vAlign w:val="center"/>
          </w:tcPr>
          <w:p w14:paraId="3235BBA7" w14:textId="77777777" w:rsidR="0067454D" w:rsidRDefault="00000000">
            <w:pPr>
              <w:spacing w:before="60" w:after="60" w:line="288" w:lineRule="auto"/>
              <w:jc w:val="center"/>
            </w:pPr>
            <w:r>
              <w:rPr>
                <w:rFonts w:ascii="宋体" w:eastAsia="宋体" w:hAnsi="宋体"/>
                <w:color w:val="111111"/>
                <w:sz w:val="19"/>
              </w:rPr>
              <w:t>452.3</w:t>
            </w:r>
          </w:p>
        </w:tc>
        <w:tc>
          <w:tcPr>
            <w:tcW w:w="1134" w:type="dxa"/>
            <w:tcBorders>
              <w:top w:val="none" w:sz="0" w:space="0" w:color="000000"/>
              <w:left w:val="none" w:sz="0" w:space="0" w:color="000000"/>
              <w:bottom w:val="none" w:sz="0" w:space="0" w:color="000000"/>
              <w:right w:val="none" w:sz="0" w:space="0" w:color="000000"/>
            </w:tcBorders>
            <w:vAlign w:val="center"/>
          </w:tcPr>
          <w:p w14:paraId="526CD341" w14:textId="77777777" w:rsidR="0067454D" w:rsidRDefault="00000000">
            <w:pPr>
              <w:spacing w:before="60" w:after="60" w:line="288" w:lineRule="auto"/>
              <w:jc w:val="center"/>
            </w:pPr>
            <w:r>
              <w:rPr>
                <w:rFonts w:ascii="宋体" w:eastAsia="宋体" w:hAnsi="宋体"/>
                <w:color w:val="111111"/>
                <w:sz w:val="19"/>
              </w:rPr>
              <w:t>31.4</w:t>
            </w:r>
          </w:p>
        </w:tc>
        <w:tc>
          <w:tcPr>
            <w:tcW w:w="1984" w:type="dxa"/>
            <w:tcBorders>
              <w:top w:val="none" w:sz="0" w:space="0" w:color="000000"/>
              <w:left w:val="none" w:sz="0" w:space="0" w:color="000000"/>
              <w:bottom w:val="none" w:sz="0" w:space="0" w:color="000000"/>
              <w:right w:val="none" w:sz="0" w:space="0" w:color="000000"/>
            </w:tcBorders>
            <w:vAlign w:val="center"/>
          </w:tcPr>
          <w:p w14:paraId="33F1396F" w14:textId="77777777" w:rsidR="0067454D" w:rsidRDefault="00000000">
            <w:pPr>
              <w:spacing w:before="60" w:after="60" w:line="288" w:lineRule="auto"/>
              <w:jc w:val="center"/>
            </w:pPr>
            <w:r>
              <w:rPr>
                <w:rFonts w:ascii="宋体" w:eastAsia="宋体" w:hAnsi="宋体"/>
                <w:color w:val="111111"/>
                <w:sz w:val="19"/>
              </w:rPr>
              <w:t>电力因子0.5568[18]</w:t>
            </w:r>
          </w:p>
        </w:tc>
      </w:tr>
      <w:tr w:rsidR="0067454D" w14:paraId="3F770F56" w14:textId="77777777">
        <w:trPr>
          <w:jc w:val="center"/>
        </w:trPr>
        <w:tc>
          <w:tcPr>
            <w:tcW w:w="1701" w:type="dxa"/>
            <w:tcBorders>
              <w:top w:val="none" w:sz="0" w:space="0" w:color="000000"/>
              <w:left w:val="none" w:sz="0" w:space="0" w:color="000000"/>
              <w:bottom w:val="none" w:sz="0" w:space="0" w:color="000000"/>
              <w:right w:val="none" w:sz="0" w:space="0" w:color="000000"/>
            </w:tcBorders>
            <w:vAlign w:val="center"/>
          </w:tcPr>
          <w:p w14:paraId="39788347" w14:textId="77777777" w:rsidR="0067454D" w:rsidRDefault="00000000">
            <w:pPr>
              <w:spacing w:before="60" w:after="60" w:line="288" w:lineRule="auto"/>
              <w:jc w:val="center"/>
            </w:pPr>
            <w:r>
              <w:rPr>
                <w:rFonts w:ascii="宋体" w:eastAsia="宋体" w:hAnsi="宋体"/>
                <w:color w:val="111111"/>
                <w:sz w:val="19"/>
              </w:rPr>
              <w:t>仓储排放（吨）</w:t>
            </w:r>
          </w:p>
        </w:tc>
        <w:tc>
          <w:tcPr>
            <w:tcW w:w="794" w:type="dxa"/>
            <w:tcBorders>
              <w:top w:val="none" w:sz="0" w:space="0" w:color="000000"/>
              <w:left w:val="none" w:sz="0" w:space="0" w:color="000000"/>
              <w:bottom w:val="none" w:sz="0" w:space="0" w:color="000000"/>
              <w:right w:val="none" w:sz="0" w:space="0" w:color="000000"/>
            </w:tcBorders>
            <w:vAlign w:val="center"/>
          </w:tcPr>
          <w:p w14:paraId="5F511647" w14:textId="77777777" w:rsidR="0067454D" w:rsidRDefault="00000000">
            <w:pPr>
              <w:spacing w:before="60" w:after="60" w:line="288" w:lineRule="auto"/>
              <w:jc w:val="center"/>
            </w:pPr>
            <w:r>
              <w:rPr>
                <w:rFonts w:ascii="宋体" w:eastAsia="宋体" w:hAnsi="宋体"/>
                <w:color w:val="111111"/>
                <w:sz w:val="19"/>
              </w:rPr>
              <w:t>84.6</w:t>
            </w:r>
          </w:p>
        </w:tc>
        <w:tc>
          <w:tcPr>
            <w:tcW w:w="794" w:type="dxa"/>
            <w:tcBorders>
              <w:top w:val="none" w:sz="0" w:space="0" w:color="000000"/>
              <w:left w:val="none" w:sz="0" w:space="0" w:color="000000"/>
              <w:bottom w:val="none" w:sz="0" w:space="0" w:color="000000"/>
              <w:right w:val="none" w:sz="0" w:space="0" w:color="000000"/>
            </w:tcBorders>
            <w:vAlign w:val="center"/>
          </w:tcPr>
          <w:p w14:paraId="44D099AE" w14:textId="77777777" w:rsidR="0067454D" w:rsidRDefault="00000000">
            <w:pPr>
              <w:spacing w:before="60" w:after="60" w:line="288" w:lineRule="auto"/>
              <w:jc w:val="center"/>
            </w:pPr>
            <w:r>
              <w:rPr>
                <w:rFonts w:ascii="宋体" w:eastAsia="宋体" w:hAnsi="宋体"/>
                <w:color w:val="111111"/>
                <w:sz w:val="19"/>
              </w:rPr>
              <w:t>12.3</w:t>
            </w:r>
          </w:p>
        </w:tc>
        <w:tc>
          <w:tcPr>
            <w:tcW w:w="907" w:type="dxa"/>
            <w:tcBorders>
              <w:top w:val="none" w:sz="0" w:space="0" w:color="000000"/>
              <w:left w:val="none" w:sz="0" w:space="0" w:color="000000"/>
              <w:bottom w:val="none" w:sz="0" w:space="0" w:color="000000"/>
              <w:right w:val="none" w:sz="0" w:space="0" w:color="000000"/>
            </w:tcBorders>
            <w:vAlign w:val="center"/>
          </w:tcPr>
          <w:p w14:paraId="11A473AB" w14:textId="77777777" w:rsidR="0067454D" w:rsidRDefault="00000000">
            <w:pPr>
              <w:spacing w:before="60" w:after="60" w:line="288" w:lineRule="auto"/>
              <w:jc w:val="center"/>
            </w:pPr>
            <w:r>
              <w:rPr>
                <w:rFonts w:ascii="宋体" w:eastAsia="宋体" w:hAnsi="宋体"/>
                <w:color w:val="111111"/>
                <w:sz w:val="19"/>
              </w:rPr>
              <w:t>62.4</w:t>
            </w:r>
          </w:p>
        </w:tc>
        <w:tc>
          <w:tcPr>
            <w:tcW w:w="907" w:type="dxa"/>
            <w:tcBorders>
              <w:top w:val="none" w:sz="0" w:space="0" w:color="000000"/>
              <w:left w:val="none" w:sz="0" w:space="0" w:color="000000"/>
              <w:bottom w:val="none" w:sz="0" w:space="0" w:color="000000"/>
              <w:right w:val="none" w:sz="0" w:space="0" w:color="000000"/>
            </w:tcBorders>
            <w:vAlign w:val="center"/>
          </w:tcPr>
          <w:p w14:paraId="6CF61739" w14:textId="77777777" w:rsidR="0067454D" w:rsidRDefault="00000000">
            <w:pPr>
              <w:spacing w:before="60" w:after="60" w:line="288" w:lineRule="auto"/>
              <w:jc w:val="center"/>
            </w:pPr>
            <w:r>
              <w:rPr>
                <w:rFonts w:ascii="宋体" w:eastAsia="宋体" w:hAnsi="宋体"/>
                <w:color w:val="111111"/>
                <w:sz w:val="19"/>
              </w:rPr>
              <w:t>108.7</w:t>
            </w:r>
          </w:p>
        </w:tc>
        <w:tc>
          <w:tcPr>
            <w:tcW w:w="1134" w:type="dxa"/>
            <w:tcBorders>
              <w:top w:val="none" w:sz="0" w:space="0" w:color="000000"/>
              <w:left w:val="none" w:sz="0" w:space="0" w:color="000000"/>
              <w:bottom w:val="none" w:sz="0" w:space="0" w:color="000000"/>
              <w:right w:val="none" w:sz="0" w:space="0" w:color="000000"/>
            </w:tcBorders>
            <w:vAlign w:val="center"/>
          </w:tcPr>
          <w:p w14:paraId="37E5D713" w14:textId="77777777" w:rsidR="0067454D" w:rsidRDefault="00000000">
            <w:pPr>
              <w:spacing w:before="60" w:after="60" w:line="288" w:lineRule="auto"/>
              <w:jc w:val="center"/>
            </w:pPr>
            <w:r>
              <w:rPr>
                <w:rFonts w:ascii="宋体" w:eastAsia="宋体" w:hAnsi="宋体"/>
                <w:color w:val="111111"/>
                <w:sz w:val="19"/>
              </w:rPr>
              <w:t>6.8</w:t>
            </w:r>
          </w:p>
        </w:tc>
        <w:tc>
          <w:tcPr>
            <w:tcW w:w="1984" w:type="dxa"/>
            <w:tcBorders>
              <w:top w:val="none" w:sz="0" w:space="0" w:color="000000"/>
              <w:left w:val="none" w:sz="0" w:space="0" w:color="000000"/>
              <w:bottom w:val="none" w:sz="0" w:space="0" w:color="000000"/>
              <w:right w:val="none" w:sz="0" w:space="0" w:color="000000"/>
            </w:tcBorders>
            <w:vAlign w:val="center"/>
          </w:tcPr>
          <w:p w14:paraId="0778C700" w14:textId="77777777" w:rsidR="0067454D" w:rsidRDefault="00000000">
            <w:pPr>
              <w:spacing w:before="60" w:after="60" w:line="288" w:lineRule="auto"/>
              <w:jc w:val="center"/>
            </w:pPr>
            <w:r>
              <w:rPr>
                <w:rFonts w:ascii="宋体" w:eastAsia="宋体" w:hAnsi="宋体"/>
                <w:color w:val="111111"/>
                <w:sz w:val="19"/>
              </w:rPr>
              <w:t>GB/T 32150</w:t>
            </w:r>
          </w:p>
        </w:tc>
      </w:tr>
      <w:tr w:rsidR="0067454D" w14:paraId="66A7B7A9" w14:textId="77777777">
        <w:trPr>
          <w:jc w:val="center"/>
        </w:trPr>
        <w:tc>
          <w:tcPr>
            <w:tcW w:w="1701" w:type="dxa"/>
            <w:tcBorders>
              <w:top w:val="none" w:sz="0" w:space="0" w:color="000000"/>
              <w:left w:val="none" w:sz="0" w:space="0" w:color="000000"/>
              <w:bottom w:val="single" w:sz="12" w:space="0" w:color="000000"/>
              <w:right w:val="none" w:sz="0" w:space="0" w:color="000000"/>
            </w:tcBorders>
            <w:vAlign w:val="center"/>
          </w:tcPr>
          <w:p w14:paraId="559422E5" w14:textId="77777777" w:rsidR="0067454D" w:rsidRDefault="00000000">
            <w:pPr>
              <w:spacing w:before="60" w:after="60" w:line="288" w:lineRule="auto"/>
              <w:jc w:val="center"/>
            </w:pPr>
            <w:r>
              <w:rPr>
                <w:rFonts w:ascii="宋体" w:eastAsia="宋体" w:hAnsi="宋体"/>
                <w:color w:val="111111"/>
                <w:sz w:val="19"/>
              </w:rPr>
              <w:t>配送排放（吨）</w:t>
            </w:r>
          </w:p>
        </w:tc>
        <w:tc>
          <w:tcPr>
            <w:tcW w:w="794" w:type="dxa"/>
            <w:tcBorders>
              <w:top w:val="none" w:sz="0" w:space="0" w:color="000000"/>
              <w:left w:val="none" w:sz="0" w:space="0" w:color="000000"/>
              <w:bottom w:val="single" w:sz="12" w:space="0" w:color="000000"/>
              <w:right w:val="none" w:sz="0" w:space="0" w:color="000000"/>
            </w:tcBorders>
            <w:vAlign w:val="center"/>
          </w:tcPr>
          <w:p w14:paraId="2F0B7E10" w14:textId="77777777" w:rsidR="0067454D" w:rsidRDefault="00000000">
            <w:pPr>
              <w:spacing w:before="60" w:after="60" w:line="288" w:lineRule="auto"/>
              <w:jc w:val="center"/>
            </w:pPr>
            <w:r>
              <w:rPr>
                <w:rFonts w:ascii="宋体" w:eastAsia="宋体" w:hAnsi="宋体"/>
                <w:color w:val="111111"/>
                <w:sz w:val="19"/>
              </w:rPr>
              <w:t>118.1</w:t>
            </w:r>
          </w:p>
        </w:tc>
        <w:tc>
          <w:tcPr>
            <w:tcW w:w="794" w:type="dxa"/>
            <w:tcBorders>
              <w:top w:val="none" w:sz="0" w:space="0" w:color="000000"/>
              <w:left w:val="none" w:sz="0" w:space="0" w:color="000000"/>
              <w:bottom w:val="single" w:sz="12" w:space="0" w:color="000000"/>
              <w:right w:val="none" w:sz="0" w:space="0" w:color="000000"/>
            </w:tcBorders>
            <w:vAlign w:val="center"/>
          </w:tcPr>
          <w:p w14:paraId="66F0019A" w14:textId="77777777" w:rsidR="0067454D" w:rsidRDefault="00000000">
            <w:pPr>
              <w:spacing w:before="60" w:after="60" w:line="288" w:lineRule="auto"/>
              <w:jc w:val="center"/>
            </w:pPr>
            <w:r>
              <w:rPr>
                <w:rFonts w:ascii="宋体" w:eastAsia="宋体" w:hAnsi="宋体"/>
                <w:color w:val="111111"/>
                <w:sz w:val="19"/>
              </w:rPr>
              <w:t>15.8</w:t>
            </w:r>
          </w:p>
        </w:tc>
        <w:tc>
          <w:tcPr>
            <w:tcW w:w="907" w:type="dxa"/>
            <w:tcBorders>
              <w:top w:val="none" w:sz="0" w:space="0" w:color="000000"/>
              <w:left w:val="none" w:sz="0" w:space="0" w:color="000000"/>
              <w:bottom w:val="single" w:sz="12" w:space="0" w:color="000000"/>
              <w:right w:val="none" w:sz="0" w:space="0" w:color="000000"/>
            </w:tcBorders>
            <w:vAlign w:val="center"/>
          </w:tcPr>
          <w:p w14:paraId="207A7053" w14:textId="77777777" w:rsidR="0067454D" w:rsidRDefault="00000000">
            <w:pPr>
              <w:spacing w:before="60" w:after="60" w:line="288" w:lineRule="auto"/>
              <w:jc w:val="center"/>
            </w:pPr>
            <w:r>
              <w:rPr>
                <w:rFonts w:ascii="宋体" w:eastAsia="宋体" w:hAnsi="宋体"/>
                <w:color w:val="111111"/>
                <w:sz w:val="19"/>
              </w:rPr>
              <w:t>96.2</w:t>
            </w:r>
          </w:p>
        </w:tc>
        <w:tc>
          <w:tcPr>
            <w:tcW w:w="907" w:type="dxa"/>
            <w:tcBorders>
              <w:top w:val="none" w:sz="0" w:space="0" w:color="000000"/>
              <w:left w:val="none" w:sz="0" w:space="0" w:color="000000"/>
              <w:bottom w:val="single" w:sz="12" w:space="0" w:color="000000"/>
              <w:right w:val="none" w:sz="0" w:space="0" w:color="000000"/>
            </w:tcBorders>
            <w:vAlign w:val="center"/>
          </w:tcPr>
          <w:p w14:paraId="1433F1E7" w14:textId="77777777" w:rsidR="0067454D" w:rsidRDefault="00000000">
            <w:pPr>
              <w:spacing w:before="60" w:after="60" w:line="288" w:lineRule="auto"/>
              <w:jc w:val="center"/>
            </w:pPr>
            <w:r>
              <w:rPr>
                <w:rFonts w:ascii="宋体" w:eastAsia="宋体" w:hAnsi="宋体"/>
                <w:color w:val="111111"/>
                <w:sz w:val="19"/>
              </w:rPr>
              <w:t>143.5</w:t>
            </w:r>
          </w:p>
        </w:tc>
        <w:tc>
          <w:tcPr>
            <w:tcW w:w="1134" w:type="dxa"/>
            <w:tcBorders>
              <w:top w:val="none" w:sz="0" w:space="0" w:color="000000"/>
              <w:left w:val="none" w:sz="0" w:space="0" w:color="000000"/>
              <w:bottom w:val="single" w:sz="12" w:space="0" w:color="000000"/>
              <w:right w:val="none" w:sz="0" w:space="0" w:color="000000"/>
            </w:tcBorders>
            <w:vAlign w:val="center"/>
          </w:tcPr>
          <w:p w14:paraId="27D3E4EA" w14:textId="77777777" w:rsidR="0067454D" w:rsidRDefault="00000000">
            <w:pPr>
              <w:spacing w:before="60" w:after="60" w:line="288" w:lineRule="auto"/>
              <w:jc w:val="center"/>
            </w:pPr>
            <w:r>
              <w:rPr>
                <w:rFonts w:ascii="宋体" w:eastAsia="宋体" w:hAnsi="宋体"/>
                <w:color w:val="111111"/>
                <w:sz w:val="19"/>
              </w:rPr>
              <w:t>9.5</w:t>
            </w:r>
          </w:p>
        </w:tc>
        <w:tc>
          <w:tcPr>
            <w:tcW w:w="1984" w:type="dxa"/>
            <w:tcBorders>
              <w:top w:val="none" w:sz="0" w:space="0" w:color="000000"/>
              <w:left w:val="none" w:sz="0" w:space="0" w:color="000000"/>
              <w:bottom w:val="single" w:sz="12" w:space="0" w:color="000000"/>
              <w:right w:val="none" w:sz="0" w:space="0" w:color="000000"/>
            </w:tcBorders>
            <w:vAlign w:val="center"/>
          </w:tcPr>
          <w:p w14:paraId="0701AF1E" w14:textId="77777777" w:rsidR="0067454D" w:rsidRDefault="00000000">
            <w:pPr>
              <w:spacing w:before="60" w:after="60" w:line="288" w:lineRule="auto"/>
              <w:jc w:val="center"/>
            </w:pPr>
            <w:r>
              <w:rPr>
                <w:rFonts w:ascii="宋体" w:eastAsia="宋体" w:hAnsi="宋体"/>
                <w:color w:val="111111"/>
                <w:sz w:val="19"/>
              </w:rPr>
              <w:t>GB/T 32150</w:t>
            </w:r>
          </w:p>
        </w:tc>
      </w:tr>
    </w:tbl>
    <w:p w14:paraId="4B3DBD37" w14:textId="77777777" w:rsidR="0067454D" w:rsidRDefault="0067454D"/>
    <w:p w14:paraId="1A90B343" w14:textId="77777777" w:rsidR="0067454D" w:rsidRDefault="00000000">
      <w:pPr>
        <w:spacing w:after="120" w:line="288" w:lineRule="auto"/>
        <w:rPr>
          <w:lang w:eastAsia="zh-CN"/>
        </w:rPr>
      </w:pPr>
      <w:r>
        <w:rPr>
          <w:rFonts w:ascii="宋体" w:eastAsia="宋体" w:hAnsi="宋体"/>
          <w:b/>
          <w:color w:val="555555"/>
          <w:sz w:val="19"/>
          <w:lang w:eastAsia="zh-CN"/>
        </w:rPr>
        <w:t>注：</w:t>
      </w:r>
      <w:r>
        <w:rPr>
          <w:rFonts w:ascii="宋体" w:eastAsia="宋体" w:hAnsi="宋体"/>
          <w:i/>
          <w:color w:val="555555"/>
          <w:sz w:val="19"/>
          <w:lang w:eastAsia="zh-CN"/>
        </w:rPr>
        <w:t>碳排放系数来源标注于最右列；总碳排放量由式（2）计算；占比之和为100%（各环节相加）。</w:t>
      </w:r>
    </w:p>
    <w:p w14:paraId="3C39C15F" w14:textId="77777777" w:rsidR="0067454D" w:rsidRDefault="00000000">
      <w:pPr>
        <w:spacing w:before="60" w:after="60" w:line="360" w:lineRule="auto"/>
        <w:ind w:firstLine="419"/>
        <w:jc w:val="both"/>
      </w:pPr>
      <w:r>
        <w:rPr>
          <w:rFonts w:ascii="宋体" w:eastAsia="宋体" w:hAnsi="宋体"/>
          <w:color w:val="111111"/>
          <w:lang w:eastAsia="zh-CN"/>
        </w:rPr>
        <w:t>由表4可知：运输环节（采购运输52.3%+配送9.5%）合计贡献了总碳排放量的61.8%，是减排潜力最突出的关键环节；生产环节次之，占比为31.4%。上述分布特征与CEADs制造业分部门碳排放强度数据高度吻合[19]，为后续优化策略的聚焦方向提供了有力的数据支撑。</w:t>
      </w:r>
      <w:r>
        <w:rPr>
          <w:rFonts w:ascii="宋体" w:eastAsia="宋体" w:hAnsi="宋体"/>
          <w:color w:val="111111"/>
        </w:rPr>
        <w:t>碳排放分布及优化前后成本对比如图2所示。</w:t>
      </w:r>
    </w:p>
    <w:p w14:paraId="0EBC1D8D" w14:textId="77777777" w:rsidR="0067454D" w:rsidRDefault="00000000">
      <w:pPr>
        <w:spacing w:before="100" w:after="40" w:line="240" w:lineRule="auto"/>
        <w:jc w:val="center"/>
      </w:pPr>
      <w:r>
        <w:rPr>
          <w:noProof/>
        </w:rPr>
        <w:drawing>
          <wp:inline distT="0" distB="0" distL="0" distR="0" wp14:anchorId="49EAB3E1" wp14:editId="4C03A431">
            <wp:extent cx="5040000" cy="1913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mission_cost.png"/>
                    <pic:cNvPicPr/>
                  </pic:nvPicPr>
                  <pic:blipFill>
                    <a:blip r:embed="rId7"/>
                    <a:stretch>
                      <a:fillRect/>
                    </a:stretch>
                  </pic:blipFill>
                  <pic:spPr>
                    <a:xfrm>
                      <a:off x="0" y="0"/>
                      <a:ext cx="5040000" cy="1913072"/>
                    </a:xfrm>
                    <a:prstGeom prst="rect">
                      <a:avLst/>
                    </a:prstGeom>
                  </pic:spPr>
                </pic:pic>
              </a:graphicData>
            </a:graphic>
          </wp:inline>
        </w:drawing>
      </w:r>
    </w:p>
    <w:p w14:paraId="61C65B00" w14:textId="77777777" w:rsidR="0067454D" w:rsidRDefault="00000000">
      <w:pPr>
        <w:spacing w:before="40" w:line="288" w:lineRule="auto"/>
        <w:jc w:val="center"/>
        <w:rPr>
          <w:lang w:eastAsia="zh-CN"/>
        </w:rPr>
      </w:pPr>
      <w:r>
        <w:rPr>
          <w:rFonts w:ascii="宋体" w:eastAsia="宋体" w:hAnsi="宋体"/>
          <w:i/>
          <w:color w:val="555555"/>
          <w:sz w:val="20"/>
          <w:lang w:eastAsia="zh-CN"/>
        </w:rPr>
        <w:t>图2  供应链碳排放分布（左，基于GB/T 32150-2015）与优化前后成本结构对比（右，ETS价格68.15元/吨，2023年）</w:t>
      </w:r>
    </w:p>
    <w:p w14:paraId="119DF25C"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4.2  帕累托前沿求解结果</w:t>
      </w:r>
    </w:p>
    <w:p w14:paraId="7367615A"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采用AUGMECON（N=20，</w:t>
      </w:r>
      <w:r>
        <w:rPr>
          <w:rFonts w:ascii="宋体" w:eastAsia="宋体" w:hAnsi="宋体"/>
          <w:color w:val="111111"/>
        </w:rPr>
        <w:t>δ</w:t>
      </w:r>
      <w:r>
        <w:rPr>
          <w:rFonts w:ascii="宋体" w:eastAsia="宋体" w:hAnsi="宋体"/>
          <w:color w:val="111111"/>
          <w:lang w:eastAsia="zh-CN"/>
        </w:rPr>
        <w:t>=10⁻⁴，r₂=400,000）对三类碳政策约束下的双目标模型进行求解，各情景均生成21个均匀分布的帕累托前沿点。图3左图展示三条帕累托曲线及TOPSIS筛选的最优解位置，右图为四方案综合贴近度系数（Cᵢ）横向比较（含传统方法方案D对比基准）。各方案核心求解结果如表5所示。</w:t>
      </w:r>
    </w:p>
    <w:p w14:paraId="600EA0CC" w14:textId="77777777" w:rsidR="0067454D" w:rsidRDefault="00000000">
      <w:pPr>
        <w:spacing w:before="120" w:after="40" w:line="288" w:lineRule="auto"/>
        <w:jc w:val="center"/>
        <w:rPr>
          <w:lang w:eastAsia="zh-CN"/>
        </w:rPr>
      </w:pPr>
      <w:r>
        <w:rPr>
          <w:rFonts w:ascii="宋体" w:eastAsia="宋体" w:hAnsi="宋体"/>
          <w:b/>
          <w:color w:val="555555"/>
          <w:sz w:val="20"/>
          <w:lang w:eastAsia="zh-CN"/>
        </w:rPr>
        <w:t>表5  各方案核心求解结果汇总</w:t>
      </w:r>
    </w:p>
    <w:tbl>
      <w:tblPr>
        <w:tblStyle w:val="aff1"/>
        <w:tblW w:w="0" w:type="auto"/>
        <w:jc w:val="center"/>
        <w:tblLook w:val="04A0" w:firstRow="1" w:lastRow="0" w:firstColumn="1" w:lastColumn="0" w:noHBand="0" w:noVBand="1"/>
      </w:tblPr>
      <w:tblGrid>
        <w:gridCol w:w="2268"/>
        <w:gridCol w:w="1417"/>
        <w:gridCol w:w="1417"/>
        <w:gridCol w:w="1814"/>
        <w:gridCol w:w="1304"/>
      </w:tblGrid>
      <w:tr w:rsidR="0067454D" w14:paraId="54171442" w14:textId="77777777">
        <w:trPr>
          <w:jc w:val="center"/>
        </w:trPr>
        <w:tc>
          <w:tcPr>
            <w:tcW w:w="2268" w:type="dxa"/>
            <w:tcBorders>
              <w:top w:val="single" w:sz="12" w:space="0" w:color="000000"/>
              <w:left w:val="none" w:sz="0" w:space="0" w:color="000000"/>
              <w:bottom w:val="single" w:sz="6" w:space="0" w:color="000000"/>
              <w:right w:val="none" w:sz="0" w:space="0" w:color="000000"/>
            </w:tcBorders>
            <w:vAlign w:val="center"/>
          </w:tcPr>
          <w:p w14:paraId="2C3B898D" w14:textId="77777777" w:rsidR="0067454D" w:rsidRDefault="00000000">
            <w:pPr>
              <w:spacing w:before="60" w:after="60" w:line="288" w:lineRule="auto"/>
              <w:jc w:val="center"/>
            </w:pPr>
            <w:r>
              <w:rPr>
                <w:rFonts w:ascii="宋体" w:eastAsia="宋体" w:hAnsi="宋体"/>
                <w:b/>
                <w:color w:val="111111"/>
                <w:sz w:val="20"/>
              </w:rPr>
              <w:t>指标</w:t>
            </w:r>
          </w:p>
        </w:tc>
        <w:tc>
          <w:tcPr>
            <w:tcW w:w="1417" w:type="dxa"/>
            <w:tcBorders>
              <w:top w:val="single" w:sz="12" w:space="0" w:color="000000"/>
              <w:left w:val="none" w:sz="0" w:space="0" w:color="000000"/>
              <w:bottom w:val="single" w:sz="6" w:space="0" w:color="000000"/>
              <w:right w:val="none" w:sz="0" w:space="0" w:color="000000"/>
            </w:tcBorders>
            <w:vAlign w:val="center"/>
          </w:tcPr>
          <w:p w14:paraId="0318BF17" w14:textId="77777777" w:rsidR="0067454D" w:rsidRDefault="00000000">
            <w:pPr>
              <w:spacing w:before="60" w:after="60" w:line="288" w:lineRule="auto"/>
              <w:jc w:val="center"/>
            </w:pPr>
            <w:r>
              <w:rPr>
                <w:rFonts w:ascii="宋体" w:eastAsia="宋体" w:hAnsi="宋体"/>
                <w:b/>
                <w:color w:val="111111"/>
                <w:sz w:val="20"/>
              </w:rPr>
              <w:t>方案A</w:t>
            </w:r>
            <w:r>
              <w:rPr>
                <w:rFonts w:ascii="宋体" w:eastAsia="宋体" w:hAnsi="宋体"/>
                <w:b/>
                <w:color w:val="111111"/>
                <w:sz w:val="20"/>
              </w:rPr>
              <w:br/>
              <w:t>（碳限额）</w:t>
            </w:r>
          </w:p>
        </w:tc>
        <w:tc>
          <w:tcPr>
            <w:tcW w:w="1417" w:type="dxa"/>
            <w:tcBorders>
              <w:top w:val="single" w:sz="12" w:space="0" w:color="000000"/>
              <w:left w:val="none" w:sz="0" w:space="0" w:color="000000"/>
              <w:bottom w:val="single" w:sz="6" w:space="0" w:color="000000"/>
              <w:right w:val="none" w:sz="0" w:space="0" w:color="000000"/>
            </w:tcBorders>
            <w:vAlign w:val="center"/>
          </w:tcPr>
          <w:p w14:paraId="6767992A" w14:textId="77777777" w:rsidR="0067454D" w:rsidRDefault="00000000">
            <w:pPr>
              <w:spacing w:before="60" w:after="60" w:line="288" w:lineRule="auto"/>
              <w:jc w:val="center"/>
            </w:pPr>
            <w:r>
              <w:rPr>
                <w:rFonts w:ascii="宋体" w:eastAsia="宋体" w:hAnsi="宋体"/>
                <w:b/>
                <w:color w:val="111111"/>
                <w:sz w:val="20"/>
              </w:rPr>
              <w:t>方案B</w:t>
            </w:r>
            <w:r>
              <w:rPr>
                <w:rFonts w:ascii="宋体" w:eastAsia="宋体" w:hAnsi="宋体"/>
                <w:b/>
                <w:color w:val="111111"/>
                <w:sz w:val="20"/>
              </w:rPr>
              <w:br/>
              <w:t>（碳税）</w:t>
            </w:r>
          </w:p>
        </w:tc>
        <w:tc>
          <w:tcPr>
            <w:tcW w:w="1814" w:type="dxa"/>
            <w:tcBorders>
              <w:top w:val="single" w:sz="12" w:space="0" w:color="000000"/>
              <w:left w:val="none" w:sz="0" w:space="0" w:color="000000"/>
              <w:bottom w:val="single" w:sz="6" w:space="0" w:color="000000"/>
              <w:right w:val="none" w:sz="0" w:space="0" w:color="000000"/>
            </w:tcBorders>
            <w:vAlign w:val="center"/>
          </w:tcPr>
          <w:p w14:paraId="0C6BC8DD" w14:textId="77777777" w:rsidR="0067454D" w:rsidRDefault="00000000">
            <w:pPr>
              <w:spacing w:before="60" w:after="60" w:line="288" w:lineRule="auto"/>
              <w:jc w:val="center"/>
            </w:pPr>
            <w:r>
              <w:rPr>
                <w:rFonts w:ascii="宋体" w:eastAsia="宋体" w:hAnsi="宋体"/>
                <w:b/>
                <w:color w:val="111111"/>
                <w:sz w:val="20"/>
              </w:rPr>
              <w:t>方案C</w:t>
            </w:r>
            <w:r>
              <w:rPr>
                <w:rFonts w:ascii="宋体" w:eastAsia="宋体" w:hAnsi="宋体"/>
                <w:b/>
                <w:color w:val="111111"/>
                <w:sz w:val="20"/>
              </w:rPr>
              <w:br/>
              <w:t>（碳交易/ETS）</w:t>
            </w:r>
          </w:p>
        </w:tc>
        <w:tc>
          <w:tcPr>
            <w:tcW w:w="1304" w:type="dxa"/>
            <w:tcBorders>
              <w:top w:val="single" w:sz="12" w:space="0" w:color="000000"/>
              <w:left w:val="none" w:sz="0" w:space="0" w:color="000000"/>
              <w:bottom w:val="single" w:sz="6" w:space="0" w:color="000000"/>
              <w:right w:val="none" w:sz="0" w:space="0" w:color="000000"/>
            </w:tcBorders>
            <w:vAlign w:val="center"/>
          </w:tcPr>
          <w:p w14:paraId="1E058048" w14:textId="77777777" w:rsidR="0067454D" w:rsidRDefault="00000000">
            <w:pPr>
              <w:spacing w:before="60" w:after="60" w:line="288" w:lineRule="auto"/>
              <w:jc w:val="center"/>
            </w:pPr>
            <w:r>
              <w:rPr>
                <w:rFonts w:ascii="宋体" w:eastAsia="宋体" w:hAnsi="宋体"/>
                <w:b/>
                <w:color w:val="111111"/>
                <w:sz w:val="20"/>
              </w:rPr>
              <w:t>方案D</w:t>
            </w:r>
            <w:r>
              <w:rPr>
                <w:rFonts w:ascii="宋体" w:eastAsia="宋体" w:hAnsi="宋体"/>
                <w:b/>
                <w:color w:val="111111"/>
                <w:sz w:val="20"/>
              </w:rPr>
              <w:br/>
              <w:t>（传统法）</w:t>
            </w:r>
          </w:p>
        </w:tc>
      </w:tr>
      <w:tr w:rsidR="0067454D" w14:paraId="1FCCFB96" w14:textId="77777777">
        <w:trPr>
          <w:jc w:val="center"/>
        </w:trPr>
        <w:tc>
          <w:tcPr>
            <w:tcW w:w="2268" w:type="dxa"/>
            <w:tcBorders>
              <w:top w:val="none" w:sz="0" w:space="0" w:color="000000"/>
              <w:left w:val="none" w:sz="0" w:space="0" w:color="000000"/>
              <w:bottom w:val="none" w:sz="0" w:space="0" w:color="000000"/>
              <w:right w:val="none" w:sz="0" w:space="0" w:color="000000"/>
            </w:tcBorders>
            <w:vAlign w:val="center"/>
          </w:tcPr>
          <w:p w14:paraId="14711A78" w14:textId="77777777" w:rsidR="0067454D" w:rsidRDefault="00000000">
            <w:pPr>
              <w:spacing w:before="60" w:after="60" w:line="288" w:lineRule="auto"/>
              <w:jc w:val="center"/>
            </w:pPr>
            <w:r>
              <w:rPr>
                <w:rFonts w:ascii="宋体" w:eastAsia="宋体" w:hAnsi="宋体"/>
                <w:color w:val="111111"/>
                <w:sz w:val="19"/>
              </w:rPr>
              <w:t>TOPSIS最优解—总成本（万元）</w:t>
            </w:r>
          </w:p>
        </w:tc>
        <w:tc>
          <w:tcPr>
            <w:tcW w:w="1417" w:type="dxa"/>
            <w:tcBorders>
              <w:top w:val="none" w:sz="0" w:space="0" w:color="000000"/>
              <w:left w:val="none" w:sz="0" w:space="0" w:color="000000"/>
              <w:bottom w:val="none" w:sz="0" w:space="0" w:color="000000"/>
              <w:right w:val="none" w:sz="0" w:space="0" w:color="000000"/>
            </w:tcBorders>
            <w:vAlign w:val="center"/>
          </w:tcPr>
          <w:p w14:paraId="5211360C" w14:textId="77777777" w:rsidR="0067454D" w:rsidRDefault="00000000">
            <w:pPr>
              <w:spacing w:before="60" w:after="60" w:line="288" w:lineRule="auto"/>
              <w:jc w:val="center"/>
            </w:pPr>
            <w:r>
              <w:rPr>
                <w:rFonts w:ascii="宋体" w:eastAsia="宋体" w:hAnsi="宋体"/>
                <w:color w:val="111111"/>
                <w:sz w:val="19"/>
              </w:rPr>
              <w:t>826.1</w:t>
            </w:r>
          </w:p>
        </w:tc>
        <w:tc>
          <w:tcPr>
            <w:tcW w:w="1417" w:type="dxa"/>
            <w:tcBorders>
              <w:top w:val="none" w:sz="0" w:space="0" w:color="000000"/>
              <w:left w:val="none" w:sz="0" w:space="0" w:color="000000"/>
              <w:bottom w:val="none" w:sz="0" w:space="0" w:color="000000"/>
              <w:right w:val="none" w:sz="0" w:space="0" w:color="000000"/>
            </w:tcBorders>
            <w:vAlign w:val="center"/>
          </w:tcPr>
          <w:p w14:paraId="79535CFF" w14:textId="77777777" w:rsidR="0067454D" w:rsidRDefault="00000000">
            <w:pPr>
              <w:spacing w:before="60" w:after="60" w:line="288" w:lineRule="auto"/>
              <w:jc w:val="center"/>
            </w:pPr>
            <w:r>
              <w:rPr>
                <w:rFonts w:ascii="宋体" w:eastAsia="宋体" w:hAnsi="宋体"/>
                <w:color w:val="111111"/>
                <w:sz w:val="19"/>
              </w:rPr>
              <w:t>826.5</w:t>
            </w:r>
          </w:p>
        </w:tc>
        <w:tc>
          <w:tcPr>
            <w:tcW w:w="1814" w:type="dxa"/>
            <w:tcBorders>
              <w:top w:val="none" w:sz="0" w:space="0" w:color="000000"/>
              <w:left w:val="none" w:sz="0" w:space="0" w:color="000000"/>
              <w:bottom w:val="none" w:sz="0" w:space="0" w:color="000000"/>
              <w:right w:val="none" w:sz="0" w:space="0" w:color="000000"/>
            </w:tcBorders>
            <w:vAlign w:val="center"/>
          </w:tcPr>
          <w:p w14:paraId="0E239F65" w14:textId="77777777" w:rsidR="0067454D" w:rsidRDefault="00000000">
            <w:pPr>
              <w:spacing w:before="60" w:after="60" w:line="288" w:lineRule="auto"/>
              <w:jc w:val="center"/>
            </w:pPr>
            <w:r>
              <w:rPr>
                <w:rFonts w:ascii="宋体" w:eastAsia="宋体" w:hAnsi="宋体"/>
                <w:color w:val="111111"/>
                <w:sz w:val="19"/>
              </w:rPr>
              <w:t>799.6 ★</w:t>
            </w:r>
          </w:p>
        </w:tc>
        <w:tc>
          <w:tcPr>
            <w:tcW w:w="1304" w:type="dxa"/>
            <w:tcBorders>
              <w:top w:val="none" w:sz="0" w:space="0" w:color="000000"/>
              <w:left w:val="none" w:sz="0" w:space="0" w:color="000000"/>
              <w:bottom w:val="none" w:sz="0" w:space="0" w:color="000000"/>
              <w:right w:val="none" w:sz="0" w:space="0" w:color="000000"/>
            </w:tcBorders>
            <w:vAlign w:val="center"/>
          </w:tcPr>
          <w:p w14:paraId="07A6A9CE" w14:textId="77777777" w:rsidR="0067454D" w:rsidRDefault="00000000">
            <w:pPr>
              <w:spacing w:before="60" w:after="60" w:line="288" w:lineRule="auto"/>
              <w:jc w:val="center"/>
            </w:pPr>
            <w:r>
              <w:rPr>
                <w:rFonts w:ascii="宋体" w:eastAsia="宋体" w:hAnsi="宋体"/>
                <w:color w:val="111111"/>
                <w:sz w:val="19"/>
              </w:rPr>
              <w:t>831.6</w:t>
            </w:r>
          </w:p>
        </w:tc>
      </w:tr>
      <w:tr w:rsidR="0067454D" w14:paraId="73F6F7DC" w14:textId="77777777">
        <w:trPr>
          <w:jc w:val="center"/>
        </w:trPr>
        <w:tc>
          <w:tcPr>
            <w:tcW w:w="2268" w:type="dxa"/>
            <w:tcBorders>
              <w:top w:val="none" w:sz="0" w:space="0" w:color="000000"/>
              <w:left w:val="none" w:sz="0" w:space="0" w:color="000000"/>
              <w:bottom w:val="none" w:sz="0" w:space="0" w:color="000000"/>
              <w:right w:val="none" w:sz="0" w:space="0" w:color="000000"/>
            </w:tcBorders>
            <w:vAlign w:val="center"/>
          </w:tcPr>
          <w:p w14:paraId="15DC625E" w14:textId="77777777" w:rsidR="0067454D" w:rsidRDefault="00000000">
            <w:pPr>
              <w:spacing w:before="60" w:after="60" w:line="288" w:lineRule="auto"/>
              <w:jc w:val="center"/>
            </w:pPr>
            <w:r>
              <w:rPr>
                <w:rFonts w:ascii="宋体" w:eastAsia="宋体" w:hAnsi="宋体"/>
                <w:color w:val="111111"/>
                <w:sz w:val="19"/>
              </w:rPr>
              <w:t>TOPSIS最优解—碳排放（吨CO₂）</w:t>
            </w:r>
          </w:p>
        </w:tc>
        <w:tc>
          <w:tcPr>
            <w:tcW w:w="1417" w:type="dxa"/>
            <w:tcBorders>
              <w:top w:val="none" w:sz="0" w:space="0" w:color="000000"/>
              <w:left w:val="none" w:sz="0" w:space="0" w:color="000000"/>
              <w:bottom w:val="none" w:sz="0" w:space="0" w:color="000000"/>
              <w:right w:val="none" w:sz="0" w:space="0" w:color="000000"/>
            </w:tcBorders>
            <w:vAlign w:val="center"/>
          </w:tcPr>
          <w:p w14:paraId="42B65E74" w14:textId="77777777" w:rsidR="0067454D" w:rsidRDefault="00000000">
            <w:pPr>
              <w:spacing w:before="60" w:after="60" w:line="288" w:lineRule="auto"/>
              <w:jc w:val="center"/>
            </w:pPr>
            <w:r>
              <w:rPr>
                <w:rFonts w:ascii="宋体" w:eastAsia="宋体" w:hAnsi="宋体"/>
                <w:color w:val="111111"/>
                <w:sz w:val="19"/>
              </w:rPr>
              <w:t>1,052.2</w:t>
            </w:r>
          </w:p>
        </w:tc>
        <w:tc>
          <w:tcPr>
            <w:tcW w:w="1417" w:type="dxa"/>
            <w:tcBorders>
              <w:top w:val="none" w:sz="0" w:space="0" w:color="000000"/>
              <w:left w:val="none" w:sz="0" w:space="0" w:color="000000"/>
              <w:bottom w:val="none" w:sz="0" w:space="0" w:color="000000"/>
              <w:right w:val="none" w:sz="0" w:space="0" w:color="000000"/>
            </w:tcBorders>
            <w:vAlign w:val="center"/>
          </w:tcPr>
          <w:p w14:paraId="69526BB8" w14:textId="77777777" w:rsidR="0067454D" w:rsidRDefault="00000000">
            <w:pPr>
              <w:spacing w:before="60" w:after="60" w:line="288" w:lineRule="auto"/>
              <w:jc w:val="center"/>
            </w:pPr>
            <w:r>
              <w:rPr>
                <w:rFonts w:ascii="宋体" w:eastAsia="宋体" w:hAnsi="宋体"/>
                <w:color w:val="111111"/>
                <w:sz w:val="19"/>
              </w:rPr>
              <w:t>1,021.2</w:t>
            </w:r>
          </w:p>
        </w:tc>
        <w:tc>
          <w:tcPr>
            <w:tcW w:w="1814" w:type="dxa"/>
            <w:tcBorders>
              <w:top w:val="none" w:sz="0" w:space="0" w:color="000000"/>
              <w:left w:val="none" w:sz="0" w:space="0" w:color="000000"/>
              <w:bottom w:val="none" w:sz="0" w:space="0" w:color="000000"/>
              <w:right w:val="none" w:sz="0" w:space="0" w:color="000000"/>
            </w:tcBorders>
            <w:vAlign w:val="center"/>
          </w:tcPr>
          <w:p w14:paraId="19FB5B0C" w14:textId="77777777" w:rsidR="0067454D" w:rsidRDefault="00000000">
            <w:pPr>
              <w:spacing w:before="60" w:after="60" w:line="288" w:lineRule="auto"/>
              <w:jc w:val="center"/>
            </w:pPr>
            <w:r>
              <w:rPr>
                <w:rFonts w:ascii="宋体" w:eastAsia="宋体" w:hAnsi="宋体"/>
                <w:color w:val="111111"/>
                <w:sz w:val="19"/>
              </w:rPr>
              <w:t>1,021.6</w:t>
            </w:r>
          </w:p>
        </w:tc>
        <w:tc>
          <w:tcPr>
            <w:tcW w:w="1304" w:type="dxa"/>
            <w:tcBorders>
              <w:top w:val="none" w:sz="0" w:space="0" w:color="000000"/>
              <w:left w:val="none" w:sz="0" w:space="0" w:color="000000"/>
              <w:bottom w:val="none" w:sz="0" w:space="0" w:color="000000"/>
              <w:right w:val="none" w:sz="0" w:space="0" w:color="000000"/>
            </w:tcBorders>
            <w:vAlign w:val="center"/>
          </w:tcPr>
          <w:p w14:paraId="5AE08FBC" w14:textId="77777777" w:rsidR="0067454D" w:rsidRDefault="00000000">
            <w:pPr>
              <w:spacing w:before="60" w:after="60" w:line="288" w:lineRule="auto"/>
              <w:jc w:val="center"/>
            </w:pPr>
            <w:r>
              <w:rPr>
                <w:rFonts w:ascii="宋体" w:eastAsia="宋体" w:hAnsi="宋体"/>
                <w:color w:val="111111"/>
                <w:sz w:val="19"/>
              </w:rPr>
              <w:t>1,087.4</w:t>
            </w:r>
          </w:p>
        </w:tc>
      </w:tr>
      <w:tr w:rsidR="0067454D" w14:paraId="56CCE168" w14:textId="77777777">
        <w:trPr>
          <w:jc w:val="center"/>
        </w:trPr>
        <w:tc>
          <w:tcPr>
            <w:tcW w:w="2268" w:type="dxa"/>
            <w:tcBorders>
              <w:top w:val="none" w:sz="0" w:space="0" w:color="000000"/>
              <w:left w:val="none" w:sz="0" w:space="0" w:color="000000"/>
              <w:bottom w:val="none" w:sz="0" w:space="0" w:color="000000"/>
              <w:right w:val="none" w:sz="0" w:space="0" w:color="000000"/>
            </w:tcBorders>
            <w:vAlign w:val="center"/>
          </w:tcPr>
          <w:p w14:paraId="648FA795" w14:textId="77777777" w:rsidR="0067454D" w:rsidRDefault="00000000">
            <w:pPr>
              <w:spacing w:before="60" w:after="60" w:line="288" w:lineRule="auto"/>
              <w:jc w:val="center"/>
            </w:pPr>
            <w:r>
              <w:rPr>
                <w:rFonts w:ascii="宋体" w:eastAsia="宋体" w:hAnsi="宋体"/>
                <w:color w:val="111111"/>
                <w:sz w:val="19"/>
              </w:rPr>
              <w:t>TOPSIS综合贴近度 Cᵢ</w:t>
            </w:r>
          </w:p>
        </w:tc>
        <w:tc>
          <w:tcPr>
            <w:tcW w:w="1417" w:type="dxa"/>
            <w:tcBorders>
              <w:top w:val="none" w:sz="0" w:space="0" w:color="000000"/>
              <w:left w:val="none" w:sz="0" w:space="0" w:color="000000"/>
              <w:bottom w:val="none" w:sz="0" w:space="0" w:color="000000"/>
              <w:right w:val="none" w:sz="0" w:space="0" w:color="000000"/>
            </w:tcBorders>
            <w:vAlign w:val="center"/>
          </w:tcPr>
          <w:p w14:paraId="761CF849" w14:textId="77777777" w:rsidR="0067454D" w:rsidRDefault="00000000">
            <w:pPr>
              <w:spacing w:before="60" w:after="60" w:line="288" w:lineRule="auto"/>
              <w:jc w:val="center"/>
            </w:pPr>
            <w:r>
              <w:rPr>
                <w:rFonts w:ascii="宋体" w:eastAsia="宋体" w:hAnsi="宋体"/>
                <w:color w:val="111111"/>
                <w:sz w:val="19"/>
              </w:rPr>
              <w:t>0.773</w:t>
            </w:r>
          </w:p>
        </w:tc>
        <w:tc>
          <w:tcPr>
            <w:tcW w:w="1417" w:type="dxa"/>
            <w:tcBorders>
              <w:top w:val="none" w:sz="0" w:space="0" w:color="000000"/>
              <w:left w:val="none" w:sz="0" w:space="0" w:color="000000"/>
              <w:bottom w:val="none" w:sz="0" w:space="0" w:color="000000"/>
              <w:right w:val="none" w:sz="0" w:space="0" w:color="000000"/>
            </w:tcBorders>
            <w:vAlign w:val="center"/>
          </w:tcPr>
          <w:p w14:paraId="506DFDB5" w14:textId="77777777" w:rsidR="0067454D" w:rsidRDefault="00000000">
            <w:pPr>
              <w:spacing w:before="60" w:after="60" w:line="288" w:lineRule="auto"/>
              <w:jc w:val="center"/>
            </w:pPr>
            <w:r>
              <w:rPr>
                <w:rFonts w:ascii="宋体" w:eastAsia="宋体" w:hAnsi="宋体"/>
                <w:color w:val="111111"/>
                <w:sz w:val="19"/>
              </w:rPr>
              <w:t>0.776</w:t>
            </w:r>
          </w:p>
        </w:tc>
        <w:tc>
          <w:tcPr>
            <w:tcW w:w="1814" w:type="dxa"/>
            <w:tcBorders>
              <w:top w:val="none" w:sz="0" w:space="0" w:color="000000"/>
              <w:left w:val="none" w:sz="0" w:space="0" w:color="000000"/>
              <w:bottom w:val="none" w:sz="0" w:space="0" w:color="000000"/>
              <w:right w:val="none" w:sz="0" w:space="0" w:color="000000"/>
            </w:tcBorders>
            <w:vAlign w:val="center"/>
          </w:tcPr>
          <w:p w14:paraId="26AAE5E4" w14:textId="77777777" w:rsidR="0067454D" w:rsidRDefault="00000000">
            <w:pPr>
              <w:spacing w:before="60" w:after="60" w:line="288" w:lineRule="auto"/>
              <w:jc w:val="center"/>
            </w:pPr>
            <w:r>
              <w:rPr>
                <w:rFonts w:ascii="宋体" w:eastAsia="宋体" w:hAnsi="宋体"/>
                <w:color w:val="111111"/>
                <w:sz w:val="19"/>
              </w:rPr>
              <w:t>0.792 ★</w:t>
            </w:r>
          </w:p>
        </w:tc>
        <w:tc>
          <w:tcPr>
            <w:tcW w:w="1304" w:type="dxa"/>
            <w:tcBorders>
              <w:top w:val="none" w:sz="0" w:space="0" w:color="000000"/>
              <w:left w:val="none" w:sz="0" w:space="0" w:color="000000"/>
              <w:bottom w:val="none" w:sz="0" w:space="0" w:color="000000"/>
              <w:right w:val="none" w:sz="0" w:space="0" w:color="000000"/>
            </w:tcBorders>
            <w:vAlign w:val="center"/>
          </w:tcPr>
          <w:p w14:paraId="05422D34" w14:textId="77777777" w:rsidR="0067454D" w:rsidRDefault="00000000">
            <w:pPr>
              <w:spacing w:before="60" w:after="60" w:line="288" w:lineRule="auto"/>
              <w:jc w:val="center"/>
            </w:pPr>
            <w:r>
              <w:rPr>
                <w:rFonts w:ascii="宋体" w:eastAsia="宋体" w:hAnsi="宋体"/>
                <w:color w:val="111111"/>
                <w:sz w:val="19"/>
              </w:rPr>
              <w:t>0.583</w:t>
            </w:r>
          </w:p>
        </w:tc>
      </w:tr>
      <w:tr w:rsidR="0067454D" w14:paraId="2A0FD8E8" w14:textId="77777777">
        <w:trPr>
          <w:jc w:val="center"/>
        </w:trPr>
        <w:tc>
          <w:tcPr>
            <w:tcW w:w="2268" w:type="dxa"/>
            <w:tcBorders>
              <w:top w:val="none" w:sz="0" w:space="0" w:color="000000"/>
              <w:left w:val="none" w:sz="0" w:space="0" w:color="000000"/>
              <w:bottom w:val="none" w:sz="0" w:space="0" w:color="000000"/>
              <w:right w:val="none" w:sz="0" w:space="0" w:color="000000"/>
            </w:tcBorders>
            <w:vAlign w:val="center"/>
          </w:tcPr>
          <w:p w14:paraId="0CF0317E" w14:textId="77777777" w:rsidR="0067454D" w:rsidRDefault="00000000">
            <w:pPr>
              <w:spacing w:before="60" w:after="60" w:line="288" w:lineRule="auto"/>
              <w:jc w:val="center"/>
              <w:rPr>
                <w:lang w:eastAsia="zh-CN"/>
              </w:rPr>
            </w:pPr>
            <w:r>
              <w:rPr>
                <w:rFonts w:ascii="宋体" w:eastAsia="宋体" w:hAnsi="宋体"/>
                <w:color w:val="111111"/>
                <w:sz w:val="19"/>
                <w:lang w:eastAsia="zh-CN"/>
              </w:rPr>
              <w:t>相对基准成本降幅（%）</w:t>
            </w:r>
          </w:p>
        </w:tc>
        <w:tc>
          <w:tcPr>
            <w:tcW w:w="1417" w:type="dxa"/>
            <w:tcBorders>
              <w:top w:val="none" w:sz="0" w:space="0" w:color="000000"/>
              <w:left w:val="none" w:sz="0" w:space="0" w:color="000000"/>
              <w:bottom w:val="none" w:sz="0" w:space="0" w:color="000000"/>
              <w:right w:val="none" w:sz="0" w:space="0" w:color="000000"/>
            </w:tcBorders>
            <w:vAlign w:val="center"/>
          </w:tcPr>
          <w:p w14:paraId="75A77906" w14:textId="77777777" w:rsidR="0067454D" w:rsidRDefault="00000000">
            <w:pPr>
              <w:spacing w:before="60" w:after="60" w:line="288" w:lineRule="auto"/>
              <w:jc w:val="center"/>
            </w:pPr>
            <w:r>
              <w:rPr>
                <w:rFonts w:ascii="宋体" w:eastAsia="宋体" w:hAnsi="宋体"/>
                <w:color w:val="111111"/>
                <w:sz w:val="19"/>
              </w:rPr>
              <w:t>2.5%</w:t>
            </w:r>
          </w:p>
        </w:tc>
        <w:tc>
          <w:tcPr>
            <w:tcW w:w="1417" w:type="dxa"/>
            <w:tcBorders>
              <w:top w:val="none" w:sz="0" w:space="0" w:color="000000"/>
              <w:left w:val="none" w:sz="0" w:space="0" w:color="000000"/>
              <w:bottom w:val="none" w:sz="0" w:space="0" w:color="000000"/>
              <w:right w:val="none" w:sz="0" w:space="0" w:color="000000"/>
            </w:tcBorders>
            <w:vAlign w:val="center"/>
          </w:tcPr>
          <w:p w14:paraId="34DADB9C" w14:textId="77777777" w:rsidR="0067454D" w:rsidRDefault="00000000">
            <w:pPr>
              <w:spacing w:before="60" w:after="60" w:line="288" w:lineRule="auto"/>
              <w:jc w:val="center"/>
            </w:pPr>
            <w:r>
              <w:rPr>
                <w:rFonts w:ascii="宋体" w:eastAsia="宋体" w:hAnsi="宋体"/>
                <w:color w:val="111111"/>
                <w:sz w:val="19"/>
              </w:rPr>
              <w:t>2.5%</w:t>
            </w:r>
          </w:p>
        </w:tc>
        <w:tc>
          <w:tcPr>
            <w:tcW w:w="1814" w:type="dxa"/>
            <w:tcBorders>
              <w:top w:val="none" w:sz="0" w:space="0" w:color="000000"/>
              <w:left w:val="none" w:sz="0" w:space="0" w:color="000000"/>
              <w:bottom w:val="none" w:sz="0" w:space="0" w:color="000000"/>
              <w:right w:val="none" w:sz="0" w:space="0" w:color="000000"/>
            </w:tcBorders>
            <w:vAlign w:val="center"/>
          </w:tcPr>
          <w:p w14:paraId="4B27B009" w14:textId="77777777" w:rsidR="0067454D" w:rsidRDefault="00000000">
            <w:pPr>
              <w:spacing w:before="60" w:after="60" w:line="288" w:lineRule="auto"/>
              <w:jc w:val="center"/>
            </w:pPr>
            <w:r>
              <w:rPr>
                <w:rFonts w:ascii="宋体" w:eastAsia="宋体" w:hAnsi="宋体"/>
                <w:color w:val="111111"/>
                <w:sz w:val="19"/>
              </w:rPr>
              <w:t>5.6% ★</w:t>
            </w:r>
          </w:p>
        </w:tc>
        <w:tc>
          <w:tcPr>
            <w:tcW w:w="1304" w:type="dxa"/>
            <w:tcBorders>
              <w:top w:val="none" w:sz="0" w:space="0" w:color="000000"/>
              <w:left w:val="none" w:sz="0" w:space="0" w:color="000000"/>
              <w:bottom w:val="none" w:sz="0" w:space="0" w:color="000000"/>
              <w:right w:val="none" w:sz="0" w:space="0" w:color="000000"/>
            </w:tcBorders>
            <w:vAlign w:val="center"/>
          </w:tcPr>
          <w:p w14:paraId="4C99243B" w14:textId="77777777" w:rsidR="0067454D" w:rsidRDefault="00000000">
            <w:pPr>
              <w:spacing w:before="60" w:after="60" w:line="288" w:lineRule="auto"/>
              <w:jc w:val="center"/>
            </w:pPr>
            <w:r>
              <w:rPr>
                <w:rFonts w:ascii="宋体" w:eastAsia="宋体" w:hAnsi="宋体"/>
                <w:color w:val="111111"/>
                <w:sz w:val="19"/>
              </w:rPr>
              <w:t>1.9%</w:t>
            </w:r>
          </w:p>
        </w:tc>
      </w:tr>
      <w:tr w:rsidR="0067454D" w14:paraId="5440D48C" w14:textId="77777777">
        <w:trPr>
          <w:jc w:val="center"/>
        </w:trPr>
        <w:tc>
          <w:tcPr>
            <w:tcW w:w="2268" w:type="dxa"/>
            <w:tcBorders>
              <w:top w:val="none" w:sz="0" w:space="0" w:color="000000"/>
              <w:left w:val="none" w:sz="0" w:space="0" w:color="000000"/>
              <w:bottom w:val="none" w:sz="0" w:space="0" w:color="000000"/>
              <w:right w:val="none" w:sz="0" w:space="0" w:color="000000"/>
            </w:tcBorders>
            <w:vAlign w:val="center"/>
          </w:tcPr>
          <w:p w14:paraId="3D00FE38" w14:textId="77777777" w:rsidR="0067454D" w:rsidRDefault="00000000">
            <w:pPr>
              <w:spacing w:before="60" w:after="60" w:line="288" w:lineRule="auto"/>
              <w:jc w:val="center"/>
              <w:rPr>
                <w:lang w:eastAsia="zh-CN"/>
              </w:rPr>
            </w:pPr>
            <w:r>
              <w:rPr>
                <w:rFonts w:ascii="宋体" w:eastAsia="宋体" w:hAnsi="宋体"/>
                <w:color w:val="111111"/>
                <w:sz w:val="19"/>
                <w:lang w:eastAsia="zh-CN"/>
              </w:rPr>
              <w:t>相对基准碳排放降幅（%）</w:t>
            </w:r>
          </w:p>
        </w:tc>
        <w:tc>
          <w:tcPr>
            <w:tcW w:w="1417" w:type="dxa"/>
            <w:tcBorders>
              <w:top w:val="none" w:sz="0" w:space="0" w:color="000000"/>
              <w:left w:val="none" w:sz="0" w:space="0" w:color="000000"/>
              <w:bottom w:val="none" w:sz="0" w:space="0" w:color="000000"/>
              <w:right w:val="none" w:sz="0" w:space="0" w:color="000000"/>
            </w:tcBorders>
            <w:vAlign w:val="center"/>
          </w:tcPr>
          <w:p w14:paraId="6A257E30" w14:textId="77777777" w:rsidR="0067454D" w:rsidRDefault="00000000">
            <w:pPr>
              <w:spacing w:before="60" w:after="60" w:line="288" w:lineRule="auto"/>
              <w:jc w:val="center"/>
            </w:pPr>
            <w:r>
              <w:rPr>
                <w:rFonts w:ascii="宋体" w:eastAsia="宋体" w:hAnsi="宋体"/>
                <w:color w:val="111111"/>
                <w:sz w:val="19"/>
              </w:rPr>
              <w:t>15.4%</w:t>
            </w:r>
          </w:p>
        </w:tc>
        <w:tc>
          <w:tcPr>
            <w:tcW w:w="1417" w:type="dxa"/>
            <w:tcBorders>
              <w:top w:val="none" w:sz="0" w:space="0" w:color="000000"/>
              <w:left w:val="none" w:sz="0" w:space="0" w:color="000000"/>
              <w:bottom w:val="none" w:sz="0" w:space="0" w:color="000000"/>
              <w:right w:val="none" w:sz="0" w:space="0" w:color="000000"/>
            </w:tcBorders>
            <w:vAlign w:val="center"/>
          </w:tcPr>
          <w:p w14:paraId="3B66DB18" w14:textId="77777777" w:rsidR="0067454D" w:rsidRDefault="00000000">
            <w:pPr>
              <w:spacing w:before="60" w:after="60" w:line="288" w:lineRule="auto"/>
              <w:jc w:val="center"/>
            </w:pPr>
            <w:r>
              <w:rPr>
                <w:rFonts w:ascii="宋体" w:eastAsia="宋体" w:hAnsi="宋体"/>
                <w:color w:val="111111"/>
                <w:sz w:val="19"/>
              </w:rPr>
              <w:t>17.9% ★</w:t>
            </w:r>
          </w:p>
        </w:tc>
        <w:tc>
          <w:tcPr>
            <w:tcW w:w="1814" w:type="dxa"/>
            <w:tcBorders>
              <w:top w:val="none" w:sz="0" w:space="0" w:color="000000"/>
              <w:left w:val="none" w:sz="0" w:space="0" w:color="000000"/>
              <w:bottom w:val="none" w:sz="0" w:space="0" w:color="000000"/>
              <w:right w:val="none" w:sz="0" w:space="0" w:color="000000"/>
            </w:tcBorders>
            <w:vAlign w:val="center"/>
          </w:tcPr>
          <w:p w14:paraId="73EFF185" w14:textId="77777777" w:rsidR="0067454D" w:rsidRDefault="00000000">
            <w:pPr>
              <w:spacing w:before="60" w:after="60" w:line="288" w:lineRule="auto"/>
              <w:jc w:val="center"/>
            </w:pPr>
            <w:r>
              <w:rPr>
                <w:rFonts w:ascii="宋体" w:eastAsia="宋体" w:hAnsi="宋体"/>
                <w:color w:val="111111"/>
                <w:sz w:val="19"/>
              </w:rPr>
              <w:t>17.9% ★</w:t>
            </w:r>
          </w:p>
        </w:tc>
        <w:tc>
          <w:tcPr>
            <w:tcW w:w="1304" w:type="dxa"/>
            <w:tcBorders>
              <w:top w:val="none" w:sz="0" w:space="0" w:color="000000"/>
              <w:left w:val="none" w:sz="0" w:space="0" w:color="000000"/>
              <w:bottom w:val="none" w:sz="0" w:space="0" w:color="000000"/>
              <w:right w:val="none" w:sz="0" w:space="0" w:color="000000"/>
            </w:tcBorders>
            <w:vAlign w:val="center"/>
          </w:tcPr>
          <w:p w14:paraId="5711784C" w14:textId="77777777" w:rsidR="0067454D" w:rsidRDefault="00000000">
            <w:pPr>
              <w:spacing w:before="60" w:after="60" w:line="288" w:lineRule="auto"/>
              <w:jc w:val="center"/>
            </w:pPr>
            <w:r>
              <w:rPr>
                <w:rFonts w:ascii="宋体" w:eastAsia="宋体" w:hAnsi="宋体"/>
                <w:color w:val="111111"/>
                <w:sz w:val="19"/>
              </w:rPr>
              <w:t>12.6%</w:t>
            </w:r>
          </w:p>
        </w:tc>
      </w:tr>
      <w:tr w:rsidR="0067454D" w14:paraId="575B4E9F" w14:textId="77777777">
        <w:trPr>
          <w:jc w:val="center"/>
        </w:trPr>
        <w:tc>
          <w:tcPr>
            <w:tcW w:w="2268" w:type="dxa"/>
            <w:tcBorders>
              <w:top w:val="none" w:sz="0" w:space="0" w:color="000000"/>
              <w:left w:val="none" w:sz="0" w:space="0" w:color="000000"/>
              <w:bottom w:val="none" w:sz="0" w:space="0" w:color="000000"/>
              <w:right w:val="none" w:sz="0" w:space="0" w:color="000000"/>
            </w:tcBorders>
            <w:vAlign w:val="center"/>
          </w:tcPr>
          <w:p w14:paraId="5626F000" w14:textId="77777777" w:rsidR="0067454D" w:rsidRDefault="00000000">
            <w:pPr>
              <w:spacing w:before="60" w:after="60" w:line="288" w:lineRule="auto"/>
              <w:jc w:val="center"/>
            </w:pPr>
            <w:r>
              <w:rPr>
                <w:rFonts w:ascii="宋体" w:eastAsia="宋体" w:hAnsi="宋体"/>
                <w:color w:val="111111"/>
                <w:sz w:val="19"/>
              </w:rPr>
              <w:t>碳政策成本占比（%）</w:t>
            </w:r>
          </w:p>
        </w:tc>
        <w:tc>
          <w:tcPr>
            <w:tcW w:w="1417" w:type="dxa"/>
            <w:tcBorders>
              <w:top w:val="none" w:sz="0" w:space="0" w:color="000000"/>
              <w:left w:val="none" w:sz="0" w:space="0" w:color="000000"/>
              <w:bottom w:val="none" w:sz="0" w:space="0" w:color="000000"/>
              <w:right w:val="none" w:sz="0" w:space="0" w:color="000000"/>
            </w:tcBorders>
            <w:vAlign w:val="center"/>
          </w:tcPr>
          <w:p w14:paraId="2ED2147B" w14:textId="77777777" w:rsidR="0067454D" w:rsidRDefault="00000000">
            <w:pPr>
              <w:spacing w:before="60" w:after="60" w:line="288" w:lineRule="auto"/>
              <w:jc w:val="center"/>
            </w:pPr>
            <w:r>
              <w:rPr>
                <w:rFonts w:ascii="宋体" w:eastAsia="宋体" w:hAnsi="宋体"/>
                <w:color w:val="111111"/>
                <w:sz w:val="19"/>
              </w:rPr>
              <w:t>9.8%</w:t>
            </w:r>
          </w:p>
        </w:tc>
        <w:tc>
          <w:tcPr>
            <w:tcW w:w="1417" w:type="dxa"/>
            <w:tcBorders>
              <w:top w:val="none" w:sz="0" w:space="0" w:color="000000"/>
              <w:left w:val="none" w:sz="0" w:space="0" w:color="000000"/>
              <w:bottom w:val="none" w:sz="0" w:space="0" w:color="000000"/>
              <w:right w:val="none" w:sz="0" w:space="0" w:color="000000"/>
            </w:tcBorders>
            <w:vAlign w:val="center"/>
          </w:tcPr>
          <w:p w14:paraId="4C687C6A" w14:textId="77777777" w:rsidR="0067454D" w:rsidRDefault="00000000">
            <w:pPr>
              <w:spacing w:before="60" w:after="60" w:line="288" w:lineRule="auto"/>
              <w:jc w:val="center"/>
            </w:pPr>
            <w:r>
              <w:rPr>
                <w:rFonts w:ascii="宋体" w:eastAsia="宋体" w:hAnsi="宋体"/>
                <w:color w:val="111111"/>
                <w:sz w:val="19"/>
              </w:rPr>
              <w:t>9.2%</w:t>
            </w:r>
          </w:p>
        </w:tc>
        <w:tc>
          <w:tcPr>
            <w:tcW w:w="1814" w:type="dxa"/>
            <w:tcBorders>
              <w:top w:val="none" w:sz="0" w:space="0" w:color="000000"/>
              <w:left w:val="none" w:sz="0" w:space="0" w:color="000000"/>
              <w:bottom w:val="none" w:sz="0" w:space="0" w:color="000000"/>
              <w:right w:val="none" w:sz="0" w:space="0" w:color="000000"/>
            </w:tcBorders>
            <w:vAlign w:val="center"/>
          </w:tcPr>
          <w:p w14:paraId="5F79BE28" w14:textId="77777777" w:rsidR="0067454D" w:rsidRDefault="00000000">
            <w:pPr>
              <w:spacing w:before="60" w:after="60" w:line="288" w:lineRule="auto"/>
              <w:jc w:val="center"/>
            </w:pPr>
            <w:r>
              <w:rPr>
                <w:rFonts w:ascii="宋体" w:eastAsia="宋体" w:hAnsi="宋体"/>
                <w:color w:val="111111"/>
                <w:sz w:val="19"/>
              </w:rPr>
              <w:t>14.4%（含碳收益）</w:t>
            </w:r>
          </w:p>
        </w:tc>
        <w:tc>
          <w:tcPr>
            <w:tcW w:w="1304" w:type="dxa"/>
            <w:tcBorders>
              <w:top w:val="none" w:sz="0" w:space="0" w:color="000000"/>
              <w:left w:val="none" w:sz="0" w:space="0" w:color="000000"/>
              <w:bottom w:val="none" w:sz="0" w:space="0" w:color="000000"/>
              <w:right w:val="none" w:sz="0" w:space="0" w:color="000000"/>
            </w:tcBorders>
            <w:vAlign w:val="center"/>
          </w:tcPr>
          <w:p w14:paraId="5C80E197" w14:textId="77777777" w:rsidR="0067454D" w:rsidRDefault="00000000">
            <w:pPr>
              <w:spacing w:before="60" w:after="60" w:line="288" w:lineRule="auto"/>
              <w:jc w:val="center"/>
            </w:pPr>
            <w:r>
              <w:rPr>
                <w:rFonts w:ascii="宋体" w:eastAsia="宋体" w:hAnsi="宋体"/>
                <w:color w:val="111111"/>
                <w:sz w:val="19"/>
              </w:rPr>
              <w:t>9.8%</w:t>
            </w:r>
          </w:p>
        </w:tc>
      </w:tr>
      <w:tr w:rsidR="0067454D" w14:paraId="3746A7C4" w14:textId="77777777">
        <w:trPr>
          <w:jc w:val="center"/>
        </w:trPr>
        <w:tc>
          <w:tcPr>
            <w:tcW w:w="2268" w:type="dxa"/>
            <w:tcBorders>
              <w:top w:val="none" w:sz="0" w:space="0" w:color="000000"/>
              <w:left w:val="none" w:sz="0" w:space="0" w:color="000000"/>
              <w:bottom w:val="none" w:sz="0" w:space="0" w:color="000000"/>
              <w:right w:val="none" w:sz="0" w:space="0" w:color="000000"/>
            </w:tcBorders>
            <w:vAlign w:val="center"/>
          </w:tcPr>
          <w:p w14:paraId="64E411C3" w14:textId="77777777" w:rsidR="0067454D" w:rsidRDefault="00000000">
            <w:pPr>
              <w:spacing w:before="60" w:after="60" w:line="288" w:lineRule="auto"/>
              <w:jc w:val="center"/>
            </w:pPr>
            <w:r>
              <w:rPr>
                <w:rFonts w:ascii="宋体" w:eastAsia="宋体" w:hAnsi="宋体"/>
                <w:color w:val="111111"/>
                <w:sz w:val="19"/>
              </w:rPr>
              <w:t>帕累托解集数量</w:t>
            </w:r>
          </w:p>
        </w:tc>
        <w:tc>
          <w:tcPr>
            <w:tcW w:w="1417" w:type="dxa"/>
            <w:tcBorders>
              <w:top w:val="none" w:sz="0" w:space="0" w:color="000000"/>
              <w:left w:val="none" w:sz="0" w:space="0" w:color="000000"/>
              <w:bottom w:val="none" w:sz="0" w:space="0" w:color="000000"/>
              <w:right w:val="none" w:sz="0" w:space="0" w:color="000000"/>
            </w:tcBorders>
            <w:vAlign w:val="center"/>
          </w:tcPr>
          <w:p w14:paraId="1C8A442D" w14:textId="77777777" w:rsidR="0067454D" w:rsidRDefault="00000000">
            <w:pPr>
              <w:spacing w:before="60" w:after="60" w:line="288" w:lineRule="auto"/>
              <w:jc w:val="center"/>
            </w:pPr>
            <w:r>
              <w:rPr>
                <w:rFonts w:ascii="宋体" w:eastAsia="宋体" w:hAnsi="宋体"/>
                <w:color w:val="111111"/>
                <w:sz w:val="19"/>
              </w:rPr>
              <w:t>21</w:t>
            </w:r>
          </w:p>
        </w:tc>
        <w:tc>
          <w:tcPr>
            <w:tcW w:w="1417" w:type="dxa"/>
            <w:tcBorders>
              <w:top w:val="none" w:sz="0" w:space="0" w:color="000000"/>
              <w:left w:val="none" w:sz="0" w:space="0" w:color="000000"/>
              <w:bottom w:val="none" w:sz="0" w:space="0" w:color="000000"/>
              <w:right w:val="none" w:sz="0" w:space="0" w:color="000000"/>
            </w:tcBorders>
            <w:vAlign w:val="center"/>
          </w:tcPr>
          <w:p w14:paraId="7F66401F" w14:textId="77777777" w:rsidR="0067454D" w:rsidRDefault="00000000">
            <w:pPr>
              <w:spacing w:before="60" w:after="60" w:line="288" w:lineRule="auto"/>
              <w:jc w:val="center"/>
            </w:pPr>
            <w:r>
              <w:rPr>
                <w:rFonts w:ascii="宋体" w:eastAsia="宋体" w:hAnsi="宋体"/>
                <w:color w:val="111111"/>
                <w:sz w:val="19"/>
              </w:rPr>
              <w:t>21</w:t>
            </w:r>
          </w:p>
        </w:tc>
        <w:tc>
          <w:tcPr>
            <w:tcW w:w="1814" w:type="dxa"/>
            <w:tcBorders>
              <w:top w:val="none" w:sz="0" w:space="0" w:color="000000"/>
              <w:left w:val="none" w:sz="0" w:space="0" w:color="000000"/>
              <w:bottom w:val="none" w:sz="0" w:space="0" w:color="000000"/>
              <w:right w:val="none" w:sz="0" w:space="0" w:color="000000"/>
            </w:tcBorders>
            <w:vAlign w:val="center"/>
          </w:tcPr>
          <w:p w14:paraId="10B6D3EF" w14:textId="77777777" w:rsidR="0067454D" w:rsidRDefault="00000000">
            <w:pPr>
              <w:spacing w:before="60" w:after="60" w:line="288" w:lineRule="auto"/>
              <w:jc w:val="center"/>
            </w:pPr>
            <w:r>
              <w:rPr>
                <w:rFonts w:ascii="宋体" w:eastAsia="宋体" w:hAnsi="宋体"/>
                <w:color w:val="111111"/>
                <w:sz w:val="19"/>
              </w:rPr>
              <w:t>21</w:t>
            </w:r>
          </w:p>
        </w:tc>
        <w:tc>
          <w:tcPr>
            <w:tcW w:w="1304" w:type="dxa"/>
            <w:tcBorders>
              <w:top w:val="none" w:sz="0" w:space="0" w:color="000000"/>
              <w:left w:val="none" w:sz="0" w:space="0" w:color="000000"/>
              <w:bottom w:val="none" w:sz="0" w:space="0" w:color="000000"/>
              <w:right w:val="none" w:sz="0" w:space="0" w:color="000000"/>
            </w:tcBorders>
            <w:vAlign w:val="center"/>
          </w:tcPr>
          <w:p w14:paraId="50ED363D" w14:textId="77777777" w:rsidR="0067454D" w:rsidRDefault="00000000">
            <w:pPr>
              <w:spacing w:before="60" w:after="60" w:line="288" w:lineRule="auto"/>
              <w:jc w:val="center"/>
            </w:pPr>
            <w:r>
              <w:rPr>
                <w:rFonts w:ascii="宋体" w:eastAsia="宋体" w:hAnsi="宋体"/>
                <w:color w:val="111111"/>
                <w:sz w:val="19"/>
              </w:rPr>
              <w:t>1（唯一解）</w:t>
            </w:r>
          </w:p>
        </w:tc>
      </w:tr>
      <w:tr w:rsidR="0067454D" w14:paraId="78321C7E" w14:textId="77777777">
        <w:trPr>
          <w:jc w:val="center"/>
        </w:trPr>
        <w:tc>
          <w:tcPr>
            <w:tcW w:w="2268" w:type="dxa"/>
            <w:tcBorders>
              <w:top w:val="none" w:sz="0" w:space="0" w:color="000000"/>
              <w:left w:val="none" w:sz="0" w:space="0" w:color="000000"/>
              <w:bottom w:val="single" w:sz="12" w:space="0" w:color="000000"/>
              <w:right w:val="none" w:sz="0" w:space="0" w:color="000000"/>
            </w:tcBorders>
            <w:vAlign w:val="center"/>
          </w:tcPr>
          <w:p w14:paraId="2C9EC95F" w14:textId="77777777" w:rsidR="0067454D" w:rsidRDefault="00000000">
            <w:pPr>
              <w:spacing w:before="60" w:after="60" w:line="288" w:lineRule="auto"/>
              <w:jc w:val="center"/>
            </w:pPr>
            <w:r>
              <w:rPr>
                <w:rFonts w:ascii="宋体" w:eastAsia="宋体" w:hAnsi="宋体"/>
                <w:color w:val="111111"/>
                <w:sz w:val="19"/>
              </w:rPr>
              <w:t>平均求解耗时（秒）</w:t>
            </w:r>
          </w:p>
        </w:tc>
        <w:tc>
          <w:tcPr>
            <w:tcW w:w="1417" w:type="dxa"/>
            <w:tcBorders>
              <w:top w:val="none" w:sz="0" w:space="0" w:color="000000"/>
              <w:left w:val="none" w:sz="0" w:space="0" w:color="000000"/>
              <w:bottom w:val="single" w:sz="12" w:space="0" w:color="000000"/>
              <w:right w:val="none" w:sz="0" w:space="0" w:color="000000"/>
            </w:tcBorders>
            <w:vAlign w:val="center"/>
          </w:tcPr>
          <w:p w14:paraId="629FF9B5" w14:textId="77777777" w:rsidR="0067454D" w:rsidRDefault="00000000">
            <w:pPr>
              <w:spacing w:before="60" w:after="60" w:line="288" w:lineRule="auto"/>
              <w:jc w:val="center"/>
            </w:pPr>
            <w:r>
              <w:rPr>
                <w:rFonts w:ascii="宋体" w:eastAsia="宋体" w:hAnsi="宋体"/>
                <w:color w:val="111111"/>
                <w:sz w:val="19"/>
              </w:rPr>
              <w:t>2.1</w:t>
            </w:r>
          </w:p>
        </w:tc>
        <w:tc>
          <w:tcPr>
            <w:tcW w:w="1417" w:type="dxa"/>
            <w:tcBorders>
              <w:top w:val="none" w:sz="0" w:space="0" w:color="000000"/>
              <w:left w:val="none" w:sz="0" w:space="0" w:color="000000"/>
              <w:bottom w:val="single" w:sz="12" w:space="0" w:color="000000"/>
              <w:right w:val="none" w:sz="0" w:space="0" w:color="000000"/>
            </w:tcBorders>
            <w:vAlign w:val="center"/>
          </w:tcPr>
          <w:p w14:paraId="2E3B7770" w14:textId="77777777" w:rsidR="0067454D" w:rsidRDefault="00000000">
            <w:pPr>
              <w:spacing w:before="60" w:after="60" w:line="288" w:lineRule="auto"/>
              <w:jc w:val="center"/>
            </w:pPr>
            <w:r>
              <w:rPr>
                <w:rFonts w:ascii="宋体" w:eastAsia="宋体" w:hAnsi="宋体"/>
                <w:color w:val="111111"/>
                <w:sz w:val="19"/>
              </w:rPr>
              <w:t>2.2</w:t>
            </w:r>
          </w:p>
        </w:tc>
        <w:tc>
          <w:tcPr>
            <w:tcW w:w="1814" w:type="dxa"/>
            <w:tcBorders>
              <w:top w:val="none" w:sz="0" w:space="0" w:color="000000"/>
              <w:left w:val="none" w:sz="0" w:space="0" w:color="000000"/>
              <w:bottom w:val="single" w:sz="12" w:space="0" w:color="000000"/>
              <w:right w:val="none" w:sz="0" w:space="0" w:color="000000"/>
            </w:tcBorders>
            <w:vAlign w:val="center"/>
          </w:tcPr>
          <w:p w14:paraId="3A61BFA1" w14:textId="77777777" w:rsidR="0067454D" w:rsidRDefault="00000000">
            <w:pPr>
              <w:spacing w:before="60" w:after="60" w:line="288" w:lineRule="auto"/>
              <w:jc w:val="center"/>
            </w:pPr>
            <w:r>
              <w:rPr>
                <w:rFonts w:ascii="宋体" w:eastAsia="宋体" w:hAnsi="宋体"/>
                <w:color w:val="111111"/>
                <w:sz w:val="19"/>
              </w:rPr>
              <w:t>2.3</w:t>
            </w:r>
          </w:p>
        </w:tc>
        <w:tc>
          <w:tcPr>
            <w:tcW w:w="1304" w:type="dxa"/>
            <w:tcBorders>
              <w:top w:val="none" w:sz="0" w:space="0" w:color="000000"/>
              <w:left w:val="none" w:sz="0" w:space="0" w:color="000000"/>
              <w:bottom w:val="single" w:sz="12" w:space="0" w:color="000000"/>
              <w:right w:val="none" w:sz="0" w:space="0" w:color="000000"/>
            </w:tcBorders>
            <w:vAlign w:val="center"/>
          </w:tcPr>
          <w:p w14:paraId="53016951" w14:textId="77777777" w:rsidR="0067454D" w:rsidRDefault="00000000">
            <w:pPr>
              <w:spacing w:before="60" w:after="60" w:line="288" w:lineRule="auto"/>
              <w:jc w:val="center"/>
            </w:pPr>
            <w:r>
              <w:rPr>
                <w:rFonts w:ascii="宋体" w:eastAsia="宋体" w:hAnsi="宋体"/>
                <w:color w:val="111111"/>
                <w:sz w:val="19"/>
              </w:rPr>
              <w:t>1.1</w:t>
            </w:r>
          </w:p>
        </w:tc>
      </w:tr>
    </w:tbl>
    <w:p w14:paraId="357C0656" w14:textId="77777777" w:rsidR="0067454D" w:rsidRDefault="0067454D"/>
    <w:p w14:paraId="720BCEC1" w14:textId="77777777" w:rsidR="0067454D" w:rsidRDefault="00000000">
      <w:pPr>
        <w:spacing w:after="120" w:line="288" w:lineRule="auto"/>
        <w:rPr>
          <w:lang w:eastAsia="zh-CN"/>
        </w:rPr>
      </w:pPr>
      <w:r>
        <w:rPr>
          <w:rFonts w:ascii="宋体" w:eastAsia="宋体" w:hAnsi="宋体"/>
          <w:b/>
          <w:color w:val="555555"/>
          <w:sz w:val="19"/>
          <w:lang w:eastAsia="zh-CN"/>
        </w:rPr>
        <w:t>注：</w:t>
      </w:r>
      <w:r>
        <w:rPr>
          <w:rFonts w:ascii="宋体" w:eastAsia="宋体" w:hAnsi="宋体"/>
          <w:i/>
          <w:color w:val="555555"/>
          <w:sz w:val="19"/>
          <w:lang w:eastAsia="zh-CN"/>
        </w:rPr>
        <w:t>★为各行最优值；方案C碳价=0.06815元/kg CO₂（68.15元/吨，2023全国ETS均价[3]）；方案D传统权重法设等权重</w:t>
      </w:r>
      <w:r>
        <w:rPr>
          <w:rFonts w:ascii="宋体" w:eastAsia="宋体" w:hAnsi="宋体"/>
          <w:i/>
          <w:color w:val="555555"/>
          <w:sz w:val="19"/>
        </w:rPr>
        <w:t>α</w:t>
      </w:r>
      <w:r>
        <w:rPr>
          <w:rFonts w:ascii="宋体" w:eastAsia="宋体" w:hAnsi="宋体"/>
          <w:i/>
          <w:color w:val="555555"/>
          <w:sz w:val="19"/>
          <w:lang w:eastAsia="zh-CN"/>
        </w:rPr>
        <w:t>=0.5。</w:t>
      </w:r>
    </w:p>
    <w:p w14:paraId="4A07C730" w14:textId="77777777" w:rsidR="0067454D" w:rsidRDefault="00000000">
      <w:pPr>
        <w:spacing w:before="100" w:after="40" w:line="240" w:lineRule="auto"/>
        <w:jc w:val="center"/>
      </w:pPr>
      <w:r>
        <w:rPr>
          <w:noProof/>
        </w:rPr>
        <w:drawing>
          <wp:inline distT="0" distB="0" distL="0" distR="0" wp14:anchorId="42BEC364" wp14:editId="2B5ABA22">
            <wp:extent cx="5220000" cy="22165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reto_topsis.png"/>
                    <pic:cNvPicPr/>
                  </pic:nvPicPr>
                  <pic:blipFill>
                    <a:blip r:embed="rId8"/>
                    <a:stretch>
                      <a:fillRect/>
                    </a:stretch>
                  </pic:blipFill>
                  <pic:spPr>
                    <a:xfrm>
                      <a:off x="0" y="0"/>
                      <a:ext cx="5220000" cy="2216569"/>
                    </a:xfrm>
                    <a:prstGeom prst="rect">
                      <a:avLst/>
                    </a:prstGeom>
                  </pic:spPr>
                </pic:pic>
              </a:graphicData>
            </a:graphic>
          </wp:inline>
        </w:drawing>
      </w:r>
    </w:p>
    <w:p w14:paraId="277146B1" w14:textId="77777777" w:rsidR="0067454D" w:rsidRDefault="00000000">
      <w:pPr>
        <w:spacing w:before="40" w:line="288" w:lineRule="auto"/>
        <w:jc w:val="center"/>
        <w:rPr>
          <w:lang w:eastAsia="zh-CN"/>
        </w:rPr>
      </w:pPr>
      <w:r>
        <w:rPr>
          <w:rFonts w:ascii="宋体" w:eastAsia="宋体" w:hAnsi="宋体"/>
          <w:i/>
          <w:color w:val="555555"/>
          <w:sz w:val="20"/>
          <w:lang w:eastAsia="zh-CN"/>
        </w:rPr>
        <w:t>图3  三类碳政策帕累托前沿对比（左，AUGMECON N=20）与TOPSIS综合贴近度排名（右）</w:t>
      </w:r>
    </w:p>
    <w:p w14:paraId="3FB1CE5D"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4.3  研究假设验证</w:t>
      </w:r>
    </w:p>
    <w:p w14:paraId="2346AC5D" w14:textId="77777777" w:rsidR="0067454D" w:rsidRDefault="00000000">
      <w:pPr>
        <w:spacing w:before="160" w:after="60" w:line="360" w:lineRule="auto"/>
        <w:rPr>
          <w:lang w:eastAsia="zh-CN"/>
        </w:rPr>
      </w:pPr>
      <w:r>
        <w:rPr>
          <w:rFonts w:ascii="宋体" w:eastAsia="宋体" w:hAnsi="宋体"/>
          <w:b/>
          <w:color w:val="333333"/>
          <w:sz w:val="24"/>
          <w:lang w:eastAsia="zh-CN"/>
        </w:rPr>
        <w:t>4.3.1  H1验证——碳政策差异化影响分析</w:t>
      </w:r>
    </w:p>
    <w:p w14:paraId="694F38CF"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对比三类政策最优方案（表5），核心发现如下：</w:t>
      </w:r>
    </w:p>
    <w:p w14:paraId="1F4352EA" w14:textId="32CA18A7" w:rsidR="0067454D" w:rsidRDefault="00000000">
      <w:pPr>
        <w:spacing w:before="60" w:after="60" w:line="360" w:lineRule="auto"/>
        <w:ind w:firstLine="419"/>
        <w:jc w:val="both"/>
        <w:rPr>
          <w:lang w:eastAsia="zh-CN"/>
        </w:rPr>
      </w:pPr>
      <w:r>
        <w:rPr>
          <w:rFonts w:ascii="宋体" w:eastAsia="宋体" w:hAnsi="宋体"/>
          <w:color w:val="111111"/>
          <w:lang w:eastAsia="zh-CN"/>
        </w:rPr>
        <w:t>（1）碳交易政策综合绩效最优。TOPSIS贴近度系数最高（Cᵢ=0.792），总成本降幅最大（5.6%，优化后799.6万元），碳排放降幅与方案B并列最优（17.9%，优化后1,021.6吨CO₂）。内在机制：ETS通过价格信号（2023年均价68.15元/吨）引导企业主动优化碳排放决策；配额盈余可在市场出售形成"减排—获益"正向激励闭环，使经济与环境目标实现良性协同。该发现与Grubb等（2021）关于ETS政策工具帕累托效率优势的理论论断高度吻合[23]，亦与全国碳市场第二履约期（2022—2023年）碳价涨幅23.24%推动企业加速减排的市场实践相符[3]。</w:t>
      </w:r>
    </w:p>
    <w:p w14:paraId="74D09C31" w14:textId="0E2088A0" w:rsidR="0067454D" w:rsidRDefault="00000000">
      <w:pPr>
        <w:spacing w:before="60" w:after="60" w:line="360" w:lineRule="auto"/>
        <w:ind w:firstLine="419"/>
        <w:jc w:val="both"/>
        <w:rPr>
          <w:lang w:eastAsia="zh-CN"/>
        </w:rPr>
      </w:pPr>
      <w:r>
        <w:rPr>
          <w:rFonts w:ascii="宋体" w:eastAsia="宋体" w:hAnsi="宋体"/>
          <w:color w:val="111111"/>
          <w:lang w:eastAsia="zh-CN"/>
        </w:rPr>
        <w:t>（2）碳税政策减排效果突出但经济优化空间相对受限。碳减排与方案C并列最优（17.9%），但成本优化幅度（2.5%）低于方案C（5.6%），源于税率刚性限制了企业通过市场灵活调剂配额的能力。（3）碳限额政策（方案A）减排效果相对较弱（15.4%），运营灵活性约束最强，综合绩效最低。综上，H1得到实证验证。</w:t>
      </w:r>
    </w:p>
    <w:p w14:paraId="0205050E" w14:textId="77777777" w:rsidR="0067454D" w:rsidRDefault="00000000">
      <w:pPr>
        <w:spacing w:before="160" w:after="60" w:line="360" w:lineRule="auto"/>
        <w:rPr>
          <w:lang w:eastAsia="zh-CN"/>
        </w:rPr>
      </w:pPr>
      <w:r>
        <w:rPr>
          <w:rFonts w:ascii="宋体" w:eastAsia="宋体" w:hAnsi="宋体"/>
          <w:b/>
          <w:color w:val="333333"/>
          <w:sz w:val="24"/>
          <w:lang w:eastAsia="zh-CN"/>
        </w:rPr>
        <w:t>4.3.2  H2验证——算法有效性分析</w:t>
      </w:r>
    </w:p>
    <w:p w14:paraId="159FAA4D" w14:textId="7EB2941F" w:rsidR="0067454D" w:rsidRDefault="00000000">
      <w:pPr>
        <w:spacing w:before="60" w:after="60" w:line="360" w:lineRule="auto"/>
        <w:ind w:firstLine="419"/>
        <w:jc w:val="both"/>
        <w:rPr>
          <w:lang w:eastAsia="zh-CN"/>
        </w:rPr>
      </w:pPr>
      <w:r>
        <w:rPr>
          <w:rFonts w:ascii="宋体" w:eastAsia="宋体" w:hAnsi="宋体"/>
          <w:color w:val="111111"/>
          <w:lang w:eastAsia="zh-CN"/>
        </w:rPr>
        <w:t>AUGMECON相较于传统权重加和法的性能优势体现在三个维度：</w:t>
      </w:r>
    </w:p>
    <w:p w14:paraId="29551901"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①前沿覆盖广度——</w:t>
      </w:r>
      <w:r>
        <w:rPr>
          <w:rFonts w:ascii="宋体" w:eastAsia="宋体" w:hAnsi="宋体"/>
          <w:color w:val="111111"/>
          <w:lang w:eastAsia="zh-CN"/>
        </w:rPr>
        <w:t>AUGMECON生成21个均匀分布的帕累托最优点，完整覆盖成本最优到减排最优的全域权衡区间；传统法仅获单一加权均衡解，无法呈现多样化权衡信息（见图3左图）。</w:t>
      </w:r>
    </w:p>
    <w:p w14:paraId="40ACFB5A"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②解集综合质量——</w:t>
      </w:r>
      <w:r>
        <w:rPr>
          <w:rFonts w:ascii="宋体" w:eastAsia="宋体" w:hAnsi="宋体"/>
          <w:color w:val="111111"/>
          <w:lang w:eastAsia="zh-CN"/>
        </w:rPr>
        <w:t>方案A（AUGMECON）相较方案D总成本低0.66%（826.1 vs. 831.6万元），TOPSIS贴近度提升32.6%（0.773 vs. 0.583），解的综合优质性显著提升。</w:t>
      </w:r>
    </w:p>
    <w:p w14:paraId="47338A2E"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③计算效率——</w:t>
      </w:r>
      <w:r>
        <w:rPr>
          <w:rFonts w:ascii="宋体" w:eastAsia="宋体" w:hAnsi="宋体"/>
          <w:color w:val="111111"/>
          <w:lang w:eastAsia="zh-CN"/>
        </w:rPr>
        <w:t>AUGMECON在N=20配置下平均耗时约2.1秒，满足工程实践时效要求。图4右图显示N=20时边际解质量提升趋于收敛，印证了参数设置的合理性，H2得到实证验证。</w:t>
      </w:r>
    </w:p>
    <w:p w14:paraId="1F48E26D" w14:textId="77777777" w:rsidR="0067454D" w:rsidRDefault="00000000">
      <w:pPr>
        <w:spacing w:before="100" w:after="40" w:line="240" w:lineRule="auto"/>
        <w:jc w:val="center"/>
      </w:pPr>
      <w:r>
        <w:rPr>
          <w:noProof/>
        </w:rPr>
        <w:drawing>
          <wp:inline distT="0" distB="0" distL="0" distR="0" wp14:anchorId="52A365EB" wp14:editId="6189D1B8">
            <wp:extent cx="5040000" cy="21106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ts_algo.png"/>
                    <pic:cNvPicPr/>
                  </pic:nvPicPr>
                  <pic:blipFill>
                    <a:blip r:embed="rId9"/>
                    <a:stretch>
                      <a:fillRect/>
                    </a:stretch>
                  </pic:blipFill>
                  <pic:spPr>
                    <a:xfrm>
                      <a:off x="0" y="0"/>
                      <a:ext cx="5040000" cy="2110676"/>
                    </a:xfrm>
                    <a:prstGeom prst="rect">
                      <a:avLst/>
                    </a:prstGeom>
                  </pic:spPr>
                </pic:pic>
              </a:graphicData>
            </a:graphic>
          </wp:inline>
        </w:drawing>
      </w:r>
    </w:p>
    <w:p w14:paraId="4A232FA9" w14:textId="77777777" w:rsidR="0067454D" w:rsidRDefault="00000000">
      <w:pPr>
        <w:spacing w:before="40" w:line="288" w:lineRule="auto"/>
        <w:jc w:val="center"/>
        <w:rPr>
          <w:lang w:eastAsia="zh-CN"/>
        </w:rPr>
      </w:pPr>
      <w:r>
        <w:rPr>
          <w:rFonts w:ascii="宋体" w:eastAsia="宋体" w:hAnsi="宋体"/>
          <w:i/>
          <w:color w:val="555555"/>
          <w:sz w:val="20"/>
          <w:lang w:eastAsia="zh-CN"/>
        </w:rPr>
        <w:t>图4  全国ETS年度均价走势（左，数据来源：上海环境能源交易所2024）与算法性能比较（右）</w:t>
      </w:r>
    </w:p>
    <w:p w14:paraId="42E84BD9" w14:textId="77777777" w:rsidR="0067454D" w:rsidRDefault="00000000">
      <w:pPr>
        <w:spacing w:before="160" w:after="60" w:line="360" w:lineRule="auto"/>
        <w:rPr>
          <w:lang w:eastAsia="zh-CN"/>
        </w:rPr>
      </w:pPr>
      <w:r>
        <w:rPr>
          <w:rFonts w:ascii="宋体" w:eastAsia="宋体" w:hAnsi="宋体"/>
          <w:b/>
          <w:color w:val="333333"/>
          <w:sz w:val="24"/>
          <w:lang w:eastAsia="zh-CN"/>
        </w:rPr>
        <w:t>4.3.3  H3验证——TOPSIS排序有效性分析</w:t>
      </w:r>
    </w:p>
    <w:p w14:paraId="64B29B6C"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以方案C最优解验证决策有效性：总成本799.6万元（低于历史均值847.6万元5.6%），总碳排放1,021.6吨CO₂（低于历史均值1,243.8吨17.9%），两项指标均显著改善。运营策略层面：该方案优先增加对供应商S₂的采购比例（S₂采购成本172.6元/吨为三家最低，碳排放系数0.076 kg CO₂/吨·km较优），以仓储中心W₁为主枢纽，优化路径缩短平均配送距离约12%。管理验证层面：通过对案例企业决策者结构化访谈，最优方案与"成本控制优先、碳排放合规达标"战略诉求的匹配度评分均值为4.2/5.0（李克特五级量表），H3得到实证验证。</w:t>
      </w:r>
    </w:p>
    <w:p w14:paraId="33016509"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4.4  稳健性检验</w:t>
      </w:r>
    </w:p>
    <w:p w14:paraId="578DEC33"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本文从三个维度实施系统性稳健性检验，结果如图5所示。</w:t>
      </w:r>
    </w:p>
    <w:p w14:paraId="7AAB49E0"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（1）政策参数扰动检验：</w:t>
      </w:r>
      <w:r>
        <w:rPr>
          <w:rFonts w:ascii="宋体" w:eastAsia="宋体" w:hAnsi="宋体"/>
          <w:color w:val="111111"/>
          <w:lang w:eastAsia="zh-CN"/>
        </w:rPr>
        <w:t>将碳交易价格Pₐ在基准值68.15元/吨基础上分别±20%（扰动后区间54.52～81.78元/吨，对应ETS市场实际波动区间50.52～81.67元/吨[3]）重新求解。结果：帕累托前沿整体形态保持稳定，方案C最优解目标函数值变动幅度控制在±8%以内；三类政策优劣排序（C≥B&gt;A）在所有扰动情景下均保持不变（见图5左图）。</w:t>
      </w:r>
    </w:p>
    <w:p w14:paraId="183DFF0D"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（2）样本替换检验：</w:t>
      </w:r>
      <w:r>
        <w:rPr>
          <w:rFonts w:ascii="宋体" w:eastAsia="宋体" w:hAnsi="宋体"/>
          <w:color w:val="111111"/>
          <w:lang w:eastAsia="zh-CN"/>
        </w:rPr>
        <w:t>另选同行业规模相当的替代企业供应链数据（3供应商、1产地、3仓库、8终端）重复全部实证流程。替换样本结论与原样本高度一致，AUGMECON优越性依然显著（解集质量提升约18%～22%），具有良好的跨样本稳健性。</w:t>
      </w:r>
    </w:p>
    <w:p w14:paraId="1D6E6620"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（3）碳排放系数敏感性检验：</w:t>
      </w:r>
      <w:r>
        <w:rPr>
          <w:rFonts w:ascii="宋体" w:eastAsia="宋体" w:hAnsi="宋体"/>
          <w:color w:val="111111"/>
          <w:lang w:eastAsia="zh-CN"/>
        </w:rPr>
        <w:t>将生产环节电力排放因子在0.5568 tCO₂/MWh基础上±10%扰动（覆盖省际电网结构差异）。总碳排放量变动约±3.2%，各方案排序不变，证明模型对电力因子依赖性较低（见图5右图）。</w:t>
      </w:r>
    </w:p>
    <w:p w14:paraId="2F508948" w14:textId="77777777" w:rsidR="0067454D" w:rsidRDefault="00000000">
      <w:pPr>
        <w:spacing w:before="100" w:after="40" w:line="240" w:lineRule="auto"/>
        <w:jc w:val="center"/>
      </w:pPr>
      <w:r>
        <w:rPr>
          <w:noProof/>
        </w:rPr>
        <w:drawing>
          <wp:inline distT="0" distB="0" distL="0" distR="0" wp14:anchorId="7F3F6884" wp14:editId="3E9986A4">
            <wp:extent cx="5040000" cy="2110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ensitivity.png"/>
                    <pic:cNvPicPr/>
                  </pic:nvPicPr>
                  <pic:blipFill>
                    <a:blip r:embed="rId10"/>
                    <a:stretch>
                      <a:fillRect/>
                    </a:stretch>
                  </pic:blipFill>
                  <pic:spPr>
                    <a:xfrm>
                      <a:off x="0" y="0"/>
                      <a:ext cx="5040000" cy="2110676"/>
                    </a:xfrm>
                    <a:prstGeom prst="rect">
                      <a:avLst/>
                    </a:prstGeom>
                  </pic:spPr>
                </pic:pic>
              </a:graphicData>
            </a:graphic>
          </wp:inline>
        </w:drawing>
      </w:r>
    </w:p>
    <w:p w14:paraId="3FAF56B7" w14:textId="77777777" w:rsidR="0067454D" w:rsidRDefault="00000000">
      <w:pPr>
        <w:spacing w:before="40" w:line="288" w:lineRule="auto"/>
        <w:jc w:val="center"/>
        <w:rPr>
          <w:lang w:eastAsia="zh-CN"/>
        </w:rPr>
      </w:pPr>
      <w:r>
        <w:rPr>
          <w:rFonts w:ascii="宋体" w:eastAsia="宋体" w:hAnsi="宋体"/>
          <w:i/>
          <w:color w:val="555555"/>
          <w:sz w:val="20"/>
          <w:lang w:eastAsia="zh-CN"/>
        </w:rPr>
        <w:t>图5  参数扰动稳健性检验（左）与四方案多维度绩效比较（右）</w:t>
      </w:r>
    </w:p>
    <w:p w14:paraId="449E6FDD" w14:textId="77777777" w:rsidR="0067454D" w:rsidRPr="0076591F" w:rsidRDefault="00000000">
      <w:pPr>
        <w:spacing w:before="360" w:after="120" w:line="360" w:lineRule="auto"/>
        <w:rPr>
          <w:color w:val="000000" w:themeColor="text1"/>
          <w:lang w:eastAsia="zh-CN"/>
        </w:rPr>
      </w:pPr>
      <w:r w:rsidRPr="0076591F">
        <w:rPr>
          <w:rFonts w:ascii="黑体" w:eastAsia="黑体" w:hAnsi="黑体"/>
          <w:b/>
          <w:color w:val="000000" w:themeColor="text1"/>
          <w:sz w:val="32"/>
          <w:lang w:eastAsia="zh-CN"/>
        </w:rPr>
        <w:t>5  结语</w:t>
      </w:r>
    </w:p>
    <w:p w14:paraId="0D3652C5"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5.1  研究结论</w:t>
      </w:r>
    </w:p>
    <w:p w14:paraId="78120F1A"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本文聚焦多重碳规制情境下可持续供应链多目标协同优化这一前沿命题，以经权威来源校准的真实公开数据（全国ETS均价68.15元/吨、电力CO₂排放因子0.5568 tCO₂/MWh、GB/T 32150-2015碳排放系数）为参数基础，构建AUGMECON与TOPSIS相结合的一体化集成决策框架，系统验证三类碳政策的差异化影响。主要研究结论如下：</w:t>
      </w:r>
    </w:p>
    <w:p w14:paraId="67DA59D8"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结论一：</w:t>
      </w:r>
      <w:r>
        <w:rPr>
          <w:rFonts w:ascii="宋体" w:eastAsia="宋体" w:hAnsi="宋体"/>
          <w:color w:val="111111"/>
          <w:lang w:eastAsia="zh-CN"/>
        </w:rPr>
        <w:t>碳政策类型对供应链优化综合绩效具有显著差异化影响（H1验证）。碳交易政策综合绩效最优（总成本降低5.6%，碳排放降低17.9%，TOPSIS贴近度0.792）；碳税政策的减排激励效果与碳交易政策并列最优，但经济成本优化空间相对受限（仅2.5%）；碳限额政策减排效果相对较弱（15.4%），且对运营灵活性的约束最强，综合绩效最低。上述差异揭示了政策工具异质性对供应链运营的结构性影响，为企业依据政策情境差异化制定应对策略提供了量化决策依据。</w:t>
      </w:r>
    </w:p>
    <w:p w14:paraId="3EB5A7FC"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结论二：</w:t>
      </w:r>
      <w:r>
        <w:rPr>
          <w:rFonts w:ascii="宋体" w:eastAsia="宋体" w:hAnsi="宋体"/>
          <w:color w:val="111111"/>
          <w:lang w:eastAsia="zh-CN"/>
        </w:rPr>
        <w:t>AUGMECON在帕累托解集质量与前沿覆盖广度方面显著优于传统权重加和法（H2验证）。TOPSIS贴近度系数提升约32.6%，帕累托前沿21个解点分布均匀完整，N=20时算法效率与精度达到最优平衡。上述结果证明，AUGMECON的松弛变量正则化机制在处理多重碳规制约束的复杂场景下具有显著的方法论优越性，可为企业提供远优于传统方法的决策信息支撑。</w:t>
      </w:r>
    </w:p>
    <w:p w14:paraId="59FA3354"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结论三：</w:t>
      </w:r>
      <w:r>
        <w:rPr>
          <w:rFonts w:ascii="宋体" w:eastAsia="宋体" w:hAnsi="宋体"/>
          <w:color w:val="111111"/>
          <w:lang w:eastAsia="zh-CN"/>
        </w:rPr>
        <w:t>AUGMECON与TOPSIS的集成构建了有效的"求解—评价—排序"闭环决策体系（H3验证）。最优方案与企业战略诉求的匹配度评分达4.2/5.0，实践转化效率高，验证了集成框架在连接"优化求解"与"管理决策"两个环节上的有效性，有效弥合了理论研究与实践应用之间的"最后一公里"断层。</w:t>
      </w:r>
    </w:p>
    <w:p w14:paraId="6E9013FA"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结论四：</w:t>
      </w:r>
      <w:r>
        <w:rPr>
          <w:rFonts w:ascii="宋体" w:eastAsia="宋体" w:hAnsi="宋体"/>
          <w:color w:val="111111"/>
          <w:lang w:eastAsia="zh-CN"/>
        </w:rPr>
        <w:t>运输环节（合计占比约61.8%）与生产环节（占比约31.4%）是供应链碳排放的两大主要来源，亦是实现碳减排与成本协同节约的核心突破口。案例分析表明，通过优化供应商选择（低碳排放系数的S₂）与配送路径（以W₁为主枢纽），可在不增加额外投资的前提下同步实现成本与碳排放的双重显著改善，为制造业供应链低碳转型提供了可复制的运营优化路径。</w:t>
      </w:r>
    </w:p>
    <w:p w14:paraId="285B3E54"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5.2  政策建议</w:t>
      </w:r>
    </w:p>
    <w:p w14:paraId="4F72F48E" w14:textId="77777777" w:rsidR="0067454D" w:rsidRDefault="00000000">
      <w:pPr>
        <w:spacing w:before="160" w:after="60" w:line="360" w:lineRule="auto"/>
        <w:rPr>
          <w:lang w:eastAsia="zh-CN"/>
        </w:rPr>
      </w:pPr>
      <w:r>
        <w:rPr>
          <w:rFonts w:ascii="宋体" w:eastAsia="宋体" w:hAnsi="宋体"/>
          <w:b/>
          <w:color w:val="333333"/>
          <w:sz w:val="24"/>
          <w:lang w:eastAsia="zh-CN"/>
        </w:rPr>
        <w:t>5.2.1  企业层面</w:t>
      </w:r>
    </w:p>
    <w:p w14:paraId="081CD5D7"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①具备参与ETS条件的制造企业应优先适配碳交易政策框架，建立内部碳资产账户与配额动态管理机制，充分利用碳市场价格信号（2024年底已突破97.49元/吨）优化采购计划与运输路径决策，将碳资产管理纳入供应链战略规划的核心议程。</w:t>
      </w:r>
    </w:p>
    <w:p w14:paraId="55443BF2"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②聚焦运输与采购两大高排放环节推进低碳转型：采购阶段建立基于碳排放系数的供应商绿色评级与优选机制，优先选择具有低排放优势的供应商类型（如案例中的S₂，碳排放系数0.076 kg CO₂/吨·km）；配送阶段制定新能源车辆替代的中长期路线图，逐步提升清洁能源物流比重。</w:t>
      </w:r>
    </w:p>
    <w:p w14:paraId="35BC9E83"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③引入AUGMECON等先进优化算法工具，构建企业级供应链数字化智能决策辅助系统，将碳排放管理指标嵌入日常运营计划编制流程，推进碳管理与供应链决策的深度融合，实现碳减排目标的精细化、可视化管理。</w:t>
      </w:r>
    </w:p>
    <w:p w14:paraId="2019DB23" w14:textId="77777777" w:rsidR="0067454D" w:rsidRDefault="00000000">
      <w:pPr>
        <w:spacing w:before="160" w:after="60" w:line="360" w:lineRule="auto"/>
        <w:rPr>
          <w:lang w:eastAsia="zh-CN"/>
        </w:rPr>
      </w:pPr>
      <w:r>
        <w:rPr>
          <w:rFonts w:ascii="宋体" w:eastAsia="宋体" w:hAnsi="宋体"/>
          <w:b/>
          <w:color w:val="333333"/>
          <w:sz w:val="24"/>
          <w:lang w:eastAsia="zh-CN"/>
        </w:rPr>
        <w:t>5.2.2  政府层面</w:t>
      </w:r>
    </w:p>
    <w:p w14:paraId="1AF89580"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①在碳政策工具设计上应因地制宜、因行业施策：以ETS为主体政策工具，以碳税为补充调节手段，统筹推进碳限额、碳税与碳交易三类政策的协同配套，弥补单一工具在覆盖范围、激励机制与减排效率上的不足，构建多层次、差异化的碳政策工具体系。</w:t>
      </w:r>
    </w:p>
    <w:p w14:paraId="4D8C036D" w14:textId="41BDC14F" w:rsidR="0067454D" w:rsidRDefault="00000000">
      <w:pPr>
        <w:spacing w:before="60" w:after="60" w:line="360" w:lineRule="auto"/>
        <w:ind w:firstLine="419"/>
        <w:jc w:val="both"/>
        <w:rPr>
          <w:lang w:eastAsia="zh-CN"/>
        </w:rPr>
      </w:pPr>
      <w:r>
        <w:rPr>
          <w:rFonts w:ascii="宋体" w:eastAsia="宋体" w:hAnsi="宋体"/>
          <w:color w:val="111111"/>
          <w:lang w:eastAsia="zh-CN"/>
        </w:rPr>
        <w:t>②持续完善全国碳排放权交易市场的基础制度建设，参照《碳排放权交易管理暂行条例》稳定碳价格长期预期信号，在扩大市场覆盖行业范围的同时，降低企业参与碳市场的制度性交易成本，引导更多制造业企业有序纳入ETS管理。</w:t>
      </w:r>
    </w:p>
    <w:p w14:paraId="0F6C41B8"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③加快推进制造业分行业、分工序的碳排放系数标准数据库建设，提升碳核算数据的权威性与可溯源性，降低企业开展供应链全流程碳核算的信息成本，为企业供应链低碳优化决策提供坚实的数据基础支撑。</w:t>
      </w:r>
    </w:p>
    <w:p w14:paraId="4721F082" w14:textId="77777777" w:rsidR="0067454D" w:rsidRPr="0076591F" w:rsidRDefault="00000000">
      <w:pPr>
        <w:spacing w:before="240" w:after="100" w:line="360" w:lineRule="auto"/>
        <w:rPr>
          <w:color w:val="000000" w:themeColor="text1"/>
          <w:lang w:eastAsia="zh-CN"/>
        </w:rPr>
      </w:pPr>
      <w:r w:rsidRPr="0076591F">
        <w:rPr>
          <w:rFonts w:ascii="黑体" w:eastAsia="黑体" w:hAnsi="黑体"/>
          <w:b/>
          <w:color w:val="000000" w:themeColor="text1"/>
          <w:sz w:val="26"/>
          <w:lang w:eastAsia="zh-CN"/>
        </w:rPr>
        <w:t>5.3  研究局限与未来展望</w:t>
      </w:r>
    </w:p>
    <w:p w14:paraId="7C147BB2" w14:textId="77777777" w:rsidR="0067454D" w:rsidRDefault="00000000">
      <w:pPr>
        <w:spacing w:before="60" w:after="60" w:line="360" w:lineRule="auto"/>
        <w:ind w:firstLine="419"/>
        <w:jc w:val="both"/>
        <w:rPr>
          <w:lang w:eastAsia="zh-CN"/>
        </w:rPr>
      </w:pPr>
      <w:r>
        <w:rPr>
          <w:rFonts w:ascii="宋体" w:eastAsia="宋体" w:hAnsi="宋体"/>
          <w:color w:val="111111"/>
          <w:lang w:eastAsia="zh-CN"/>
        </w:rPr>
        <w:t>尽管本文在理论建模与实证分析方面做出了一定贡献，但仍存在以下四方面局限性：</w:t>
      </w:r>
    </w:p>
    <w:p w14:paraId="38DA5F04"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①样本代表性局限：</w:t>
      </w:r>
      <w:r>
        <w:rPr>
          <w:rFonts w:ascii="宋体" w:eastAsia="宋体" w:hAnsi="宋体"/>
          <w:color w:val="111111"/>
          <w:lang w:eastAsia="zh-CN"/>
        </w:rPr>
        <w:t>本文以单一制造业企业的供应链数据为实证对象，研究结论向服务业、农业及能源行业等不同类型供应链情景的外推性有待进一步检验。未来研究可构建跨行业比较分析框架，探讨不同行业特征对碳政策响应机制异质性的影响。</w:t>
      </w:r>
    </w:p>
    <w:p w14:paraId="2C7BDFF7"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②模型动态性局限：</w:t>
      </w:r>
      <w:r>
        <w:rPr>
          <w:rFonts w:ascii="宋体" w:eastAsia="宋体" w:hAnsi="宋体"/>
          <w:color w:val="111111"/>
          <w:lang w:eastAsia="zh-CN"/>
        </w:rPr>
        <w:t>本文采用静态参数优化模型，未充分考虑碳配额价格的随机波动性（如ETS价格从48元/吨涨至97元/吨的动态演变）及供需不确定性影响。未来研究可引入随机规划或鲁棒优化方法，增强模型对碳价格随机性的动态适应能力。</w:t>
      </w:r>
    </w:p>
    <w:p w14:paraId="274BD375"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③目标函数维度局限：</w:t>
      </w:r>
      <w:r>
        <w:rPr>
          <w:rFonts w:ascii="宋体" w:eastAsia="宋体" w:hAnsi="宋体"/>
          <w:color w:val="111111"/>
          <w:lang w:eastAsia="zh-CN"/>
        </w:rPr>
        <w:t>本文双目标模型仅涵盖经济与环境维度，未将供应链韧性（抗扰动能力）、社会责任（就业影响、社区效益）等重要可持续性维度纳入目标体系。未来可在三重底线TBL框架下扩展为三目标乃至四目标优化框架，更全面刻画供应链可持续性的多维内涵。</w:t>
      </w:r>
    </w:p>
    <w:p w14:paraId="22FC0958" w14:textId="77777777" w:rsidR="0067454D" w:rsidRDefault="00000000">
      <w:pPr>
        <w:spacing w:before="60" w:after="60" w:line="360" w:lineRule="auto"/>
        <w:ind w:firstLine="419"/>
        <w:jc w:val="both"/>
        <w:rPr>
          <w:lang w:eastAsia="zh-CN"/>
        </w:rPr>
      </w:pPr>
      <w:r>
        <w:rPr>
          <w:rFonts w:ascii="宋体" w:eastAsia="宋体" w:hAnsi="宋体"/>
          <w:b/>
          <w:color w:val="111111"/>
          <w:lang w:eastAsia="zh-CN"/>
        </w:rPr>
        <w:t>④算法融合拓展局限：</w:t>
      </w:r>
      <w:r>
        <w:rPr>
          <w:rFonts w:ascii="宋体" w:eastAsia="宋体" w:hAnsi="宋体"/>
          <w:color w:val="111111"/>
          <w:lang w:eastAsia="zh-CN"/>
        </w:rPr>
        <w:t>AUGMECON在大规模复杂供应链网络场景下的计算效率仍有提升空间。未来研究可探索AUGMECON与深度强化学习（Deep Reinforcement Learning）、图神经网络（GNN）等人工智能算法的深度融合，有望突破大规模多目标供应链优化问题的求解效率瓶颈，进一步推动"AI+运筹学"在可持续供应链管理领域的应用深度与广度。</w:t>
      </w:r>
    </w:p>
    <w:p w14:paraId="39FF46A4" w14:textId="77777777" w:rsidR="0067454D" w:rsidRPr="0076591F" w:rsidRDefault="00000000">
      <w:pPr>
        <w:spacing w:before="360" w:after="120" w:line="360" w:lineRule="auto"/>
        <w:rPr>
          <w:color w:val="000000" w:themeColor="text1"/>
        </w:rPr>
      </w:pPr>
      <w:r w:rsidRPr="0076591F">
        <w:rPr>
          <w:rFonts w:ascii="黑体" w:eastAsia="黑体" w:hAnsi="黑体"/>
          <w:b/>
          <w:color w:val="000000" w:themeColor="text1"/>
          <w:sz w:val="32"/>
        </w:rPr>
        <w:t>参考文献</w:t>
      </w:r>
    </w:p>
    <w:p w14:paraId="1145DAF9" w14:textId="0E3A9F91" w:rsidR="0067454D" w:rsidRDefault="00000000">
      <w:pPr>
        <w:spacing w:before="40" w:after="40" w:line="336" w:lineRule="auto"/>
        <w:jc w:val="both"/>
      </w:pPr>
      <w:r>
        <w:rPr>
          <w:rFonts w:ascii="宋体" w:eastAsia="宋体" w:hAnsi="宋体"/>
          <w:color w:val="111111"/>
          <w:sz w:val="20"/>
        </w:rPr>
        <w:t>[1] IPCC. Sixth Assessment Report: Climate Change 2022—Mitigation of Climate Change[R]. Geneva: IPCC, 2022.</w:t>
      </w:r>
    </w:p>
    <w:p w14:paraId="3FEE2A52" w14:textId="77777777" w:rsidR="0067454D" w:rsidRDefault="00000000">
      <w:pPr>
        <w:spacing w:before="40" w:after="40" w:line="336" w:lineRule="auto"/>
        <w:jc w:val="both"/>
      </w:pPr>
      <w:r>
        <w:rPr>
          <w:rFonts w:ascii="宋体" w:eastAsia="宋体" w:hAnsi="宋体"/>
          <w:color w:val="111111"/>
          <w:sz w:val="20"/>
        </w:rPr>
        <w:t>[2]  CDP. Engaging the Supply Chain: Collective Action on Climate Change[R]. London: CDP Worldwide, 2021.</w:t>
      </w:r>
    </w:p>
    <w:p w14:paraId="2EDA578B" w14:textId="77777777" w:rsidR="0067454D" w:rsidRDefault="00000000">
      <w:pPr>
        <w:spacing w:before="40" w:after="40" w:line="336" w:lineRule="auto"/>
        <w:jc w:val="both"/>
      </w:pPr>
      <w:r>
        <w:rPr>
          <w:rFonts w:ascii="宋体" w:eastAsia="宋体" w:hAnsi="宋体"/>
          <w:color w:val="111111"/>
          <w:sz w:val="20"/>
        </w:rPr>
        <w:t>[3]  生态环境部. 全国碳市场发展报告（2024）[R]. 北京: 生态环境部, 2024.</w:t>
      </w:r>
    </w:p>
    <w:p w14:paraId="095D3B7A" w14:textId="77777777" w:rsidR="0067454D" w:rsidRDefault="00000000">
      <w:pPr>
        <w:spacing w:before="40" w:after="40" w:line="336" w:lineRule="auto"/>
        <w:jc w:val="both"/>
      </w:pPr>
      <w:r>
        <w:rPr>
          <w:rFonts w:ascii="宋体" w:eastAsia="宋体" w:hAnsi="宋体"/>
          <w:color w:val="111111"/>
          <w:sz w:val="20"/>
        </w:rPr>
        <w:t>[4]  Mavrotas G. Effective implementation of the ε-constraint method in multi-objective mathematical programming problems[J]. Applied Mathematics and Computation, 2009, 213(2): 455-465.</w:t>
      </w:r>
    </w:p>
    <w:p w14:paraId="58BF71D7" w14:textId="77777777" w:rsidR="0067454D" w:rsidRDefault="00000000">
      <w:pPr>
        <w:spacing w:before="40" w:after="40" w:line="336" w:lineRule="auto"/>
        <w:jc w:val="both"/>
      </w:pPr>
      <w:r>
        <w:rPr>
          <w:rFonts w:ascii="宋体" w:eastAsia="宋体" w:hAnsi="宋体"/>
          <w:color w:val="111111"/>
          <w:sz w:val="20"/>
        </w:rPr>
        <w:t>[5]  Benjaafar S, Li Y, Daskin M. Carbon footprint and the management of supply chains: insights from simple models[J]. IEEE Transactions on Automation Science and Engineering, 2013, 10(1): 99-116.</w:t>
      </w:r>
    </w:p>
    <w:p w14:paraId="437F19A0" w14:textId="77777777" w:rsidR="0067454D" w:rsidRDefault="00000000">
      <w:pPr>
        <w:spacing w:before="40" w:after="40" w:line="336" w:lineRule="auto"/>
        <w:jc w:val="both"/>
        <w:rPr>
          <w:lang w:eastAsia="zh-CN"/>
        </w:rPr>
      </w:pPr>
      <w:r>
        <w:rPr>
          <w:rFonts w:ascii="宋体" w:eastAsia="宋体" w:hAnsi="宋体"/>
          <w:color w:val="111111"/>
          <w:sz w:val="20"/>
        </w:rPr>
        <w:t xml:space="preserve">[6]  Du S, Ma F, Fu Z, et al. Game-theoretic analysis for an emission-dependent supply chain in a "cap-and-trade" system[J]. </w:t>
      </w:r>
      <w:r>
        <w:rPr>
          <w:rFonts w:ascii="宋体" w:eastAsia="宋体" w:hAnsi="宋体"/>
          <w:color w:val="111111"/>
          <w:sz w:val="20"/>
          <w:lang w:eastAsia="zh-CN"/>
        </w:rPr>
        <w:t>Annals of Operations Research, 2015, 228(1): 135-149.</w:t>
      </w:r>
    </w:p>
    <w:p w14:paraId="7E06E4C4" w14:textId="77777777" w:rsidR="0067454D" w:rsidRDefault="00000000">
      <w:pPr>
        <w:spacing w:before="40" w:after="40" w:line="336" w:lineRule="auto"/>
        <w:jc w:val="both"/>
        <w:rPr>
          <w:lang w:eastAsia="zh-CN"/>
        </w:rPr>
      </w:pPr>
      <w:r>
        <w:rPr>
          <w:rFonts w:ascii="宋体" w:eastAsia="宋体" w:hAnsi="宋体"/>
          <w:color w:val="111111"/>
          <w:sz w:val="20"/>
          <w:lang w:eastAsia="zh-CN"/>
        </w:rPr>
        <w:t>[7]  李进, 张赞, 赵嘉. 碳限额和碳交易机制下考虑供应链竞争的最优减排策略研究[J]. 中国管理科学, 2021, 29(8): 32-41.</w:t>
      </w:r>
    </w:p>
    <w:p w14:paraId="698324A4" w14:textId="77777777" w:rsidR="0067454D" w:rsidRDefault="00000000">
      <w:pPr>
        <w:spacing w:before="40" w:after="40" w:line="336" w:lineRule="auto"/>
        <w:jc w:val="both"/>
        <w:rPr>
          <w:lang w:eastAsia="zh-CN"/>
        </w:rPr>
      </w:pPr>
      <w:r>
        <w:rPr>
          <w:rFonts w:ascii="宋体" w:eastAsia="宋体" w:hAnsi="宋体"/>
          <w:color w:val="111111"/>
          <w:sz w:val="20"/>
          <w:lang w:eastAsia="zh-CN"/>
        </w:rPr>
        <w:t>[8]  毋博, 胡思继, 王飞跃. 碳政策与不确定条件下供应链碳减排激励机制设计研究[J]. 运筹与管理, 2022, 31(5): 45-53.</w:t>
      </w:r>
    </w:p>
    <w:p w14:paraId="6721A814" w14:textId="77777777" w:rsidR="0067454D" w:rsidRDefault="00000000">
      <w:pPr>
        <w:spacing w:before="40" w:after="40" w:line="336" w:lineRule="auto"/>
        <w:jc w:val="both"/>
        <w:rPr>
          <w:lang w:eastAsia="zh-CN"/>
        </w:rPr>
      </w:pPr>
      <w:r>
        <w:rPr>
          <w:rFonts w:ascii="宋体" w:eastAsia="宋体" w:hAnsi="宋体"/>
          <w:color w:val="111111"/>
          <w:sz w:val="20"/>
          <w:lang w:eastAsia="zh-CN"/>
        </w:rPr>
        <w:t>[9]  邹清明, 李娜, 陈颖. 碳限额与碳交易机制下考虑公平关切的供应链减排与融资策略[J]. 系统工程理论与实践, 2023, 43(2): 421-437.</w:t>
      </w:r>
    </w:p>
    <w:p w14:paraId="1139F4D0" w14:textId="77777777" w:rsidR="0067454D" w:rsidRDefault="00000000">
      <w:pPr>
        <w:spacing w:before="40" w:after="40" w:line="336" w:lineRule="auto"/>
        <w:jc w:val="both"/>
      </w:pPr>
      <w:r>
        <w:rPr>
          <w:rFonts w:ascii="宋体" w:eastAsia="宋体" w:hAnsi="宋体"/>
          <w:color w:val="111111"/>
          <w:sz w:val="20"/>
        </w:rPr>
        <w:t>[10] Pishvaee M S, Razmi J. Environmental supply chain network design under uncertainty[J]. Omega, 2012, 40(5): 607-624.</w:t>
      </w:r>
    </w:p>
    <w:p w14:paraId="77719877" w14:textId="77777777" w:rsidR="0067454D" w:rsidRDefault="00000000">
      <w:pPr>
        <w:spacing w:before="40" w:after="40" w:line="336" w:lineRule="auto"/>
        <w:jc w:val="both"/>
      </w:pPr>
      <w:r>
        <w:rPr>
          <w:rFonts w:ascii="宋体" w:eastAsia="宋体" w:hAnsi="宋体"/>
          <w:color w:val="111111"/>
          <w:sz w:val="20"/>
        </w:rPr>
        <w:t>[11] Govindan K, Jafarian A, Khodaverdi R, et al. Two-echelon multiple-vehicle location-routing problem with time windows for optimization of sustainable supply chain network of perishable food[J]. International Journal of Production Economics, 2014, 152: 9-28.</w:t>
      </w:r>
    </w:p>
    <w:p w14:paraId="5BF30351" w14:textId="77777777" w:rsidR="0067454D" w:rsidRDefault="00000000">
      <w:pPr>
        <w:spacing w:before="40" w:after="40" w:line="336" w:lineRule="auto"/>
        <w:jc w:val="both"/>
      </w:pPr>
      <w:r>
        <w:rPr>
          <w:rFonts w:ascii="宋体" w:eastAsia="宋体" w:hAnsi="宋体"/>
          <w:color w:val="111111"/>
          <w:sz w:val="20"/>
        </w:rPr>
        <w:t>[12] Arslan E, Çatay B, Budak E. A multi-objective decision support framework for humanitarian logistics network design[J]. International Journal of Logistics Research and Applications, 2016, 19(5): 446-473.</w:t>
      </w:r>
    </w:p>
    <w:p w14:paraId="14D31E75" w14:textId="77777777" w:rsidR="0067454D" w:rsidRDefault="00000000">
      <w:pPr>
        <w:spacing w:before="40" w:after="40" w:line="336" w:lineRule="auto"/>
        <w:jc w:val="both"/>
      </w:pPr>
      <w:r>
        <w:rPr>
          <w:rFonts w:ascii="宋体" w:eastAsia="宋体" w:hAnsi="宋体"/>
          <w:color w:val="111111"/>
          <w:sz w:val="20"/>
        </w:rPr>
        <w:t>[13] Sepehri A, Mishra U, Sarkar B. A sustainable production-inventory model with imperfect items under uncertainty[J]. Journal of Industrial and Management Optimization, 2021, 19(3): 1867-1899.</w:t>
      </w:r>
    </w:p>
    <w:p w14:paraId="024434CA" w14:textId="77777777" w:rsidR="0067454D" w:rsidRDefault="00000000">
      <w:pPr>
        <w:spacing w:before="40" w:after="40" w:line="336" w:lineRule="auto"/>
        <w:jc w:val="both"/>
      </w:pPr>
      <w:r>
        <w:rPr>
          <w:rFonts w:ascii="宋体" w:eastAsia="宋体" w:hAnsi="宋体"/>
          <w:color w:val="111111"/>
          <w:sz w:val="20"/>
        </w:rPr>
        <w:t>[14] 杨晓辉, 胡大庆, 赵亮. 自适应ε约束多目标粒子群算法及其在供应链优化中的应用[J]. 系统工程学报, 2021, 36(1): 98-110.</w:t>
      </w:r>
    </w:p>
    <w:p w14:paraId="0DA9EB66" w14:textId="77777777" w:rsidR="0067454D" w:rsidRDefault="00000000">
      <w:pPr>
        <w:spacing w:before="40" w:after="40" w:line="336" w:lineRule="auto"/>
        <w:jc w:val="both"/>
      </w:pPr>
      <w:r>
        <w:rPr>
          <w:rFonts w:ascii="宋体" w:eastAsia="宋体" w:hAnsi="宋体"/>
          <w:color w:val="111111"/>
          <w:sz w:val="20"/>
        </w:rPr>
        <w:t>[15] Mavrotas G, Florios K. An improved version of the augmented ε-constraint method (AUGMECON2)[J]. Applied Mathematics and Computation, 2013, 219(18): 9652-9669.</w:t>
      </w:r>
    </w:p>
    <w:p w14:paraId="4AB85C82" w14:textId="77777777" w:rsidR="0067454D" w:rsidRDefault="00000000">
      <w:pPr>
        <w:spacing w:before="40" w:after="40" w:line="336" w:lineRule="auto"/>
        <w:jc w:val="both"/>
      </w:pPr>
      <w:r>
        <w:rPr>
          <w:rFonts w:ascii="宋体" w:eastAsia="宋体" w:hAnsi="宋体"/>
          <w:color w:val="111111"/>
          <w:sz w:val="20"/>
        </w:rPr>
        <w:t>[16] 闫谨, 赵超, 李明. 引入时间维度的TOPSIS碳减排路径评估方法研究[J]. 资源科学, 2022, 44(3): 512-524.</w:t>
      </w:r>
    </w:p>
    <w:p w14:paraId="1DC1B767" w14:textId="77777777" w:rsidR="0067454D" w:rsidRDefault="00000000">
      <w:pPr>
        <w:spacing w:before="40" w:after="40" w:line="336" w:lineRule="auto"/>
        <w:jc w:val="both"/>
      </w:pPr>
      <w:r>
        <w:rPr>
          <w:rFonts w:ascii="宋体" w:eastAsia="宋体" w:hAnsi="宋体"/>
          <w:color w:val="111111"/>
          <w:sz w:val="20"/>
        </w:rPr>
        <w:t>[17] 聂彤彤, 张超, 何洪. 基于组合权重改进TOPSIS的应急供应链脆弱性评价[J]. 中国安全科学学报, 2022, 32(7): 187-194.</w:t>
      </w:r>
    </w:p>
    <w:p w14:paraId="2BA5AB88" w14:textId="77777777" w:rsidR="0067454D" w:rsidRDefault="00000000">
      <w:pPr>
        <w:spacing w:before="40" w:after="40" w:line="336" w:lineRule="auto"/>
        <w:jc w:val="both"/>
      </w:pPr>
      <w:r>
        <w:rPr>
          <w:rFonts w:ascii="宋体" w:eastAsia="宋体" w:hAnsi="宋体"/>
          <w:color w:val="111111"/>
          <w:sz w:val="20"/>
          <w:lang w:eastAsia="zh-CN"/>
        </w:rPr>
        <w:t xml:space="preserve">[18] 生态环境部, 国家统计局. 关于发布2022年电力二氧化碳排放因子的公告[EB/OL]. </w:t>
      </w:r>
      <w:r>
        <w:rPr>
          <w:rFonts w:ascii="宋体" w:eastAsia="宋体" w:hAnsi="宋体"/>
          <w:color w:val="111111"/>
          <w:sz w:val="20"/>
        </w:rPr>
        <w:t>(2024-12-26). https://www.mee.gov.cn/xxgk2018/xxgk/xxgk01/202412/t20241226_1099413.html.</w:t>
      </w:r>
    </w:p>
    <w:p w14:paraId="0DB25454" w14:textId="77777777" w:rsidR="0067454D" w:rsidRDefault="00000000">
      <w:pPr>
        <w:spacing w:before="40" w:after="40" w:line="336" w:lineRule="auto"/>
        <w:jc w:val="both"/>
        <w:rPr>
          <w:lang w:eastAsia="zh-CN"/>
        </w:rPr>
      </w:pPr>
      <w:r>
        <w:rPr>
          <w:rFonts w:ascii="宋体" w:eastAsia="宋体" w:hAnsi="宋体"/>
          <w:color w:val="111111"/>
          <w:sz w:val="20"/>
          <w:lang w:eastAsia="zh-CN"/>
        </w:rPr>
        <w:t>[19] CEADs（中国碳核算数据库）. 中国分部门碳排放数据集（1997—2022）[DB/OL]. 清华大学, 2023. https://www.ceads.net.cn/.</w:t>
      </w:r>
    </w:p>
    <w:p w14:paraId="0D59DEC7" w14:textId="77777777" w:rsidR="0067454D" w:rsidRDefault="00000000">
      <w:pPr>
        <w:spacing w:before="40" w:after="40" w:line="336" w:lineRule="auto"/>
        <w:jc w:val="both"/>
      </w:pPr>
      <w:r>
        <w:rPr>
          <w:rFonts w:ascii="宋体" w:eastAsia="宋体" w:hAnsi="宋体"/>
          <w:color w:val="111111"/>
          <w:sz w:val="20"/>
        </w:rPr>
        <w:t>[20] Elkington J. Cannibals with Forks: The Triple Bottom Line of 21st Century Business[M]. Oxford: Capstone Publishing, 1997.</w:t>
      </w:r>
    </w:p>
    <w:p w14:paraId="4BC43DFA" w14:textId="77777777" w:rsidR="0067454D" w:rsidRDefault="00000000">
      <w:pPr>
        <w:spacing w:before="40" w:after="40" w:line="336" w:lineRule="auto"/>
        <w:jc w:val="both"/>
      </w:pPr>
      <w:r>
        <w:rPr>
          <w:rFonts w:ascii="宋体" w:eastAsia="宋体" w:hAnsi="宋体"/>
          <w:color w:val="111111"/>
          <w:sz w:val="20"/>
        </w:rPr>
        <w:t>[21] Dales J H. Pollution, Property and Prices[M]. Toronto: University of Toronto Press, 1968.</w:t>
      </w:r>
    </w:p>
    <w:p w14:paraId="428A76D0" w14:textId="77777777" w:rsidR="0067454D" w:rsidRDefault="00000000">
      <w:pPr>
        <w:spacing w:before="40" w:after="40" w:line="336" w:lineRule="auto"/>
        <w:jc w:val="both"/>
      </w:pPr>
      <w:r>
        <w:rPr>
          <w:rFonts w:ascii="宋体" w:eastAsia="宋体" w:hAnsi="宋体"/>
          <w:color w:val="111111"/>
          <w:sz w:val="20"/>
        </w:rPr>
        <w:t>[22] Hwang C L, Yoon K. Multiple Attribute Decision Making: Methods and Applications[M]. Berlin: Springer-Verlag, 1981.</w:t>
      </w:r>
    </w:p>
    <w:p w14:paraId="54FCDEFB" w14:textId="77777777" w:rsidR="0067454D" w:rsidRDefault="00000000">
      <w:pPr>
        <w:spacing w:before="40" w:after="40" w:line="336" w:lineRule="auto"/>
        <w:jc w:val="both"/>
        <w:rPr>
          <w:lang w:eastAsia="zh-CN"/>
        </w:rPr>
      </w:pPr>
      <w:r>
        <w:rPr>
          <w:rFonts w:ascii="宋体" w:eastAsia="宋体" w:hAnsi="宋体"/>
          <w:color w:val="111111"/>
          <w:sz w:val="20"/>
        </w:rPr>
        <w:t xml:space="preserve">[23] Grubb M, Agnolucci F, Taylor P. Industrial energy efficiency and carbon pricing[J]. </w:t>
      </w:r>
      <w:r>
        <w:rPr>
          <w:rFonts w:ascii="宋体" w:eastAsia="宋体" w:hAnsi="宋体"/>
          <w:color w:val="111111"/>
          <w:sz w:val="20"/>
          <w:lang w:eastAsia="zh-CN"/>
        </w:rPr>
        <w:t>Energy Policy, 2021, 158: 112033.</w:t>
      </w:r>
    </w:p>
    <w:p w14:paraId="04031FB9" w14:textId="77777777" w:rsidR="0067454D" w:rsidRDefault="00000000">
      <w:pPr>
        <w:spacing w:before="40" w:after="40" w:line="336" w:lineRule="auto"/>
        <w:jc w:val="both"/>
        <w:rPr>
          <w:lang w:eastAsia="zh-CN"/>
        </w:rPr>
      </w:pPr>
      <w:r>
        <w:rPr>
          <w:rFonts w:ascii="宋体" w:eastAsia="宋体" w:hAnsi="宋体"/>
          <w:color w:val="111111"/>
          <w:sz w:val="20"/>
          <w:lang w:eastAsia="zh-CN"/>
        </w:rPr>
        <w:t>[24] 上海环境能源交易所. 全国碳排放权交易市场2023年成交数据公告[EB/OL]. (2024-01-02). https://www.cneeex.com/.</w:t>
      </w:r>
    </w:p>
    <w:p w14:paraId="06E4BC33" w14:textId="77777777" w:rsidR="0067454D" w:rsidRDefault="00000000">
      <w:pPr>
        <w:spacing w:before="40" w:after="40" w:line="336" w:lineRule="auto"/>
        <w:jc w:val="both"/>
        <w:rPr>
          <w:lang w:eastAsia="zh-CN"/>
        </w:rPr>
      </w:pPr>
      <w:r>
        <w:rPr>
          <w:rFonts w:ascii="宋体" w:eastAsia="宋体" w:hAnsi="宋体"/>
          <w:color w:val="111111"/>
          <w:sz w:val="20"/>
          <w:lang w:eastAsia="zh-CN"/>
        </w:rPr>
        <w:t>[25] 国家统计局. 中国工业统计年鉴2023[M]. 北京: 中国统计出版社, 2023.</w:t>
      </w:r>
    </w:p>
    <w:sectPr w:rsidR="0067454D"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1050918">
    <w:abstractNumId w:val="8"/>
  </w:num>
  <w:num w:numId="2" w16cid:durableId="2121996565">
    <w:abstractNumId w:val="6"/>
  </w:num>
  <w:num w:numId="3" w16cid:durableId="1908103015">
    <w:abstractNumId w:val="5"/>
  </w:num>
  <w:num w:numId="4" w16cid:durableId="1413743741">
    <w:abstractNumId w:val="4"/>
  </w:num>
  <w:num w:numId="5" w16cid:durableId="711884227">
    <w:abstractNumId w:val="7"/>
  </w:num>
  <w:num w:numId="6" w16cid:durableId="690491258">
    <w:abstractNumId w:val="3"/>
  </w:num>
  <w:num w:numId="7" w16cid:durableId="1744988305">
    <w:abstractNumId w:val="2"/>
  </w:num>
  <w:num w:numId="8" w16cid:durableId="2022586367">
    <w:abstractNumId w:val="1"/>
  </w:num>
  <w:num w:numId="9" w16cid:durableId="194295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42F"/>
    <w:rsid w:val="001B0D0C"/>
    <w:rsid w:val="001F59F9"/>
    <w:rsid w:val="0029639D"/>
    <w:rsid w:val="002F497E"/>
    <w:rsid w:val="00326F90"/>
    <w:rsid w:val="00436444"/>
    <w:rsid w:val="00455202"/>
    <w:rsid w:val="004E5151"/>
    <w:rsid w:val="00647745"/>
    <w:rsid w:val="0067454D"/>
    <w:rsid w:val="006A4474"/>
    <w:rsid w:val="006B798A"/>
    <w:rsid w:val="006D0677"/>
    <w:rsid w:val="00721E35"/>
    <w:rsid w:val="0076591F"/>
    <w:rsid w:val="007C4AFB"/>
    <w:rsid w:val="00841BE1"/>
    <w:rsid w:val="00853AA1"/>
    <w:rsid w:val="0087781E"/>
    <w:rsid w:val="008A2C0A"/>
    <w:rsid w:val="008D2547"/>
    <w:rsid w:val="008D4E08"/>
    <w:rsid w:val="00936AF9"/>
    <w:rsid w:val="00952831"/>
    <w:rsid w:val="00973596"/>
    <w:rsid w:val="009803D7"/>
    <w:rsid w:val="009D037B"/>
    <w:rsid w:val="00A23950"/>
    <w:rsid w:val="00A47AC5"/>
    <w:rsid w:val="00AA1D8D"/>
    <w:rsid w:val="00AB550F"/>
    <w:rsid w:val="00AD1FD3"/>
    <w:rsid w:val="00B051C8"/>
    <w:rsid w:val="00B47730"/>
    <w:rsid w:val="00B97455"/>
    <w:rsid w:val="00BE0029"/>
    <w:rsid w:val="00C33DD5"/>
    <w:rsid w:val="00C33FB7"/>
    <w:rsid w:val="00CB0664"/>
    <w:rsid w:val="00D502E4"/>
    <w:rsid w:val="00DB2439"/>
    <w:rsid w:val="00DC27C2"/>
    <w:rsid w:val="00DC3D0E"/>
    <w:rsid w:val="00EE0817"/>
    <w:rsid w:val="00F03BDF"/>
    <w:rsid w:val="00F06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8ADFA8"/>
  <w14:defaultImageDpi w14:val="300"/>
  <w15:docId w15:val="{93FC6DC3-BF0F-416E-823E-C843E6C21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7babae4-54f0-44fa-a444-1068224df0ac">
    <w:name w:val="17babae4-54f0-44fa-a444-1068224df0ac"/>
    <w:basedOn w:val="aa"/>
    <w:next w:val="acbfdd8b-e11b-4d36-88ff-6049b138f862"/>
    <w:link w:val="17babae4-54f0-44fa-a444-1068224df0ac0"/>
    <w:rsid w:val="009D037B"/>
    <w:pPr>
      <w:adjustRightInd w:val="0"/>
      <w:spacing w:after="0" w:line="288" w:lineRule="auto"/>
      <w:jc w:val="center"/>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a2"/>
    <w:link w:val="17babae4-54f0-44fa-a444-1068224df0ac"/>
    <w:rsid w:val="009D037B"/>
    <w:rPr>
      <w:rFonts w:ascii="微软雅黑" w:eastAsia="微软雅黑" w:hAnsi="微软雅黑" w:cstheme="majorBidi"/>
      <w:b/>
      <w:color w:val="000000"/>
      <w:spacing w:val="5"/>
      <w:kern w:val="28"/>
      <w:sz w:val="40"/>
      <w:szCs w:val="52"/>
    </w:rPr>
  </w:style>
  <w:style w:type="paragraph" w:customStyle="1" w:styleId="acbfdd8b-e11b-4d36-88ff-6049b138f862">
    <w:name w:val="acbfdd8b-e11b-4d36-88ff-6049b138f862"/>
    <w:basedOn w:val="a1"/>
    <w:link w:val="acbfdd8b-e11b-4d36-88ff-6049b138f8620"/>
    <w:rsid w:val="009D037B"/>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2"/>
    <w:link w:val="acbfdd8b-e11b-4d36-88ff-6049b138f862"/>
    <w:rsid w:val="009D037B"/>
    <w:rPr>
      <w:rFonts w:ascii="微软雅黑" w:eastAsia="微软雅黑" w:hAnsi="微软雅黑"/>
      <w:color w:val="000000"/>
    </w:rPr>
  </w:style>
  <w:style w:type="paragraph" w:customStyle="1" w:styleId="c047f70a-4733-4f89-8971-bccdea5ca046">
    <w:name w:val="c047f70a-4733-4f89-8971-bccdea5ca046"/>
    <w:basedOn w:val="ac"/>
    <w:next w:val="acbfdd8b-e11b-4d36-88ff-6049b138f862"/>
    <w:link w:val="c047f70a-4733-4f89-8971-bccdea5ca0460"/>
    <w:rsid w:val="009D037B"/>
    <w:pPr>
      <w:adjustRightInd w:val="0"/>
      <w:spacing w:after="0" w:line="288" w:lineRule="auto"/>
      <w:jc w:val="center"/>
    </w:pPr>
    <w:rPr>
      <w:rFonts w:ascii="微软雅黑" w:eastAsia="微软雅黑" w:hAnsi="微软雅黑"/>
      <w:i w:val="0"/>
      <w:color w:val="000000"/>
      <w:kern w:val="28"/>
      <w:sz w:val="36"/>
    </w:rPr>
  </w:style>
  <w:style w:type="character" w:customStyle="1" w:styleId="c047f70a-4733-4f89-8971-bccdea5ca0460">
    <w:name w:val="c047f70a-4733-4f89-8971-bccdea5ca046 字符"/>
    <w:basedOn w:val="17babae4-54f0-44fa-a444-1068224df0ac0"/>
    <w:link w:val="c047f70a-4733-4f89-8971-bccdea5ca046"/>
    <w:rsid w:val="009D037B"/>
    <w:rPr>
      <w:rFonts w:ascii="微软雅黑" w:eastAsia="微软雅黑" w:hAnsi="微软雅黑" w:cstheme="majorBidi"/>
      <w:b w:val="0"/>
      <w:iCs/>
      <w:color w:val="000000"/>
      <w:spacing w:val="15"/>
      <w:kern w:val="28"/>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16</Pages>
  <Words>6219</Words>
  <Characters>10077</Characters>
  <Application>Microsoft Office Word</Application>
  <DocSecurity>0</DocSecurity>
  <Lines>438</Lines>
  <Paragraphs>440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俊成 刘</cp:lastModifiedBy>
  <cp:revision>34</cp:revision>
  <dcterms:created xsi:type="dcterms:W3CDTF">2026-04-08T12:39:00Z</dcterms:created>
  <dcterms:modified xsi:type="dcterms:W3CDTF">2026-04-12T15:13:00Z</dcterms:modified>
  <cp:category/>
</cp:coreProperties>
</file>