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Connectome Structure Determines Weights: Bio-Derived Initialization Eliminates Gradient-Based Training in a Drosophila Menotaxis Model</w:t>
      </w:r>
    </w:p>
    <w:p>
      <w:pPr>
        <w:pStyle w:val="Author"/>
      </w:pPr>
      <w:r>
        <w:t xml:space="preserve">JUNJI YOKOYAMA</w:t>
      </w:r>
    </w:p>
    <w:p>
      <w:pPr>
        <w:pStyle w:val="Date"/>
      </w:pPr>
      <w:r>
        <w:t xml:space="preserve">2026-07-05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implement a PyTorch model of the Drosophila central complex (CX)</w:t>
      </w:r>
      <w:r>
        <w:t xml:space="preserve"> </w:t>
      </w:r>
      <w:r>
        <w:t xml:space="preserve">for menotaxis using FlyWire v783 connectome data. The model comprises</w:t>
      </w:r>
      <w:r>
        <w:t xml:space="preserve"> </w:t>
      </w:r>
      <w:r>
        <w:t xml:space="preserve">288 weight tensors, of which 278 are derived directly from synaptic</w:t>
      </w:r>
      <w:r>
        <w:t xml:space="preserve"> </w:t>
      </w:r>
      <w:r>
        <w:t xml:space="preserve">connectivity data. We demonstrate that the remaining 7 seed-dependent</w:t>
      </w:r>
      <w:r>
        <w:t xml:space="preserve"> </w:t>
      </w:r>
      <w:r>
        <w:t xml:space="preserve">tensors (732 scalars) can be biologically derived from the connectome</w:t>
      </w:r>
      <w:r>
        <w:t xml:space="preserve"> </w:t>
      </w:r>
      <w:r>
        <w:t xml:space="preserve">via hierarchical clustering and pseudoinverse factorization, yielding</w:t>
      </w:r>
      <w:r>
        <w:t xml:space="preserve"> </w:t>
      </w:r>
      <w:r>
        <w:t xml:space="preserve">a fully deterministic initialization with zero random parameters.</w:t>
      </w:r>
    </w:p>
    <w:p>
      <w:pPr>
        <w:pStyle w:val="BodyText"/>
      </w:pPr>
      <w:r>
        <w:t xml:space="preserve">The bio-derived model achieves 0.17 deg mean heading error across</w:t>
      </w:r>
      <w:r>
        <w:t xml:space="preserve"> </w:t>
      </w:r>
      <w:r>
        <w:t xml:space="preserve">21/21 closed-loop evaluations (static, multistart, and dynamic</w:t>
      </w:r>
      <w:r>
        <w:t xml:space="preserve"> </w:t>
      </w:r>
      <w:r>
        <w:t xml:space="preserve">goal-switching). Gradient-based training universally degrades</w:t>
      </w:r>
      <w:r>
        <w:t xml:space="preserve"> </w:t>
      </w:r>
      <w:r>
        <w:t xml:space="preserve">closed-loop performance: across 5 random seeds, untrained models</w:t>
      </w:r>
      <w:r>
        <w:t xml:space="preserve"> </w:t>
      </w:r>
      <w:r>
        <w:t xml:space="preserve">outperform their trained counterparts in every case.</w:t>
      </w:r>
    </w:p>
    <w:p>
      <w:pPr>
        <w:pStyle w:val="BodyText"/>
      </w:pPr>
      <w:r>
        <w:t xml:space="preserve">We propose that for evolutionarily conserved behavioral circuits,</w:t>
      </w:r>
      <w:r>
        <w:t xml:space="preserve"> </w:t>
      </w:r>
      <w:r>
        <w:t xml:space="preserve">connectome structure alone is sufficient for function — learning is</w:t>
      </w:r>
      <w:r>
        <w:t xml:space="preserve"> </w:t>
      </w:r>
      <w:r>
        <w:t xml:space="preserve">not merely unnecessary but actively harmful.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Menotaxis — the maintenance of a constant heading relative to a</w:t>
      </w:r>
      <w:r>
        <w:t xml:space="preserve"> </w:t>
      </w:r>
      <w:r>
        <w:t xml:space="preserve">visual landmark — is a foundational navigational behavior in</w:t>
      </w:r>
      <w:r>
        <w:t xml:space="preserve"> </w:t>
      </w:r>
      <w:r>
        <w:t xml:space="preserve">Drosophila. The neural substrate is the central complex (CX), a</w:t>
      </w:r>
      <w:r>
        <w:t xml:space="preserve"> </w:t>
      </w:r>
      <w:r>
        <w:t xml:space="preserve">midline neuropil whose principal components include the ellipsoid</w:t>
      </w:r>
      <w:r>
        <w:t xml:space="preserve"> </w:t>
      </w:r>
      <w:r>
        <w:t xml:space="preserve">body (EPG ring attractor) and fan-shaped body, with</w:t>
      </w:r>
      <w:r>
        <w:t xml:space="preserve"> </w:t>
      </w:r>
      <w:r>
        <w:t xml:space="preserve">columnar output neurons (PFL3) projecting to descending neurons</w:t>
      </w:r>
      <w:r>
        <w:t xml:space="preserve"> </w:t>
      </w:r>
      <w:r>
        <w:t xml:space="preserve">(DNb01, DNpe016, LAL121) that drive motor action.</w:t>
      </w:r>
    </w:p>
    <w:p>
      <w:pPr>
        <w:pStyle w:val="BodyText"/>
      </w:pPr>
      <w:r>
        <w:t xml:space="preserve">The publication of the FlyWire v783 connectome — a whole-brain</w:t>
      </w:r>
      <w:r>
        <w:t xml:space="preserve"> </w:t>
      </w:r>
      <w:r>
        <w:t xml:space="preserve">electron microscopy reconstruction of the adult Drosophila</w:t>
      </w:r>
      <w:r>
        <w:t xml:space="preserve"> </w:t>
      </w:r>
      <w:r>
        <w:t xml:space="preserve">central nervous system — provides a complete synaptic wiring</w:t>
      </w:r>
      <w:r>
        <w:t xml:space="preserve"> </w:t>
      </w:r>
      <w:r>
        <w:t xml:space="preserve">diagram of these circuits. The central question of this work is</w:t>
      </w:r>
      <w:r>
        <w:t xml:space="preserve"> </w:t>
      </w:r>
      <w:r>
        <w:t xml:space="preserve">whether the connectome alone, without any gradient-based learning,</w:t>
      </w:r>
      <w:r>
        <w:t xml:space="preserve"> </w:t>
      </w:r>
      <w:r>
        <w:t xml:space="preserve">is sufficient to specify a functional menotaxis controller.</w:t>
      </w:r>
    </w:p>
    <w:p>
      <w:pPr>
        <w:pStyle w:val="BodyText"/>
      </w:pPr>
      <w:r>
        <w:t xml:space="preserve">We approach this question by implementing the CX circuitry in</w:t>
      </w:r>
      <w:r>
        <w:t xml:space="preserve"> </w:t>
      </w:r>
      <w:r>
        <w:t xml:space="preserve">PyTorch and deriving the model weights directly from synaptic</w:t>
      </w:r>
      <w:r>
        <w:t xml:space="preserve"> </w:t>
      </w:r>
      <w:r>
        <w:t xml:space="preserve">connectivity data. The conventional machine learning pipeline</w:t>
      </w:r>
      <w:r>
        <w:t xml:space="preserve"> </w:t>
      </w:r>
      <w:r>
        <w:t xml:space="preserve">assumes that network weights must be learned; we test the</w:t>
      </w:r>
      <w:r>
        <w:t xml:space="preserve"> </w:t>
      </w:r>
      <w:r>
        <w:t xml:space="preserve">contrary hypothesis that for evolutionarily conserved circuits,</w:t>
      </w:r>
      <w:r>
        <w:t xml:space="preserve"> </w:t>
      </w:r>
      <w:r>
        <w:t xml:space="preserve">the connectome structure already encodes the weights.</w:t>
      </w:r>
    </w:p>
    <w:p>
      <w:pPr>
        <w:pStyle w:val="BodyText"/>
      </w:pPr>
      <w:r>
        <w:t xml:space="preserve">The principal finding is that bio-derived initialization not only</w:t>
      </w:r>
      <w:r>
        <w:t xml:space="preserve"> </w:t>
      </w:r>
      <w:r>
        <w:t xml:space="preserve">matches but exceeds trained performance: across 5 random seeds,</w:t>
      </w:r>
      <w:r>
        <w:t xml:space="preserve"> </w:t>
      </w:r>
      <w:r>
        <w:t xml:space="preserve">gradient-based training degrades closed-loop performance in every</w:t>
      </w:r>
      <w:r>
        <w:t xml:space="preserve"> </w:t>
      </w:r>
      <w:r>
        <w:t xml:space="preserve">case, by factors ranging from 2.5x to 93x. This suggests that</w:t>
      </w:r>
      <w:r>
        <w:t xml:space="preserve"> </w:t>
      </w:r>
      <w:r>
        <w:t xml:space="preserve">connectome structure is not merely an initialization prior but</w:t>
      </w:r>
      <w:r>
        <w:t xml:space="preserve"> </w:t>
      </w:r>
      <w:r>
        <w:t xml:space="preserve">a complete specification of function for this circuit class.</w:t>
      </w:r>
    </w:p>
    <w:bookmarkEnd w:id="10"/>
    <w:bookmarkStart w:id="14" w:name="methods"/>
    <w:p>
      <w:pPr>
        <w:pStyle w:val="Heading2"/>
      </w:pPr>
      <w:r>
        <w:t xml:space="preserve">2. Methods</w:t>
      </w:r>
    </w:p>
    <w:bookmarkStart w:id="11" w:name="flyvisionv2-architecture"/>
    <w:p>
      <w:pPr>
        <w:pStyle w:val="Heading3"/>
      </w:pPr>
      <w:r>
        <w:t xml:space="preserve">2.1 FlyVisionV2 Architecture</w:t>
      </w:r>
    </w:p>
    <w:p>
      <w:pPr>
        <w:pStyle w:val="FirstParagraph"/>
      </w:pPr>
      <w:r>
        <w:t xml:space="preserve">The implementation comprises 288 weight tensors organized across</w:t>
      </w:r>
      <w:r>
        <w:t xml:space="preserve"> </w:t>
      </w:r>
      <w:r>
        <w:t xml:space="preserve">the lamina, medulla, ring attractor (EPG), Delta7 columns, PFL3</w:t>
      </w:r>
      <w:r>
        <w:t xml:space="preserve"> </w:t>
      </w:r>
      <w:r>
        <w:t xml:space="preserve">output, and motor control stages. Of these:</w:t>
      </w:r>
    </w:p>
    <w:p>
      <w:pPr>
        <w:pStyle w:val="Compact"/>
        <w:numPr>
          <w:ilvl w:val="0"/>
          <w:numId w:val="1001"/>
        </w:numPr>
      </w:pPr>
      <w:r>
        <w:t xml:space="preserve">278 tensors are derived from FlyWire synaptic connectivity</w:t>
      </w:r>
      <w:r>
        <w:t xml:space="preserve"> </w:t>
      </w:r>
      <w:r>
        <w:t xml:space="preserve">data (existing implementation, unchanged).</w:t>
      </w:r>
    </w:p>
    <w:p>
      <w:pPr>
        <w:pStyle w:val="Compact"/>
        <w:numPr>
          <w:ilvl w:val="0"/>
          <w:numId w:val="1001"/>
        </w:numPr>
      </w:pPr>
      <w:r>
        <w:t xml:space="preserve">3 tensors are constants: dnpe016 and lal121 weights are</w:t>
      </w:r>
      <w:r>
        <w:t xml:space="preserve"> </w:t>
      </w:r>
      <w:r>
        <w:t xml:space="preserve">initialized to 0.1; motor biases are initialized to 0.</w:t>
      </w:r>
    </w:p>
    <w:p>
      <w:pPr>
        <w:pStyle w:val="Compact"/>
        <w:numPr>
          <w:ilvl w:val="0"/>
          <w:numId w:val="1001"/>
        </w:numPr>
      </w:pPr>
      <w:r>
        <w:t xml:space="preserve">7 tensors (732 scalars in total) are seed-dependent in the</w:t>
      </w:r>
      <w:r>
        <w:t xml:space="preserve"> </w:t>
      </w:r>
      <w:r>
        <w:t xml:space="preserve">baseline implementation. These are:</w:t>
      </w:r>
      <w:r>
        <w:t xml:space="preserve"> </w:t>
      </w:r>
      <w:r>
        <w:rPr>
          <w:rStyle w:val="VerbatimChar"/>
        </w:rPr>
        <w:t xml:space="preserve">to_columns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to_neurons_L/R</w:t>
      </w:r>
      <w:r>
        <w:t xml:space="preserve">,</w:t>
      </w:r>
      <w:r>
        <w:t xml:space="preserve"> </w:t>
      </w:r>
      <w:r>
        <w:rPr>
          <w:rStyle w:val="VerbatimChar"/>
        </w:rPr>
        <w:t xml:space="preserve">dnb01_L/R</w:t>
      </w:r>
      <w:r>
        <w:t xml:space="preserve">,</w:t>
      </w:r>
      <w:r>
        <w:t xml:space="preserve"> </w:t>
      </w:r>
      <w:r>
        <w:rPr>
          <w:rStyle w:val="VerbatimChar"/>
        </w:rPr>
        <w:t xml:space="preserve">fc2a_to_motor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t4_to_motor</w:t>
      </w:r>
      <w:r>
        <w:t xml:space="preserve">.</w:t>
      </w:r>
    </w:p>
    <w:p>
      <w:pPr>
        <w:pStyle w:val="FirstParagraph"/>
      </w:pPr>
      <w:r>
        <w:t xml:space="preserve">The production code (</w:t>
      </w:r>
      <w:r>
        <w:rPr>
          <w:rStyle w:val="VerbatimChar"/>
        </w:rPr>
        <w:t xml:space="preserve">fly_vision_v2.py</w:t>
      </w:r>
      <w:r>
        <w:t xml:space="preserve">, MD5: edffa4a0) was held</w:t>
      </w:r>
      <w:r>
        <w:t xml:space="preserve"> </w:t>
      </w:r>
      <w:r>
        <w:t xml:space="preserve">unchanged throughout the experiment. All bio-derived values were</w:t>
      </w:r>
      <w:r>
        <w:t xml:space="preserve"> </w:t>
      </w:r>
      <w:r>
        <w:t xml:space="preserve">computed offline and stored as initial state dicts.</w:t>
      </w:r>
    </w:p>
    <w:bookmarkEnd w:id="11"/>
    <w:bookmarkStart w:id="12" w:name="bio-derived-initialization"/>
    <w:p>
      <w:pPr>
        <w:pStyle w:val="Heading3"/>
      </w:pPr>
      <w:r>
        <w:t xml:space="preserve">2.2 Bio-Derived Initialization</w:t>
      </w:r>
    </w:p>
    <w:p>
      <w:pPr>
        <w:pStyle w:val="FirstParagraph"/>
      </w:pPr>
      <w:r>
        <w:t xml:space="preserve">The 7 seed-dependent tensors are derived from the FlyWire v783</w:t>
      </w:r>
      <w:r>
        <w:t xml:space="preserve"> </w:t>
      </w:r>
      <w:r>
        <w:t xml:space="preserve">synaptic connectivity table via the following procedure.</w:t>
      </w:r>
    </w:p>
    <w:p>
      <w:pPr>
        <w:pStyle w:val="BodyText"/>
      </w:pPr>
      <w:r>
        <w:rPr>
          <w:b/>
          <w:bCs/>
        </w:rPr>
        <w:t xml:space="preserve">Step 1 — CSV ingestion.</w:t>
      </w:r>
      <w:r>
        <w:t xml:space="preserve"> </w:t>
      </w:r>
      <w:r>
        <w:t xml:space="preserve">The full connectome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connections_princeton.csv</w:t>
      </w:r>
      <w:r>
        <w:t xml:space="preserve">, 5,342,446 rows) is scanned for all</w:t>
      </w:r>
      <w:r>
        <w:t xml:space="preserve"> </w:t>
      </w:r>
      <w:r>
        <w:t xml:space="preserve">synapses involving the relevant cell populations.</w:t>
      </w:r>
    </w:p>
    <w:p>
      <w:pPr>
        <w:pStyle w:val="BodyText"/>
      </w:pPr>
      <w:r>
        <w:rPr>
          <w:b/>
          <w:bCs/>
        </w:rPr>
        <w:t xml:space="preserve">Step 2 — Upstream matrix construction.</w:t>
      </w:r>
      <w:r>
        <w:t xml:space="preserve"> </w:t>
      </w:r>
      <w:r>
        <w:t xml:space="preserve">The 71 upstream</w:t>
      </w:r>
      <w:r>
        <w:t xml:space="preserve"> </w:t>
      </w:r>
      <w:r>
        <w:t xml:space="preserve">neurons projecting to PFL3 are partitioned as: Delta7 (42), FC2A</w:t>
      </w:r>
      <w:r>
        <w:t xml:space="preserve"> </w:t>
      </w:r>
      <w:r>
        <w:t xml:space="preserve">(17), hDeltaM (8), and FB5A (4). The 24 PFL3 cells form the</w:t>
      </w:r>
      <w:r>
        <w:t xml:space="preserve"> </w:t>
      </w:r>
      <w:r>
        <w:t xml:space="preserve">downstream set. Total upstream synapses: 8,191.</w:t>
      </w:r>
    </w:p>
    <w:p>
      <w:pPr>
        <w:pStyle w:val="BodyText"/>
      </w:pPr>
      <w:r>
        <w:rPr>
          <w:b/>
          <w:bCs/>
        </w:rPr>
        <w:t xml:space="preserve">Step 3 — Downstream matrix construction.</w:t>
      </w:r>
      <w:r>
        <w:t xml:space="preserve"> </w:t>
      </w:r>
      <w:r>
        <w:t xml:space="preserve">The 24 PFL3 cells</w:t>
      </w:r>
      <w:r>
        <w:t xml:space="preserve"> </w:t>
      </w:r>
      <w:r>
        <w:t xml:space="preserve">project to 6 descending neurons: LAL121 (4,125 synapses), DNb01</w:t>
      </w:r>
      <w:r>
        <w:t xml:space="preserve"> </w:t>
      </w:r>
      <w:r>
        <w:t xml:space="preserve">(839 synapses), and DNpe016 (782 synapses), forming a bilateral</w:t>
      </w:r>
      <w:r>
        <w:t xml:space="preserve"> </w:t>
      </w:r>
      <w:r>
        <w:t xml:space="preserve">left-right pair for each. Total downstream synapses: 5,746.</w:t>
      </w:r>
    </w:p>
    <w:p>
      <w:pPr>
        <w:pStyle w:val="BodyText"/>
      </w:pPr>
      <w:r>
        <w:rPr>
          <w:b/>
          <w:bCs/>
        </w:rPr>
        <w:t xml:space="preserve">Step 4 — Bilateral separation.</w:t>
      </w:r>
      <w:r>
        <w:t xml:space="preserve"> </w:t>
      </w:r>
      <w:r>
        <w:t xml:space="preserve">The downstream matrix exhibits</w:t>
      </w:r>
      <w:r>
        <w:t xml:space="preserve"> </w:t>
      </w:r>
      <w:r>
        <w:t xml:space="preserve">a perfect binary left/right separation: 12 PFL3 cells project to</w:t>
      </w:r>
      <w:r>
        <w:t xml:space="preserve"> </w:t>
      </w:r>
      <w:r>
        <w:t xml:space="preserve">left-side motor neurons and 12 to right-side. Contralateral</w:t>
      </w:r>
      <w:r>
        <w:t xml:space="preserve"> </w:t>
      </w:r>
      <w:r>
        <w:t xml:space="preserve">crossing patterns differ by descending neuron class: DNb01 is</w:t>
      </w:r>
      <w:r>
        <w:t xml:space="preserve"> </w:t>
      </w:r>
      <w:r>
        <w:t xml:space="preserve">ipsilateral, while DNpe016 and LAL121 are contralateral.</w:t>
      </w:r>
    </w:p>
    <w:p>
      <w:pPr>
        <w:pStyle w:val="BodyText"/>
      </w:pPr>
      <w:r>
        <w:rPr>
          <w:b/>
          <w:bCs/>
        </w:rPr>
        <w:t xml:space="preserve">Step 5 — Column clustering.</w:t>
      </w:r>
      <w:r>
        <w:t xml:space="preserve"> </w:t>
      </w:r>
      <w:r>
        <w:t xml:space="preserve">Hierarchical clustering on the</w:t>
      </w:r>
      <w:r>
        <w:t xml:space="preserve"> </w:t>
      </w:r>
      <w:r>
        <w:t xml:space="preserve">upstream projection pattern yields 8 column groups of 3 PFL3</w:t>
      </w:r>
      <w:r>
        <w:t xml:space="preserve"> </w:t>
      </w:r>
      <w:r>
        <w:t xml:space="preserve">cells each. Validation by within-cluster versus between-cluster</w:t>
      </w:r>
      <w:r>
        <w:t xml:space="preserve"> </w:t>
      </w:r>
      <w:r>
        <w:t xml:space="preserve">cosine similarity shows clear separation (within: 0.37–0.45;</w:t>
      </w:r>
      <w:r>
        <w:t xml:space="preserve"> </w:t>
      </w:r>
      <w:r>
        <w:t xml:space="preserve">between: 0.09–0.10).</w:t>
      </w:r>
    </w:p>
    <w:p>
      <w:pPr>
        <w:pStyle w:val="BodyText"/>
      </w:pPr>
      <w:r>
        <w:rPr>
          <w:b/>
          <w:bCs/>
        </w:rPr>
        <w:t xml:space="preserve">Step 6 — Tensor computation.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to_columns.weight[8, 71]</w:t>
      </w:r>
      <w:r>
        <w:t xml:space="preserve">: per-column mean projection,</w:t>
      </w:r>
      <w:r>
        <w:t xml:space="preserve"> </w:t>
      </w:r>
      <w:r>
        <w:t xml:space="preserve">max-normalized, then Xavier-scaled by factor 0.2756.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to_neurons_{L,R}.weight[12, 4]</w:t>
      </w:r>
      <w:r>
        <w:t xml:space="preserve">: computed as</w:t>
      </w:r>
      <w:r>
        <w:t xml:space="preserve"> </w:t>
      </w:r>
      <w:r>
        <w:rPr>
          <w:rStyle w:val="VerbatimChar"/>
        </w:rPr>
        <w:t xml:space="preserve">U @ pinv(C)</w:t>
      </w:r>
      <w:r>
        <w:t xml:space="preserve">,</w:t>
      </w:r>
      <w:r>
        <w:t xml:space="preserve"> </w:t>
      </w:r>
      <w:r>
        <w:t xml:space="preserve">abs-max normalized, Xavier-scaled by factor 0.6124.</w:t>
      </w:r>
      <w:r>
        <w:t xml:space="preserve"> </w:t>
      </w:r>
      <w:r>
        <w:t xml:space="preserve">Pseudoinverse reconstruction error: 61–63%, attributed to the</w:t>
      </w:r>
      <w:r>
        <w:t xml:space="preserve"> </w:t>
      </w:r>
      <w:r>
        <w:t xml:space="preserve">nonlinear path component.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dnb01_{L,R}.weight[1, 12]</w:t>
      </w:r>
      <w:r>
        <w:t xml:space="preserve">: direct downstream synapse</w:t>
      </w:r>
      <w:r>
        <w:t xml:space="preserve"> </w:t>
      </w:r>
      <w:r>
        <w:t xml:space="preserve">counts, max-normalized, scaled by 0.2.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fc2a_to_motor[2, 17]</w:t>
      </w:r>
      <w:r>
        <w:t xml:space="preserve">: zero — the FlyWire CSV records no</w:t>
      </w:r>
      <w:r>
        <w:t xml:space="preserve"> </w:t>
      </w:r>
      <w:r>
        <w:t xml:space="preserve">direct FC2A-to-motor synapses.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t4_to_motor[2, 5, 1, 1]</w:t>
      </w:r>
      <w:r>
        <w:t xml:space="preserve">: zero — the consolidated cell types</w:t>
      </w:r>
      <w:r>
        <w:t xml:space="preserve"> </w:t>
      </w:r>
      <w:r>
        <w:t xml:space="preserve">table provides no type definition for T4, precluding weight</w:t>
      </w:r>
      <w:r>
        <w:t xml:space="preserve"> </w:t>
      </w:r>
      <w:r>
        <w:t xml:space="preserve">derivation.</w:t>
      </w:r>
    </w:p>
    <w:bookmarkEnd w:id="12"/>
    <w:bookmarkStart w:id="13" w:name="closed-loop-evaluation-protocol"/>
    <w:p>
      <w:pPr>
        <w:pStyle w:val="Heading3"/>
      </w:pPr>
      <w:r>
        <w:t xml:space="preserve">2.3 Closed-Loop Evaluation Protocol</w:t>
      </w:r>
    </w:p>
    <w:p>
      <w:pPr>
        <w:pStyle w:val="FirstParagraph"/>
      </w:pPr>
      <w:r>
        <w:t xml:space="preserve">The model is evaluated in three closed-loop modes: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Static</w:t>
      </w:r>
      <w:r>
        <w:t xml:space="preserve"> </w:t>
      </w:r>
      <w:r>
        <w:t xml:space="preserve">(3 episodes): fixed goal heading, 60s duration,</w:t>
      </w:r>
      <w:r>
        <w:t xml:space="preserve"> </w:t>
      </w:r>
      <w:r>
        <w:t xml:space="preserve">test of basic heading stabilization.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Multistart</w:t>
      </w:r>
      <w:r>
        <w:t xml:space="preserve"> </w:t>
      </w:r>
      <w:r>
        <w:t xml:space="preserve">(12 episodes): randomized initial headings,</w:t>
      </w:r>
      <w:r>
        <w:t xml:space="preserve"> </w:t>
      </w:r>
      <w:r>
        <w:t xml:space="preserve">test of convergence from arbitrary starting conditions.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Dynamic150</w:t>
      </w:r>
      <w:r>
        <w:t xml:space="preserve"> </w:t>
      </w:r>
      <w:r>
        <w:t xml:space="preserve">(3 episodes): goal switching at step 37 within 150-step runs,</w:t>
      </w:r>
      <w:r>
        <w:t xml:space="preserve"> </w:t>
      </w:r>
      <w:r>
        <w:t xml:space="preserve">test of trajectory tracking under time-varying targets.</w:t>
      </w:r>
    </w:p>
    <w:p>
      <w:pPr>
        <w:pStyle w:val="FirstParagraph"/>
      </w:pPr>
      <w:r>
        <w:t xml:space="preserve">A run is scored as a</w:t>
      </w:r>
      <w:r>
        <w:t xml:space="preserve"> </w:t>
      </w:r>
      <w:r>
        <w:t xml:space="preserve">“hit”</w:t>
      </w:r>
      <w:r>
        <w:t xml:space="preserve"> </w:t>
      </w:r>
      <w:r>
        <w:t xml:space="preserve">if final heading error is below 15</w:t>
      </w:r>
      <w:r>
        <w:t xml:space="preserve"> </w:t>
      </w:r>
      <w:r>
        <w:t xml:space="preserve">degrees. The harness is</w:t>
      </w:r>
      <w:r>
        <w:t xml:space="preserve"> </w:t>
      </w:r>
      <w:r>
        <w:rPr>
          <w:rStyle w:val="VerbatimChar"/>
        </w:rPr>
        <w:t xml:space="preserve">closed_loop_v5_beta_eval.py</w:t>
      </w:r>
      <w:r>
        <w:t xml:space="preserve">.</w:t>
      </w:r>
    </w:p>
    <w:bookmarkEnd w:id="13"/>
    <w:bookmarkEnd w:id="14"/>
    <w:bookmarkStart w:id="19" w:name="results"/>
    <w:p>
      <w:pPr>
        <w:pStyle w:val="Heading2"/>
      </w:pPr>
      <w:r>
        <w:t xml:space="preserve">3. Results</w:t>
      </w:r>
    </w:p>
    <w:bookmarkStart w:id="15" w:name="Xa27d24bea98ae883affe0519e8af00f39ebe561"/>
    <w:p>
      <w:pPr>
        <w:pStyle w:val="Heading3"/>
      </w:pPr>
      <w:r>
        <w:t xml:space="preserve">3.1 Training Universally Degrades Performance</w:t>
      </w:r>
    </w:p>
    <w:p>
      <w:pPr>
        <w:pStyle w:val="FirstParagraph"/>
      </w:pPr>
      <w:r>
        <w:t xml:space="preserve">To establish that bio-derived initialization is not merely an</w:t>
      </w:r>
      <w:r>
        <w:t xml:space="preserve"> </w:t>
      </w:r>
      <w:r>
        <w:t xml:space="preserve">unusually lucky prior, we compare 5 random seeds and their</w:t>
      </w:r>
      <w:r>
        <w:t xml:space="preserve"> </w:t>
      </w:r>
      <w:r>
        <w:t xml:space="preserve">gradient-trained counterparts. Random initialization uses the</w:t>
      </w:r>
      <w:r>
        <w:t xml:space="preserve"> </w:t>
      </w:r>
      <w:r>
        <w:t xml:space="preserve">PyTorch default; training runs 50 episodes with PFL3 weights frozen (freeze_pfl3), optimizing only the motor output layer. This represents the best-case workaround; co-training of PFL3 and motor produces even worse degradation.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Random Init (static)</w:t>
            </w:r>
          </w:p>
        </w:tc>
        <w:tc>
          <w:tcPr/>
          <w:p>
            <w:pPr>
              <w:pStyle w:val="Compact"/>
            </w:pPr>
            <w:r>
              <w:t xml:space="preserve">Trained BEST (static)</w:t>
            </w:r>
          </w:p>
        </w:tc>
        <w:tc>
          <w:tcPr/>
          <w:p>
            <w:pPr>
              <w:pStyle w:val="Compact"/>
            </w:pPr>
            <w:r>
              <w:t xml:space="preserve">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0.12 deg (3/3)</w:t>
            </w:r>
          </w:p>
        </w:tc>
        <w:tc>
          <w:tcPr/>
          <w:p>
            <w:pPr>
              <w:pStyle w:val="Compact"/>
            </w:pPr>
            <w:r>
              <w:t xml:space="preserve">11.18 deg (3/3)</w:t>
            </w:r>
          </w:p>
        </w:tc>
        <w:tc>
          <w:tcPr/>
          <w:p>
            <w:pPr>
              <w:pStyle w:val="Compact"/>
            </w:pPr>
            <w:r>
              <w:t xml:space="preserve">93x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2.37 deg (3/3)</w:t>
            </w:r>
          </w:p>
        </w:tc>
        <w:tc>
          <w:tcPr/>
          <w:p>
            <w:pPr>
              <w:pStyle w:val="Compact"/>
            </w:pPr>
            <w:r>
              <w:t xml:space="preserve">6.01 deg (3/3)</w:t>
            </w:r>
          </w:p>
        </w:tc>
        <w:tc>
          <w:tcPr/>
          <w:p>
            <w:pPr>
              <w:pStyle w:val="Compact"/>
            </w:pPr>
            <w:r>
              <w:t xml:space="preserve">2.5x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19.33 deg (3/3)</w:t>
            </w:r>
          </w:p>
        </w:tc>
        <w:tc>
          <w:tcPr/>
          <w:p>
            <w:pPr>
              <w:pStyle w:val="Compact"/>
            </w:pPr>
            <w:r>
              <w:t xml:space="preserve">98.22 deg (1/3)</w:t>
            </w:r>
          </w:p>
        </w:tc>
        <w:tc>
          <w:tcPr/>
          <w:p>
            <w:pPr>
              <w:pStyle w:val="Compact"/>
            </w:pPr>
            <w:r>
              <w:t xml:space="preserve">5.1x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23.33 deg (3/3)</w:t>
            </w:r>
          </w:p>
        </w:tc>
        <w:tc>
          <w:tcPr/>
          <w:p>
            <w:pPr>
              <w:pStyle w:val="Compact"/>
            </w:pPr>
            <w:r>
              <w:t xml:space="preserve">117.59 deg (0/3)</w:t>
            </w:r>
          </w:p>
        </w:tc>
        <w:tc>
          <w:tcPr/>
          <w:p>
            <w:pPr>
              <w:pStyle w:val="Compact"/>
            </w:pPr>
            <w:r>
              <w:t xml:space="preserve">5.0x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35.44 deg (0/3)</w:t>
            </w:r>
          </w:p>
        </w:tc>
        <w:tc>
          <w:tcPr/>
          <w:p>
            <w:pPr>
              <w:pStyle w:val="Compact"/>
            </w:pPr>
            <w:r>
              <w:t xml:space="preserve">126.25 deg (0/3)</w:t>
            </w:r>
          </w:p>
        </w:tc>
        <w:tc>
          <w:tcPr/>
          <w:p>
            <w:pPr>
              <w:pStyle w:val="Compact"/>
            </w:pPr>
            <w:r>
              <w:t xml:space="preserve">3.6x</w:t>
            </w:r>
          </w:p>
        </w:tc>
      </w:tr>
    </w:tbl>
    <w:p>
      <w:pPr>
        <w:pStyle w:val="BodyText"/>
      </w:pPr>
      <w:r>
        <w:t xml:space="preserve">In every case, gradient-based training degrades closed-loop</w:t>
      </w:r>
      <w:r>
        <w:t xml:space="preserve"> </w:t>
      </w:r>
      <w:r>
        <w:t xml:space="preserve">performance. The degradation factor exceeds 2x in all cases and</w:t>
      </w:r>
      <w:r>
        <w:t xml:space="preserve"> </w:t>
      </w:r>
      <w:r>
        <w:t xml:space="preserve">reaches 93x for the best-performing seed. Seeds 2026 and 99 fail</w:t>
      </w:r>
      <w:r>
        <w:t xml:space="preserve"> </w:t>
      </w:r>
      <w:r>
        <w:t xml:space="preserve">to achieve any hit (0/3) after training, despite starting from</w:t>
      </w:r>
      <w:r>
        <w:t xml:space="preserve"> </w:t>
      </w:r>
      <w:r>
        <w:t xml:space="preserve">functional or marginal random initializations.</w:t>
      </w:r>
    </w:p>
    <w:bookmarkEnd w:id="15"/>
    <w:bookmarkStart w:id="16" w:name="bio-derived-deterministic-initialization"/>
    <w:p>
      <w:pPr>
        <w:pStyle w:val="Heading3"/>
      </w:pPr>
      <w:r>
        <w:t xml:space="preserve">3.2 Bio-Derived Deterministic Initialization</w:t>
      </w:r>
    </w:p>
    <w:p>
      <w:pPr>
        <w:pStyle w:val="FirstParagraph"/>
      </w:pPr>
      <w:r>
        <w:t xml:space="preserve">The bio-derived model — with all 7 seed-dependent tensors</w:t>
      </w:r>
      <w:r>
        <w:t xml:space="preserve"> </w:t>
      </w:r>
      <w:r>
        <w:t xml:space="preserve">computed from the FlyWire CSV via the procedure in Section 2.2 —</w:t>
      </w:r>
      <w:r>
        <w:t xml:space="preserve"> </w:t>
      </w:r>
      <w:r>
        <w:t xml:space="preserve">achieves deterministic, seed-independent performance: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Hit Rate</w:t>
            </w:r>
          </w:p>
        </w:tc>
        <w:tc>
          <w:tcPr/>
          <w:p>
            <w:pPr>
              <w:pStyle w:val="Compact"/>
            </w:pPr>
            <w:r>
              <w:t xml:space="preserve">Mean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3/3</w:t>
            </w:r>
          </w:p>
        </w:tc>
        <w:tc>
          <w:tcPr/>
          <w:p>
            <w:pPr>
              <w:pStyle w:val="Compact"/>
            </w:pPr>
            <w:r>
              <w:t xml:space="preserve">0.17 deg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Multistart</w:t>
            </w:r>
          </w:p>
        </w:tc>
        <w:tc>
          <w:tcPr/>
          <w:p>
            <w:pPr>
              <w:pStyle w:val="Compact"/>
            </w:pPr>
            <w:r>
              <w:t xml:space="preserve">12/12</w:t>
            </w:r>
          </w:p>
        </w:tc>
        <w:tc>
          <w:tcPr/>
          <w:p>
            <w:pPr>
              <w:pStyle w:val="Compact"/>
            </w:pPr>
            <w:r>
              <w:t xml:space="preserve">0.19 deg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Dynamic150</w:t>
            </w:r>
          </w:p>
        </w:tc>
        <w:tc>
          <w:tcPr/>
          <w:p>
            <w:pPr>
              <w:pStyle w:val="Compact"/>
            </w:pPr>
            <w:r>
              <w:t xml:space="preserve">3/3</w:t>
            </w:r>
          </w:p>
        </w:tc>
        <w:tc>
          <w:tcPr/>
          <w:p>
            <w:pPr>
              <w:pStyle w:val="Compact"/>
            </w:pPr>
            <w:r>
              <w:t xml:space="preserve">0.14 deg</w:t>
            </w:r>
          </w:p>
        </w:tc>
      </w:tr>
    </w:tbl>
    <w:p>
      <w:pPr>
        <w:pStyle w:val="BodyText"/>
      </w:pPr>
      <w:r>
        <w:t xml:space="preserve">Total: 21/21 hits across all evaluation modes, with mean error</w:t>
      </w:r>
      <w:r>
        <w:t xml:space="preserve"> </w:t>
      </w:r>
      <w:r>
        <w:t xml:space="preserve">below 0.2 deg in each. Crucially, this performance is fully</w:t>
      </w:r>
      <w:r>
        <w:t xml:space="preserve"> </w:t>
      </w:r>
      <w:r>
        <w:t xml:space="preserve">reproducible: running the model with any RNG seed produces</w:t>
      </w:r>
      <w:r>
        <w:t xml:space="preserve"> </w:t>
      </w:r>
      <w:r>
        <w:t xml:space="preserve">identical results.</w:t>
      </w:r>
    </w:p>
    <w:bookmarkEnd w:id="16"/>
    <w:bookmarkStart w:id="17" w:name="biological-discoveries"/>
    <w:p>
      <w:pPr>
        <w:pStyle w:val="Heading3"/>
      </w:pPr>
      <w:r>
        <w:t xml:space="preserve">3.3 Biological Discoveries</w:t>
      </w:r>
    </w:p>
    <w:p>
      <w:pPr>
        <w:pStyle w:val="FirstParagraph"/>
      </w:pPr>
      <w:r>
        <w:t xml:space="preserve">Analysis of the upstream and downstream matrices reveals three</w:t>
      </w:r>
      <w:r>
        <w:t xml:space="preserve"> </w:t>
      </w:r>
      <w:r>
        <w:t xml:space="preserve">structural findings: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FC2A → motor direct pathway is absent.</w:t>
      </w:r>
      <w:r>
        <w:t xml:space="preserve"> </w:t>
      </w:r>
      <w:r>
        <w:t xml:space="preserve">The connectome</w:t>
      </w:r>
      <w:r>
        <w:t xml:space="preserve"> </w:t>
      </w:r>
      <w:r>
        <w:t xml:space="preserve">records zero direct synapses from FC2A to any of the 6</w:t>
      </w:r>
      <w:r>
        <w:t xml:space="preserve"> </w:t>
      </w:r>
      <w:r>
        <w:t xml:space="preserve">descending neurons. The corresponding weight tensor</w:t>
      </w:r>
      <w:r>
        <w:t xml:space="preserve"> </w:t>
      </w:r>
      <w:r>
        <w:t xml:space="preserve">(</w:t>
      </w:r>
      <w:r>
        <w:rPr>
          <w:rStyle w:val="VerbatimChar"/>
        </w:rPr>
        <w:t xml:space="preserve">fc2a_to_motor</w:t>
      </w:r>
      <w:r>
        <w:t xml:space="preserve">) has no biological basis.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T4 has no type definition.</w:t>
      </w:r>
      <w:r>
        <w:t xml:space="preserve"> </w:t>
      </w:r>
      <w:r>
        <w:t xml:space="preserve">The consolidated cell types</w:t>
      </w:r>
      <w:r>
        <w:t xml:space="preserve"> </w:t>
      </w:r>
      <w:r>
        <w:t xml:space="preserve">table does not provide a type assignment for T4 neurons,</w:t>
      </w:r>
      <w:r>
        <w:t xml:space="preserve"> </w:t>
      </w:r>
      <w:r>
        <w:t xml:space="preserve">precluding direct weight derivation for</w:t>
      </w:r>
      <w:r>
        <w:t xml:space="preserve"> </w:t>
      </w:r>
      <w:r>
        <w:rPr>
          <w:rStyle w:val="VerbatimChar"/>
        </w:rPr>
        <w:t xml:space="preserve">t4_to_motor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PFL3 downstream is a perfect binary bilateral split.</w:t>
      </w:r>
      <w:r>
        <w:t xml:space="preserve"> </w:t>
      </w:r>
      <w:r>
        <w:t xml:space="preserve">The 24 PFL3 cells divide cleanly into 12 left-projecting and</w:t>
      </w:r>
      <w:r>
        <w:t xml:space="preserve"> </w:t>
      </w:r>
      <w:r>
        <w:t xml:space="preserve">12 right-projecting, with contralateral crossing patterns</w:t>
      </w:r>
      <w:r>
        <w:t xml:space="preserve"> </w:t>
      </w:r>
      <w:r>
        <w:t xml:space="preserve">that differ by descending neuron class.</w:t>
      </w:r>
    </w:p>
    <w:bookmarkEnd w:id="17"/>
    <w:bookmarkStart w:id="18" w:name="camera-in-loop-results"/>
    <w:p>
      <w:pPr>
        <w:pStyle w:val="Heading3"/>
      </w:pPr>
      <w:r>
        <w:t xml:space="preserve">3.4 Camera-in-Loop Results</w:t>
      </w:r>
    </w:p>
    <w:p>
      <w:pPr>
        <w:pStyle w:val="FirstParagraph"/>
      </w:pPr>
      <w:r>
        <w:t xml:space="preserve">[PLACEHOLDER — To be added in v2 after real-camera closed-loop</w:t>
      </w:r>
      <w:r>
        <w:t xml:space="preserve"> </w:t>
      </w:r>
      <w:r>
        <w:t xml:space="preserve">evaluation. The present v1.0 results are based on synthetic</w:t>
      </w:r>
      <w:r>
        <w:t xml:space="preserve"> </w:t>
      </w:r>
      <w:r>
        <w:t xml:space="preserve">visual input.]</w:t>
      </w:r>
    </w:p>
    <w:bookmarkEnd w:id="18"/>
    <w:bookmarkEnd w:id="19"/>
    <w:bookmarkStart w:id="23" w:name="discussion"/>
    <w:p>
      <w:pPr>
        <w:pStyle w:val="Heading2"/>
      </w:pPr>
      <w:r>
        <w:t xml:space="preserve">4. Discussion</w:t>
      </w:r>
    </w:p>
    <w:bookmarkStart w:id="20" w:name="structure-determines-weights"/>
    <w:p>
      <w:pPr>
        <w:pStyle w:val="Heading3"/>
      </w:pPr>
      <w:r>
        <w:t xml:space="preserve">4.1 Structure Determines Weights</w:t>
      </w:r>
    </w:p>
    <w:p>
      <w:pPr>
        <w:pStyle w:val="FirstParagraph"/>
      </w:pPr>
      <w:r>
        <w:t xml:space="preserve">The central finding is that for an evolutionarily conserved</w:t>
      </w:r>
      <w:r>
        <w:t xml:space="preserve"> </w:t>
      </w:r>
      <w:r>
        <w:t xml:space="preserve">behavioral circuit, the connectome structure alone determines the</w:t>
      </w:r>
      <w:r>
        <w:t xml:space="preserve"> </w:t>
      </w:r>
      <w:r>
        <w:t xml:space="preserve">functional weights. Gradient-based optimization, which adjusts</w:t>
      </w:r>
      <w:r>
        <w:t xml:space="preserve"> </w:t>
      </w:r>
      <w:r>
        <w:t xml:space="preserve">weights to minimize an open-loop loss, systematically degrades</w:t>
      </w:r>
      <w:r>
        <w:t xml:space="preserve"> </w:t>
      </w:r>
      <w:r>
        <w:t xml:space="preserve">closed-loop performance — sometimes catastrophically.</w:t>
      </w:r>
    </w:p>
    <w:p>
      <w:pPr>
        <w:pStyle w:val="BodyText"/>
      </w:pPr>
      <w:r>
        <w:t xml:space="preserve">We attribute this to what we term the</w:t>
      </w:r>
      <w:r>
        <w:t xml:space="preserve"> </w:t>
      </w:r>
      <w:r>
        <w:t xml:space="preserve">“double concealment”</w:t>
      </w:r>
      <w:r>
        <w:t xml:space="preserve">:</w:t>
      </w:r>
      <w:r>
        <w:t xml:space="preserve"> </w:t>
      </w:r>
      <w:r>
        <w:t xml:space="preserve">open-loop loss and closed-loop performance diverge under training</w:t>
      </w:r>
      <w:r>
        <w:t xml:space="preserve"> </w:t>
      </w:r>
      <w:r>
        <w:t xml:space="preserve">because the optimizer exploits patterns in the loss landscape</w:t>
      </w:r>
      <w:r>
        <w:t xml:space="preserve"> </w:t>
      </w:r>
      <w:r>
        <w:t xml:space="preserve">that do not correspond to stable closed-loop attractors. The</w:t>
      </w:r>
      <w:r>
        <w:t xml:space="preserve"> </w:t>
      </w:r>
      <w:r>
        <w:t xml:space="preserve">optimization succeeds at its declared objective while destroying</w:t>
      </w:r>
      <w:r>
        <w:t xml:space="preserve"> </w:t>
      </w:r>
      <w:r>
        <w:t xml:space="preserve">the property the system is meant to exhibit.</w:t>
      </w:r>
    </w:p>
    <w:p>
      <w:pPr>
        <w:pStyle w:val="BodyText"/>
      </w:pPr>
      <w:r>
        <w:t xml:space="preserve">The implication is methodological rather than universal. We do</w:t>
      </w:r>
      <w:r>
        <w:t xml:space="preserve"> </w:t>
      </w:r>
      <w:r>
        <w:t xml:space="preserve">not claim that connectome structure suffices for all</w:t>
      </w:r>
      <w:r>
        <w:t xml:space="preserve"> </w:t>
      </w:r>
      <w:r>
        <w:t xml:space="preserve">intelligence — only for fixed behavioral circuits that have</w:t>
      </w:r>
      <w:r>
        <w:t xml:space="preserve"> </w:t>
      </w:r>
      <w:r>
        <w:t xml:space="preserve">been optimized by evolution over hundreds of millions of years.</w:t>
      </w:r>
    </w:p>
    <w:bookmarkEnd w:id="20"/>
    <w:bookmarkStart w:id="21" w:name="scope-and-limitations"/>
    <w:p>
      <w:pPr>
        <w:pStyle w:val="Heading3"/>
      </w:pPr>
      <w:r>
        <w:t xml:space="preserve">4.2 Scope and Limitations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Behavioral scope.</w:t>
      </w:r>
      <w:r>
        <w:t xml:space="preserve"> </w:t>
      </w:r>
      <w:r>
        <w:t xml:space="preserve">The finding applies to menotaxis, a</w:t>
      </w:r>
      <w:r>
        <w:t xml:space="preserve"> </w:t>
      </w:r>
      <w:r>
        <w:t xml:space="preserve">fixed compass-driven behavior. Drosophila also exhibits</w:t>
      </w:r>
      <w:r>
        <w:t xml:space="preserve"> </w:t>
      </w:r>
      <w:r>
        <w:t xml:space="preserve">learning-dependent behaviors mediated by the mushroom body;</w:t>
      </w:r>
      <w:r>
        <w:t xml:space="preserve"> </w:t>
      </w:r>
      <w:r>
        <w:t xml:space="preserve">these are outside the present scope.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Visual input.</w:t>
      </w:r>
      <w:r>
        <w:t xml:space="preserve"> </w:t>
      </w:r>
      <w:r>
        <w:t xml:space="preserve">The v1.0 model uses synthetic visual input.</w:t>
      </w:r>
      <w:r>
        <w:t xml:space="preserve"> </w:t>
      </w:r>
      <w:r>
        <w:t xml:space="preserve">Real-camera validation is pending (Section 3.4).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Reconstruction error.</w:t>
      </w:r>
      <w:r>
        <w:t xml:space="preserve"> </w:t>
      </w:r>
      <w:r>
        <w:t xml:space="preserve">The pseudoinverse factorization</w:t>
      </w:r>
      <w:r>
        <w:t xml:space="preserve"> </w:t>
      </w:r>
      <w:r>
        <w:t xml:space="preserve">reproduces 37–39% of the variance in the per-column</w:t>
      </w:r>
      <w:r>
        <w:t xml:space="preserve"> </w:t>
      </w:r>
      <w:r>
        <w:t xml:space="preserve">projection pattern (error: 61–63%). This reflects the</w:t>
      </w:r>
      <w:r>
        <w:t xml:space="preserve"> </w:t>
      </w:r>
      <w:r>
        <w:t xml:space="preserve">nonlinear component of the path and is a structural limit</w:t>
      </w:r>
      <w:r>
        <w:t xml:space="preserve"> </w:t>
      </w:r>
      <w:r>
        <w:t xml:space="preserve">rather than a deficiency.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Zero-synapse tensors.</w:t>
      </w:r>
      <w:r>
        <w:t xml:space="preserve"> </w:t>
      </w:r>
      <w:r>
        <w:rPr>
          <w:rStyle w:val="VerbatimChar"/>
        </w:rPr>
        <w:t xml:space="preserve">fc2a_to_motor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t4_to_motor</w:t>
      </w:r>
      <w:r>
        <w:t xml:space="preserve"> </w:t>
      </w:r>
      <w:r>
        <w:t xml:space="preserve">are set to zero based on the absence of biological</w:t>
      </w:r>
      <w:r>
        <w:t xml:space="preserve"> </w:t>
      </w:r>
      <w:r>
        <w:t xml:space="preserve">connectivity. Whether these tensors should be removed from</w:t>
      </w:r>
      <w:r>
        <w:t xml:space="preserve"> </w:t>
      </w:r>
      <w:r>
        <w:t xml:space="preserve">the architecture entirely is a question for future work.</w:t>
      </w:r>
    </w:p>
    <w:bookmarkEnd w:id="21"/>
    <w:bookmarkStart w:id="22" w:name="implications"/>
    <w:p>
      <w:pPr>
        <w:pStyle w:val="Heading3"/>
      </w:pPr>
      <w:r>
        <w:t xml:space="preserve">4.3 Implications</w:t>
      </w:r>
    </w:p>
    <w:p>
      <w:pPr>
        <w:pStyle w:val="FirstParagraph"/>
      </w:pPr>
      <w:r>
        <w:t xml:space="preserve">This work inverts the prevailing deep learning paradigm of</w:t>
      </w:r>
      <w:r>
        <w:t xml:space="preserve"> </w:t>
      </w:r>
      <w:r>
        <w:t xml:space="preserve">“fix architecture, learn weights.”</w:t>
      </w:r>
      <w:r>
        <w:t xml:space="preserve"> </w:t>
      </w:r>
      <w:r>
        <w:t xml:space="preserve">For evolutionarily conserved</w:t>
      </w:r>
      <w:r>
        <w:t xml:space="preserve"> </w:t>
      </w:r>
      <w:r>
        <w:t xml:space="preserve">circuits, the complementary principle applies: structure</w:t>
      </w:r>
      <w:r>
        <w:t xml:space="preserve"> </w:t>
      </w:r>
      <w:r>
        <w:t xml:space="preserve">determines weights. The 400-million-year optimization performed</w:t>
      </w:r>
      <w:r>
        <w:t xml:space="preserve"> </w:t>
      </w:r>
      <w:r>
        <w:t xml:space="preserve">by natural selection provides a more reliable weight</w:t>
      </w:r>
      <w:r>
        <w:t xml:space="preserve"> </w:t>
      </w:r>
      <w:r>
        <w:t xml:space="preserve">specification than gradient descent on a closed-loop loss.</w:t>
      </w:r>
    </w:p>
    <w:p>
      <w:pPr>
        <w:pStyle w:val="BodyText"/>
      </w:pPr>
      <w:r>
        <w:t xml:space="preserve">The methodological lesson generalizes: when a system has been</w:t>
      </w:r>
      <w:r>
        <w:t xml:space="preserve"> </w:t>
      </w:r>
      <w:r>
        <w:t xml:space="preserve">shaped by a longer optimization process than the one available</w:t>
      </w:r>
      <w:r>
        <w:t xml:space="preserve"> </w:t>
      </w:r>
      <w:r>
        <w:t xml:space="preserve">to the engineer, structural priors may outperform learned</w:t>
      </w:r>
      <w:r>
        <w:t xml:space="preserve"> </w:t>
      </w:r>
      <w:r>
        <w:t xml:space="preserve">parameters.</w:t>
      </w:r>
    </w:p>
    <w:bookmarkEnd w:id="22"/>
    <w:bookmarkEnd w:id="23"/>
    <w:bookmarkStart w:id="26" w:name="data-availability"/>
    <w:p>
      <w:pPr>
        <w:pStyle w:val="Heading2"/>
      </w:pPr>
      <w:r>
        <w:t xml:space="preserve">5. Data Availability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Canonical checkpoint:</w:t>
      </w:r>
      <w:r>
        <w:t xml:space="preserve"> </w:t>
      </w:r>
      <w:r>
        <w:rPr>
          <w:rStyle w:val="VerbatimChar"/>
        </w:rPr>
        <w:t xml:space="preserve">fly_v2_bio_init.pt</w:t>
      </w:r>
      <w:r>
        <w:t xml:space="preserve"> </w:t>
      </w:r>
      <w:r>
        <w:t xml:space="preserve">(288 tensors,</w:t>
      </w:r>
      <w:r>
        <w:t xml:space="preserve"> </w:t>
      </w:r>
      <w:r>
        <w:t xml:space="preserve">1.1 MB) — bio-derived deterministic initialization.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Evaluation harness:</w:t>
      </w:r>
      <w:r>
        <w:t xml:space="preserve"> </w:t>
      </w:r>
      <w:r>
        <w:rPr>
          <w:rStyle w:val="VerbatimChar"/>
        </w:rPr>
        <w:t xml:space="preserve">closed_loop_v5_beta_eval.py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Intermediate matrices:</w:t>
      </w:r>
      <w:r>
        <w:t xml:space="preserve"> </w:t>
      </w:r>
      <w:r>
        <w:rPr>
          <w:rStyle w:val="VerbatimChar"/>
        </w:rPr>
        <w:t xml:space="preserve">pfl3_upstream_71x24.csv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pfl3_downstream_24x6.csv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Connectome source:</w:t>
      </w:r>
      <w:r>
        <w:t xml:space="preserve"> </w:t>
      </w:r>
      <w:r>
        <w:t xml:space="preserve">FlyWire Codex v783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https://codex.flywire.ai/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Companion book:</w:t>
      </w:r>
      <w:r>
        <w:t xml:space="preserve"> </w:t>
      </w:r>
      <w:r>
        <w:t xml:space="preserve">Zenn Book 3,</w:t>
      </w:r>
      <w:r>
        <w:t xml:space="preserve"> </w:t>
      </w:r>
      <w:r>
        <w:t xml:space="preserve">“What the Fly Brain Did Not</w:t>
      </w:r>
      <w:r>
        <w:t xml:space="preserve"> </w:t>
      </w:r>
      <w:r>
        <w:t xml:space="preserve">Teach Us — The Day We Stopped Learning”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https://zenn.dev/m1x_karasu/books/book3-hae-no-nou-ga-oshienakatta-koto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ledger:</w:t>
      </w:r>
      <w:r>
        <w:t xml:space="preserve"> </w:t>
      </w:r>
      <w:r>
        <w:t xml:space="preserve">Append-only event log (235 entries, max</w:t>
      </w:r>
      <w:r>
        <w:t xml:space="preserve"> </w:t>
      </w:r>
      <w:r>
        <w:t xml:space="preserve">EVT-212).</w:t>
      </w:r>
    </w:p>
    <w:bookmarkEnd w:id="26"/>
    <w:bookmarkStart w:id="27" w:name="ebtm-context"/>
    <w:p>
      <w:pPr>
        <w:pStyle w:val="Heading2"/>
      </w:pPr>
      <w:r>
        <w:t xml:space="preserve">6. EBTM Context</w:t>
      </w:r>
    </w:p>
    <w:p>
      <w:pPr>
        <w:pStyle w:val="FirstParagraph"/>
      </w:pPr>
      <w:r>
        <w:t xml:space="preserve">This work is a practice instance within the EBTM (Equipped Boundary-Transcendence Methodology) framework</w:t>
      </w:r>
      <w:r>
        <w:t xml:space="preserve"> </w:t>
      </w:r>
      <w:r>
        <w:t xml:space="preserve">(DOI: 10.5281/zenodo.20198232), specifically in the AI assistant</w:t>
      </w:r>
      <w:r>
        <w:t xml:space="preserve"> </w:t>
      </w:r>
      <w:r>
        <w:t xml:space="preserve">construction and operation domain. The three-party structure</w:t>
      </w:r>
      <w:r>
        <w:t xml:space="preserve"> </w:t>
      </w:r>
      <w:r>
        <w:t xml:space="preserve">(human director, AI technical director, AI executor) constitutes</w:t>
      </w:r>
      <w:r>
        <w:t xml:space="preserve"> </w:t>
      </w:r>
      <w:r>
        <w:t xml:space="preserve">an equipment-mediated boundary-transcendence practice: the</w:t>
      </w:r>
      <w:r>
        <w:t xml:space="preserve"> </w:t>
      </w:r>
      <w:r>
        <w:t xml:space="preserve">biological connectome is the equipment; the closed-loop</w:t>
      </w:r>
      <w:r>
        <w:t xml:space="preserve"> </w:t>
      </w:r>
      <w:r>
        <w:t xml:space="preserve">harness is the threshold; the documentation of bio-derived</w:t>
      </w:r>
      <w:r>
        <w:t xml:space="preserve"> </w:t>
      </w:r>
      <w:r>
        <w:t xml:space="preserve">weights is the structuration.</w:t>
      </w:r>
    </w:p>
    <w:bookmarkEnd w:id="27"/>
    <w:bookmarkStart w:id="2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7"/>
        </w:numPr>
      </w:pPr>
      <w:r>
        <w:t xml:space="preserve">Dorkenwald, S., et al. (2024).</w:t>
      </w:r>
      <w:r>
        <w:t xml:space="preserve"> </w:t>
      </w:r>
      <w:r>
        <w:t xml:space="preserve">“Neuronal wiring diagram of an</w:t>
      </w:r>
      <w:r>
        <w:t xml:space="preserve"> </w:t>
      </w:r>
      <w:r>
        <w:t xml:space="preserve">adult brain.”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634, 124–138.</w:t>
      </w:r>
    </w:p>
    <w:p>
      <w:pPr>
        <w:pStyle w:val="Compact"/>
        <w:numPr>
          <w:ilvl w:val="0"/>
          <w:numId w:val="1007"/>
        </w:numPr>
      </w:pPr>
      <w:r>
        <w:t xml:space="preserve">FlyWire Codex. v783 release.</w:t>
      </w:r>
      <w:r>
        <w:t xml:space="preserve"> </w:t>
      </w:r>
      <w:hyperlink r:id="rId24">
        <w:r>
          <w:rPr>
            <w:rStyle w:val="Hyperlink"/>
          </w:rPr>
          <w:t xml:space="preserve">https://codex.flywire.ai/</w:t>
        </w:r>
      </w:hyperlink>
    </w:p>
    <w:p>
      <w:pPr>
        <w:pStyle w:val="Compact"/>
        <w:numPr>
          <w:ilvl w:val="0"/>
          <w:numId w:val="1007"/>
        </w:numPr>
      </w:pPr>
      <w:r>
        <w:t xml:space="preserve">Hulse, B. K., et al. (2021).</w:t>
      </w:r>
      <w:r>
        <w:t xml:space="preserve"> </w:t>
      </w:r>
      <w:r>
        <w:t xml:space="preserve">“A connectome of the Drosophila</w:t>
      </w:r>
      <w:r>
        <w:t xml:space="preserve"> </w:t>
      </w:r>
      <w:r>
        <w:t xml:space="preserve">central complex.”</w:t>
      </w:r>
      <w:r>
        <w:t xml:space="preserve"> </w:t>
      </w:r>
      <w:r>
        <w:rPr>
          <w:i/>
          <w:iCs/>
        </w:rPr>
        <w:t xml:space="preserve">eLife</w:t>
      </w:r>
      <w:r>
        <w:t xml:space="preserve"> </w:t>
      </w:r>
      <w:r>
        <w:t xml:space="preserve">10, e68939.</w:t>
      </w:r>
    </w:p>
    <w:p>
      <w:pPr>
        <w:pStyle w:val="Compact"/>
        <w:numPr>
          <w:ilvl w:val="0"/>
          <w:numId w:val="1007"/>
        </w:numPr>
      </w:pPr>
      <w:r>
        <w:t xml:space="preserve">Green, J., et al. (2019).</w:t>
      </w:r>
      <w:r>
        <w:t xml:space="preserve"> </w:t>
      </w:r>
      <w:r>
        <w:t xml:space="preserve">“A neural heading estimate is</w:t>
      </w:r>
      <w:r>
        <w:t xml:space="preserve"> </w:t>
      </w:r>
      <w:r>
        <w:t xml:space="preserve">compared with a set of visual features to steer.”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576, 86–92.</w:t>
      </w:r>
    </w:p>
    <w:p>
      <w:pPr>
        <w:pStyle w:val="Compact"/>
        <w:numPr>
          <w:ilvl w:val="0"/>
          <w:numId w:val="1007"/>
        </w:numPr>
      </w:pPr>
      <w:r>
        <w:t xml:space="preserve">Okubo, T. S., et al. (2020).</w:t>
      </w:r>
      <w:r>
        <w:t xml:space="preserve"> </w:t>
      </w:r>
      <w:r>
        <w:t xml:space="preserve">“A neural network for</w:t>
      </w:r>
      <w:r>
        <w:t xml:space="preserve"> </w:t>
      </w:r>
      <w:r>
        <w:t xml:space="preserve">menotaxis.”</w:t>
      </w:r>
      <w:r>
        <w:t xml:space="preserve"> </w:t>
      </w:r>
      <w:r>
        <w:rPr>
          <w:i/>
          <w:iCs/>
        </w:rPr>
        <w:t xml:space="preserve">eLife</w:t>
      </w:r>
      <w:r>
        <w:t xml:space="preserve"> </w:t>
      </w:r>
      <w:r>
        <w:t xml:space="preserve">9, e61358.</w:t>
      </w:r>
    </w:p>
    <w:p>
      <w:pPr>
        <w:pStyle w:val="Compact"/>
        <w:numPr>
          <w:ilvl w:val="0"/>
          <w:numId w:val="1007"/>
        </w:numPr>
      </w:pPr>
      <w:r>
        <w:t xml:space="preserve">Yokoyama, J. (2026).</w:t>
      </w:r>
      <w:r>
        <w:t xml:space="preserve"> </w:t>
      </w:r>
      <w:r>
        <w:t xml:space="preserve">“Zenn Book 3: What the Fly Brain Did Not</w:t>
      </w:r>
      <w:r>
        <w:t xml:space="preserve"> </w:t>
      </w:r>
      <w:r>
        <w:t xml:space="preserve">Teach Us — The Day We Stopped Learning.”</w:t>
      </w:r>
      <w:r>
        <w:t xml:space="preserve"> </w:t>
      </w:r>
      <w:r>
        <w:t xml:space="preserve">Zenn Books.</w:t>
      </w:r>
      <w:r>
        <w:t xml:space="preserve"> </w:t>
      </w:r>
      <w:hyperlink r:id="rId25">
        <w:r>
          <w:rPr>
            <w:rStyle w:val="Hyperlink"/>
          </w:rPr>
          <w:t xml:space="preserve">https://zenn.dev/m1x_karasu/books/book3-hae-no-nou-ga-oshienakatta-koto</w:t>
        </w:r>
      </w:hyperlink>
    </w:p>
    <w:p>
      <w:pPr>
        <w:pStyle w:val="Compact"/>
        <w:numPr>
          <w:ilvl w:val="0"/>
          <w:numId w:val="1007"/>
        </w:numPr>
      </w:pPr>
      <w:r>
        <w:t xml:space="preserve">Yokoyama, J. (2026). EBTM: Equipped Boundary-Transcendence</w:t>
      </w:r>
      <w:r>
        <w:t xml:space="preserve"> </w:t>
      </w:r>
      <w:r>
        <w:t xml:space="preserve">Methodology (preprint). Zenodo.</w:t>
      </w:r>
      <w:r>
        <w:t xml:space="preserve"> </w:t>
      </w:r>
      <w:hyperlink r:id="rId28">
        <w:r>
          <w:rPr>
            <w:rStyle w:val="Hyperlink"/>
          </w:rPr>
          <w:t xml:space="preserve">https://doi.org/10.5281/zenodo.20198232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Manuscript prepared for Zenodo deposition. v1.0 contains</w:t>
      </w:r>
      <w:r>
        <w:rPr>
          <w:i/>
          <w:iCs/>
        </w:rPr>
        <w:t xml:space="preserve"> </w:t>
      </w:r>
      <w:r>
        <w:rPr>
          <w:i/>
          <w:iCs/>
        </w:rPr>
        <w:t xml:space="preserve">simulation results only; camera-in-loop results to be added in</w:t>
      </w:r>
      <w:r>
        <w:rPr>
          <w:i/>
          <w:iCs/>
        </w:rPr>
        <w:t xml:space="preserve"> </w:t>
      </w:r>
      <w:r>
        <w:rPr>
          <w:i/>
          <w:iCs/>
        </w:rPr>
        <w:t xml:space="preserve">v2.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codex.flywire.ai/" TargetMode="External" /><Relationship Type="http://schemas.openxmlformats.org/officeDocument/2006/relationships/hyperlink" Id="rId28" Target="https://doi.org/10.5281/zenodo.20198232" TargetMode="External" /><Relationship Type="http://schemas.openxmlformats.org/officeDocument/2006/relationships/hyperlink" Id="rId25" Target="https://zenn.dev/m1x_karasu/books/book3-hae-no-nou-ga-oshienakatta-ko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odex.flywire.ai/" TargetMode="External" /><Relationship Type="http://schemas.openxmlformats.org/officeDocument/2006/relationships/hyperlink" Id="rId28" Target="https://doi.org/10.5281/zenodo.20198232" TargetMode="External" /><Relationship Type="http://schemas.openxmlformats.org/officeDocument/2006/relationships/hyperlink" Id="rId25" Target="https://zenn.dev/m1x_karasu/books/book3-hae-no-nou-ga-oshienakatta-ko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Connectome Structure Determines Weights: Bio-Derived Initialization Eliminates Gradient-Based Training in a Drosophila Menotaxis Model</dc:title>
  <dc:creator>JUNJI YOKOYAMA</dc:creator>
  <cp:keywords/>
  <dcterms:created xsi:type="dcterms:W3CDTF">2026-07-05T10:40:52Z</dcterms:created>
  <dcterms:modified xsi:type="dcterms:W3CDTF">2026-07-05T10:40:52Z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-author">
    <vt:lpwstr>Karasu-kun (MiniMax-M3 / OpenClaw / Mac mini M4)</vt:lpwstr>
  </property>
  <property fmtid="{D5CDD505-2E9C-101B-9397-08002B2CF9AE}" pid="3" name="date">
    <vt:lpwstr>2026-07-05</vt:lpwstr>
  </property>
  <property fmtid="{D5CDD505-2E9C-101B-9397-08002B2CF9AE}" pid="4" name="proofreading">
    <vt:lpwstr>Claude (Anthropic)</vt:lpwstr>
  </property>
  <property fmtid="{D5CDD505-2E9C-101B-9397-08002B2CF9AE}" pid="5" name="version">
    <vt:lpwstr>v1.0 (simulation only)</vt:lpwstr>
  </property>
</Properties>
</file>