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D0952" w14:textId="77777777" w:rsidR="0086253D" w:rsidRDefault="00E37A94">
      <w:pPr>
        <w:jc w:val="center"/>
      </w:pPr>
      <w:r>
        <w:rPr>
          <w:color w:val="666666"/>
        </w:rPr>
        <w:t>IUT de Créteil-Vitry — Département Informatique</w:t>
      </w:r>
    </w:p>
    <w:p w14:paraId="384B8540" w14:textId="77777777" w:rsidR="0086253D" w:rsidRDefault="00E37A94">
      <w:pPr>
        <w:jc w:val="center"/>
      </w:pPr>
      <w:r>
        <w:rPr>
          <w:color w:val="666666"/>
        </w:rPr>
        <w:t>B.U.T. Informatique — Semestre 6 — Année universitaire 2025-2026</w:t>
      </w:r>
    </w:p>
    <w:p w14:paraId="4443C8D5" w14:textId="77777777" w:rsidR="0086253D" w:rsidRDefault="0086253D"/>
    <w:p w14:paraId="777C7263" w14:textId="77777777" w:rsidR="0086253D" w:rsidRDefault="00E37A94">
      <w:pPr>
        <w:jc w:val="center"/>
      </w:pPr>
      <w:r>
        <w:rPr>
          <w:b/>
          <w:color w:val="C0122F"/>
          <w:sz w:val="48"/>
        </w:rPr>
        <w:t>Administrer, migrer et sécuriser les données d'un écosystème de CRM métier</w:t>
      </w:r>
    </w:p>
    <w:p w14:paraId="7C3D2617" w14:textId="77777777" w:rsidR="0086253D" w:rsidRDefault="0086253D"/>
    <w:p w14:paraId="50EB305F" w14:textId="77777777" w:rsidR="0086253D" w:rsidRDefault="00E37A94">
      <w:pPr>
        <w:jc w:val="center"/>
      </w:pPr>
      <w:r>
        <w:rPr>
          <w:sz w:val="30"/>
        </w:rPr>
        <w:t>Migration de données legacy, intégration inter-systèmes et sécurité au sein d'Airbay Data</w:t>
      </w:r>
    </w:p>
    <w:p w14:paraId="69AB9BA1" w14:textId="77777777" w:rsidR="0086253D" w:rsidRDefault="0086253D"/>
    <w:p w14:paraId="777E57A3" w14:textId="77777777" w:rsidR="0086253D" w:rsidRDefault="00E37A94">
      <w:pPr>
        <w:jc w:val="center"/>
      </w:pPr>
      <w:r>
        <w:rPr>
          <w:sz w:val="24"/>
        </w:rPr>
        <w:t>Rapport de stage de fin d'études — parcours « Administration des données »</w:t>
      </w:r>
    </w:p>
    <w:p w14:paraId="44F4F47C" w14:textId="77777777" w:rsidR="0086253D" w:rsidRDefault="0086253D"/>
    <w:p w14:paraId="04542506" w14:textId="77777777" w:rsidR="0086253D" w:rsidRDefault="00E37A94">
      <w:pPr>
        <w:jc w:val="center"/>
      </w:pPr>
      <w:r>
        <w:rPr>
          <w:sz w:val="24"/>
        </w:rPr>
        <w:t>Angelos LEMIRE</w:t>
      </w:r>
    </w:p>
    <w:p w14:paraId="2B1D00D7" w14:textId="77777777" w:rsidR="0086253D" w:rsidRDefault="0086253D"/>
    <w:p w14:paraId="12B611A6" w14:textId="77777777" w:rsidR="0086253D" w:rsidRDefault="00E37A94">
      <w:pPr>
        <w:jc w:val="center"/>
      </w:pPr>
      <w:r>
        <w:rPr>
          <w:color w:val="666666"/>
        </w:rPr>
        <w:t>Structure d'accueil : Airbay Data</w:t>
      </w:r>
    </w:p>
    <w:p w14:paraId="6DCFC31A" w14:textId="77777777" w:rsidR="0086253D" w:rsidRDefault="00E37A94">
      <w:pPr>
        <w:jc w:val="center"/>
      </w:pPr>
      <w:r>
        <w:rPr>
          <w:color w:val="666666"/>
        </w:rPr>
        <w:t>Tuteur entreprise : Raphael Bensamoun</w:t>
      </w:r>
    </w:p>
    <w:p w14:paraId="567CA651" w14:textId="77777777" w:rsidR="0086253D" w:rsidRDefault="00E37A94">
      <w:pPr>
        <w:jc w:val="center"/>
      </w:pPr>
      <w:r>
        <w:rPr>
          <w:color w:val="666666"/>
        </w:rPr>
        <w:t>Tuteur IUT : Abdelghani CHIBANI</w:t>
      </w:r>
    </w:p>
    <w:p w14:paraId="07056498" w14:textId="77777777" w:rsidR="0086253D" w:rsidRDefault="00E37A94">
      <w:pPr>
        <w:jc w:val="center"/>
      </w:pPr>
      <w:r>
        <w:rPr>
          <w:color w:val="666666"/>
        </w:rPr>
        <w:t>Stage du 3 mars 2026 au 6 juin 2026 (14 semaines)</w:t>
      </w:r>
    </w:p>
    <w:p w14:paraId="74F0D5A9" w14:textId="77777777" w:rsidR="0086253D" w:rsidRDefault="0086253D"/>
    <w:p w14:paraId="5641A84F" w14:textId="77777777" w:rsidR="0086253D" w:rsidRDefault="00E37A94">
      <w:pPr>
        <w:jc w:val="center"/>
      </w:pPr>
      <w:r>
        <w:rPr>
          <w:noProof/>
        </w:rPr>
        <w:drawing>
          <wp:inline distT="0" distB="0" distL="0" distR="0" wp14:anchorId="48570847" wp14:editId="4DE564F5">
            <wp:extent cx="2520000" cy="118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EP-INFO_fond-transparent.png"/>
                    <pic:cNvPicPr/>
                  </pic:nvPicPr>
                  <pic:blipFill>
                    <a:blip r:embed="rId8"/>
                    <a:stretch>
                      <a:fillRect/>
                    </a:stretch>
                  </pic:blipFill>
                  <pic:spPr>
                    <a:xfrm>
                      <a:off x="0" y="0"/>
                      <a:ext cx="2520000" cy="1189825"/>
                    </a:xfrm>
                    <a:prstGeom prst="rect">
                      <a:avLst/>
                    </a:prstGeom>
                  </pic:spPr>
                </pic:pic>
              </a:graphicData>
            </a:graphic>
          </wp:inline>
        </w:drawing>
      </w:r>
    </w:p>
    <w:p w14:paraId="2FE2B88A" w14:textId="77777777" w:rsidR="0086253D" w:rsidRDefault="00E37A94">
      <w:r>
        <w:br w:type="page"/>
      </w:r>
    </w:p>
    <w:p w14:paraId="27CE57CE" w14:textId="77777777" w:rsidR="0086253D" w:rsidRDefault="00E37A94">
      <w:pPr>
        <w:pStyle w:val="Heading1"/>
        <w:pBdr>
          <w:bottom w:val="single" w:sz="6" w:space="4" w:color="C0122F"/>
        </w:pBdr>
        <w:spacing w:before="360" w:after="120"/>
        <w:jc w:val="left"/>
      </w:pPr>
      <w:bookmarkStart w:id="0" w:name="_Toc232355536"/>
      <w:r>
        <w:rPr>
          <w:rFonts w:ascii="Calibri" w:hAnsi="Calibri"/>
          <w:color w:val="C0122F"/>
          <w:sz w:val="36"/>
        </w:rPr>
        <w:lastRenderedPageBreak/>
        <w:t>Remerciements</w:t>
      </w:r>
      <w:bookmarkEnd w:id="0"/>
    </w:p>
    <w:p w14:paraId="320B533A" w14:textId="77777777" w:rsidR="0086253D" w:rsidRDefault="00E37A94">
      <w:r>
        <w:t>Je remercie l'ensemble de l'équipe d'Airbay Data pour son accueil et pour la confiance qui m'a été accordée tout au long de ces quatorze semaines. Je remercie particulièrement mon tuteur entreprise pour son encadrement et pour m'avoir confié des responsabilités réelles sur des systèmes en production, ainsi que le développeur qui avait conçu le socle applicatif des CRM et qui m'a transmis le contexte technique nécessaire à ma prise en charge du volet « données ».</w:t>
      </w:r>
    </w:p>
    <w:p w14:paraId="7784A64B" w14:textId="77777777" w:rsidR="0086253D" w:rsidRDefault="00E37A94">
      <w:r>
        <w:t>Je remercie également mon tuteur IUT pour son suivi, ainsi que l'équipe pédagogique du département Informatique de l'IUT de Créteil-Vitry pour la formation reçue au cours de ces trois années de B.U.T., qui m'a préparé à aborder un environnement professionnel exigeant.</w:t>
      </w:r>
    </w:p>
    <w:p w14:paraId="36EC7D5D" w14:textId="77777777" w:rsidR="0086253D" w:rsidRDefault="00E37A94">
      <w:pPr>
        <w:pStyle w:val="Heading1"/>
        <w:pBdr>
          <w:bottom w:val="single" w:sz="6" w:space="4" w:color="C0122F"/>
        </w:pBdr>
        <w:spacing w:before="360" w:after="120"/>
        <w:jc w:val="left"/>
      </w:pPr>
      <w:bookmarkStart w:id="1" w:name="_Toc232355537"/>
      <w:r>
        <w:rPr>
          <w:rFonts w:ascii="Calibri" w:hAnsi="Calibri"/>
          <w:color w:val="C0122F"/>
          <w:sz w:val="36"/>
        </w:rPr>
        <w:t>Abstract</w:t>
      </w:r>
      <w:bookmarkEnd w:id="1"/>
    </w:p>
    <w:p w14:paraId="299224D7" w14:textId="77777777" w:rsidR="0086253D" w:rsidRDefault="00E37A94">
      <w:r>
        <w:t>This report presents a fourteen-week final internship carried out at Airbay Data, a software company that develops business-oriented CRM applications for companies operating in the energy-renovation and Energy Savings Certificates (CEE) sector. My work focused on the data-administration side of these products rather than on building the user interface. The central mission was the migration and integration of business data for two production CRMs, AQI and E3S, both built on Supabase (PostgreSQL, Row-Level Se</w:t>
      </w:r>
      <w:r>
        <w:t xml:space="preserve">curity, Edge Functions). I designed and ran the migration of more than 16,000 legacy records — together with roughly 103 GB of supporting documents — from a previous low-code CRM into AQI, while guaranteeing idempotency, data quality and traceability on a live database used daily by around two hundred users. I then built and stabilised a bidirectional synchronisation bridge between AQI and E3S, defined the payload contracts exchanged between the two systems, and enforced multi-tenant data isolation through </w:t>
      </w:r>
      <w:r>
        <w:t>PostgreSQL Row-Level Security and a role-based permission model. Alongside this flagship project, I contributed to several smaller data-centric applications: a documentary extraction pipeline for energy-renovation files, WhatsApp accounting bots, and a security audit of two related CRMs. This report analyses the needs, the technical choices, the difficulties encountered in production, the results obtained and their limits, with a critical perspective on data quality, security and maintainability.</w:t>
      </w:r>
    </w:p>
    <w:p w14:paraId="669C0D97" w14:textId="77777777" w:rsidR="0086253D" w:rsidRDefault="00E37A94">
      <w:r>
        <w:br w:type="page"/>
      </w:r>
    </w:p>
    <w:p w14:paraId="0BC2509F" w14:textId="77777777" w:rsidR="0086253D" w:rsidRDefault="00E37A94">
      <w:pPr>
        <w:spacing w:after="200"/>
      </w:pPr>
      <w:r>
        <w:rPr>
          <w:b/>
          <w:color w:val="C0122F"/>
          <w:sz w:val="36"/>
        </w:rPr>
        <w:lastRenderedPageBreak/>
        <w:t>Sommaire</w:t>
      </w:r>
    </w:p>
    <w:p w14:paraId="5B0DCF45" w14:textId="0A14EA16" w:rsidR="004B7BF3" w:rsidRDefault="00E37A94">
      <w:pPr>
        <w:pStyle w:val="TOC1"/>
        <w:tabs>
          <w:tab w:val="right" w:leader="dot" w:pos="9062"/>
        </w:tabs>
        <w:rPr>
          <w:rFonts w:asciiTheme="minorHAnsi" w:hAnsiTheme="minorHAnsi"/>
          <w:noProof/>
          <w:color w:val="auto"/>
          <w:kern w:val="2"/>
          <w:sz w:val="24"/>
          <w:szCs w:val="24"/>
          <w:lang w:val="en-GB" w:eastAsia="en-GB"/>
          <w14:ligatures w14:val="standardContextual"/>
        </w:rPr>
      </w:pPr>
      <w:r>
        <w:fldChar w:fldCharType="begin"/>
      </w:r>
      <w:r>
        <w:instrText>TOC \o "1-3" \h \z \u</w:instrText>
      </w:r>
      <w:r>
        <w:fldChar w:fldCharType="separate"/>
      </w:r>
      <w:hyperlink w:anchor="_Toc232355536" w:history="1">
        <w:r w:rsidR="004B7BF3" w:rsidRPr="006F7CDB">
          <w:rPr>
            <w:rStyle w:val="Hyperlink"/>
            <w:noProof/>
          </w:rPr>
          <w:t>Remerciements</w:t>
        </w:r>
        <w:r w:rsidR="004B7BF3">
          <w:rPr>
            <w:noProof/>
            <w:webHidden/>
          </w:rPr>
          <w:tab/>
        </w:r>
        <w:r w:rsidR="004B7BF3">
          <w:rPr>
            <w:noProof/>
            <w:webHidden/>
          </w:rPr>
          <w:fldChar w:fldCharType="begin"/>
        </w:r>
        <w:r w:rsidR="004B7BF3">
          <w:rPr>
            <w:noProof/>
            <w:webHidden/>
          </w:rPr>
          <w:instrText xml:space="preserve"> PAGEREF _Toc232355536 \h </w:instrText>
        </w:r>
        <w:r w:rsidR="004B7BF3">
          <w:rPr>
            <w:noProof/>
            <w:webHidden/>
          </w:rPr>
        </w:r>
        <w:r w:rsidR="004B7BF3">
          <w:rPr>
            <w:noProof/>
            <w:webHidden/>
          </w:rPr>
          <w:fldChar w:fldCharType="separate"/>
        </w:r>
        <w:r w:rsidR="004B7BF3">
          <w:rPr>
            <w:noProof/>
            <w:webHidden/>
          </w:rPr>
          <w:t>2</w:t>
        </w:r>
        <w:r w:rsidR="004B7BF3">
          <w:rPr>
            <w:noProof/>
            <w:webHidden/>
          </w:rPr>
          <w:fldChar w:fldCharType="end"/>
        </w:r>
      </w:hyperlink>
    </w:p>
    <w:p w14:paraId="3BD56D46" w14:textId="401BB418" w:rsidR="004B7BF3" w:rsidRDefault="004B7BF3">
      <w:pPr>
        <w:pStyle w:val="TOC1"/>
        <w:tabs>
          <w:tab w:val="right" w:leader="dot" w:pos="9062"/>
        </w:tabs>
        <w:rPr>
          <w:rFonts w:asciiTheme="minorHAnsi" w:hAnsiTheme="minorHAnsi"/>
          <w:noProof/>
          <w:color w:val="auto"/>
          <w:kern w:val="2"/>
          <w:sz w:val="24"/>
          <w:szCs w:val="24"/>
          <w:lang w:val="en-GB" w:eastAsia="en-GB"/>
          <w14:ligatures w14:val="standardContextual"/>
        </w:rPr>
      </w:pPr>
      <w:hyperlink w:anchor="_Toc232355537" w:history="1">
        <w:r w:rsidRPr="006F7CDB">
          <w:rPr>
            <w:rStyle w:val="Hyperlink"/>
            <w:noProof/>
          </w:rPr>
          <w:t>Abstract</w:t>
        </w:r>
        <w:r>
          <w:rPr>
            <w:noProof/>
            <w:webHidden/>
          </w:rPr>
          <w:tab/>
        </w:r>
        <w:r>
          <w:rPr>
            <w:noProof/>
            <w:webHidden/>
          </w:rPr>
          <w:fldChar w:fldCharType="begin"/>
        </w:r>
        <w:r>
          <w:rPr>
            <w:noProof/>
            <w:webHidden/>
          </w:rPr>
          <w:instrText xml:space="preserve"> PAGEREF _Toc232355537 \h </w:instrText>
        </w:r>
        <w:r>
          <w:rPr>
            <w:noProof/>
            <w:webHidden/>
          </w:rPr>
        </w:r>
        <w:r>
          <w:rPr>
            <w:noProof/>
            <w:webHidden/>
          </w:rPr>
          <w:fldChar w:fldCharType="separate"/>
        </w:r>
        <w:r>
          <w:rPr>
            <w:noProof/>
            <w:webHidden/>
          </w:rPr>
          <w:t>2</w:t>
        </w:r>
        <w:r>
          <w:rPr>
            <w:noProof/>
            <w:webHidden/>
          </w:rPr>
          <w:fldChar w:fldCharType="end"/>
        </w:r>
      </w:hyperlink>
    </w:p>
    <w:p w14:paraId="05CDDCCB" w14:textId="778C3388" w:rsidR="004B7BF3" w:rsidRDefault="004B7BF3">
      <w:pPr>
        <w:pStyle w:val="TOC1"/>
        <w:tabs>
          <w:tab w:val="right" w:leader="dot" w:pos="9062"/>
        </w:tabs>
        <w:rPr>
          <w:rFonts w:asciiTheme="minorHAnsi" w:hAnsiTheme="minorHAnsi"/>
          <w:noProof/>
          <w:color w:val="auto"/>
          <w:kern w:val="2"/>
          <w:sz w:val="24"/>
          <w:szCs w:val="24"/>
          <w:lang w:val="en-GB" w:eastAsia="en-GB"/>
          <w14:ligatures w14:val="standardContextual"/>
        </w:rPr>
      </w:pPr>
      <w:hyperlink w:anchor="_Toc232355538" w:history="1">
        <w:r w:rsidRPr="006F7CDB">
          <w:rPr>
            <w:rStyle w:val="Hyperlink"/>
            <w:noProof/>
          </w:rPr>
          <w:t>Introduction</w:t>
        </w:r>
        <w:r>
          <w:rPr>
            <w:noProof/>
            <w:webHidden/>
          </w:rPr>
          <w:tab/>
        </w:r>
        <w:r>
          <w:rPr>
            <w:noProof/>
            <w:webHidden/>
          </w:rPr>
          <w:fldChar w:fldCharType="begin"/>
        </w:r>
        <w:r>
          <w:rPr>
            <w:noProof/>
            <w:webHidden/>
          </w:rPr>
          <w:instrText xml:space="preserve"> PAGEREF _Toc232355538 \h </w:instrText>
        </w:r>
        <w:r>
          <w:rPr>
            <w:noProof/>
            <w:webHidden/>
          </w:rPr>
        </w:r>
        <w:r>
          <w:rPr>
            <w:noProof/>
            <w:webHidden/>
          </w:rPr>
          <w:fldChar w:fldCharType="separate"/>
        </w:r>
        <w:r>
          <w:rPr>
            <w:noProof/>
            <w:webHidden/>
          </w:rPr>
          <w:t>5</w:t>
        </w:r>
        <w:r>
          <w:rPr>
            <w:noProof/>
            <w:webHidden/>
          </w:rPr>
          <w:fldChar w:fldCharType="end"/>
        </w:r>
      </w:hyperlink>
    </w:p>
    <w:p w14:paraId="459BFA5D" w14:textId="5426AB36" w:rsidR="004B7BF3" w:rsidRDefault="004B7BF3">
      <w:pPr>
        <w:pStyle w:val="TOC1"/>
        <w:tabs>
          <w:tab w:val="right" w:leader="dot" w:pos="9062"/>
        </w:tabs>
        <w:rPr>
          <w:rFonts w:asciiTheme="minorHAnsi" w:hAnsiTheme="minorHAnsi"/>
          <w:noProof/>
          <w:color w:val="auto"/>
          <w:kern w:val="2"/>
          <w:sz w:val="24"/>
          <w:szCs w:val="24"/>
          <w:lang w:val="en-GB" w:eastAsia="en-GB"/>
          <w14:ligatures w14:val="standardContextual"/>
        </w:rPr>
      </w:pPr>
      <w:hyperlink w:anchor="_Toc232355539" w:history="1">
        <w:r w:rsidRPr="006F7CDB">
          <w:rPr>
            <w:rStyle w:val="Hyperlink"/>
            <w:noProof/>
          </w:rPr>
          <w:t>1. L'entreprise et son écosystème logiciel</w:t>
        </w:r>
        <w:r>
          <w:rPr>
            <w:noProof/>
            <w:webHidden/>
          </w:rPr>
          <w:tab/>
        </w:r>
        <w:r>
          <w:rPr>
            <w:noProof/>
            <w:webHidden/>
          </w:rPr>
          <w:fldChar w:fldCharType="begin"/>
        </w:r>
        <w:r>
          <w:rPr>
            <w:noProof/>
            <w:webHidden/>
          </w:rPr>
          <w:instrText xml:space="preserve"> PAGEREF _Toc232355539 \h </w:instrText>
        </w:r>
        <w:r>
          <w:rPr>
            <w:noProof/>
            <w:webHidden/>
          </w:rPr>
        </w:r>
        <w:r>
          <w:rPr>
            <w:noProof/>
            <w:webHidden/>
          </w:rPr>
          <w:fldChar w:fldCharType="separate"/>
        </w:r>
        <w:r>
          <w:rPr>
            <w:noProof/>
            <w:webHidden/>
          </w:rPr>
          <w:t>6</w:t>
        </w:r>
        <w:r>
          <w:rPr>
            <w:noProof/>
            <w:webHidden/>
          </w:rPr>
          <w:fldChar w:fldCharType="end"/>
        </w:r>
      </w:hyperlink>
    </w:p>
    <w:p w14:paraId="0BE0987B" w14:textId="4276FA87"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40" w:history="1">
        <w:r w:rsidRPr="006F7CDB">
          <w:rPr>
            <w:rStyle w:val="Hyperlink"/>
            <w:noProof/>
          </w:rPr>
          <w:t>1.1 Airbay Data</w:t>
        </w:r>
        <w:r>
          <w:rPr>
            <w:noProof/>
            <w:webHidden/>
          </w:rPr>
          <w:tab/>
        </w:r>
        <w:r>
          <w:rPr>
            <w:noProof/>
            <w:webHidden/>
          </w:rPr>
          <w:fldChar w:fldCharType="begin"/>
        </w:r>
        <w:r>
          <w:rPr>
            <w:noProof/>
            <w:webHidden/>
          </w:rPr>
          <w:instrText xml:space="preserve"> PAGEREF _Toc232355540 \h </w:instrText>
        </w:r>
        <w:r>
          <w:rPr>
            <w:noProof/>
            <w:webHidden/>
          </w:rPr>
        </w:r>
        <w:r>
          <w:rPr>
            <w:noProof/>
            <w:webHidden/>
          </w:rPr>
          <w:fldChar w:fldCharType="separate"/>
        </w:r>
        <w:r>
          <w:rPr>
            <w:noProof/>
            <w:webHidden/>
          </w:rPr>
          <w:t>6</w:t>
        </w:r>
        <w:r>
          <w:rPr>
            <w:noProof/>
            <w:webHidden/>
          </w:rPr>
          <w:fldChar w:fldCharType="end"/>
        </w:r>
      </w:hyperlink>
    </w:p>
    <w:p w14:paraId="4246603B" w14:textId="6B18DE6B"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41" w:history="1">
        <w:r w:rsidRPr="006F7CDB">
          <w:rPr>
            <w:rStyle w:val="Hyperlink"/>
            <w:noProof/>
          </w:rPr>
          <w:t>1.2 Le secteur métier : rénovation énergétique et CEE</w:t>
        </w:r>
        <w:r>
          <w:rPr>
            <w:noProof/>
            <w:webHidden/>
          </w:rPr>
          <w:tab/>
        </w:r>
        <w:r>
          <w:rPr>
            <w:noProof/>
            <w:webHidden/>
          </w:rPr>
          <w:fldChar w:fldCharType="begin"/>
        </w:r>
        <w:r>
          <w:rPr>
            <w:noProof/>
            <w:webHidden/>
          </w:rPr>
          <w:instrText xml:space="preserve"> PAGEREF _Toc232355541 \h </w:instrText>
        </w:r>
        <w:r>
          <w:rPr>
            <w:noProof/>
            <w:webHidden/>
          </w:rPr>
        </w:r>
        <w:r>
          <w:rPr>
            <w:noProof/>
            <w:webHidden/>
          </w:rPr>
          <w:fldChar w:fldCharType="separate"/>
        </w:r>
        <w:r>
          <w:rPr>
            <w:noProof/>
            <w:webHidden/>
          </w:rPr>
          <w:t>6</w:t>
        </w:r>
        <w:r>
          <w:rPr>
            <w:noProof/>
            <w:webHidden/>
          </w:rPr>
          <w:fldChar w:fldCharType="end"/>
        </w:r>
      </w:hyperlink>
    </w:p>
    <w:p w14:paraId="20E67E18" w14:textId="55A3BD00"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42" w:history="1">
        <w:r w:rsidRPr="006F7CDB">
          <w:rPr>
            <w:rStyle w:val="Hyperlink"/>
            <w:noProof/>
          </w:rPr>
          <w:t>1.3 Un écosystème de CRM partageant un socle commun</w:t>
        </w:r>
        <w:r>
          <w:rPr>
            <w:noProof/>
            <w:webHidden/>
          </w:rPr>
          <w:tab/>
        </w:r>
        <w:r>
          <w:rPr>
            <w:noProof/>
            <w:webHidden/>
          </w:rPr>
          <w:fldChar w:fldCharType="begin"/>
        </w:r>
        <w:r>
          <w:rPr>
            <w:noProof/>
            <w:webHidden/>
          </w:rPr>
          <w:instrText xml:space="preserve"> PAGEREF _Toc232355542 \h </w:instrText>
        </w:r>
        <w:r>
          <w:rPr>
            <w:noProof/>
            <w:webHidden/>
          </w:rPr>
        </w:r>
        <w:r>
          <w:rPr>
            <w:noProof/>
            <w:webHidden/>
          </w:rPr>
          <w:fldChar w:fldCharType="separate"/>
        </w:r>
        <w:r>
          <w:rPr>
            <w:noProof/>
            <w:webHidden/>
          </w:rPr>
          <w:t>7</w:t>
        </w:r>
        <w:r>
          <w:rPr>
            <w:noProof/>
            <w:webHidden/>
          </w:rPr>
          <w:fldChar w:fldCharType="end"/>
        </w:r>
      </w:hyperlink>
    </w:p>
    <w:p w14:paraId="45801D35" w14:textId="7AAD5DB2"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43" w:history="1">
        <w:r w:rsidRPr="006F7CDB">
          <w:rPr>
            <w:rStyle w:val="Hyperlink"/>
            <w:noProof/>
          </w:rPr>
          <w:t>1.4 Mon positionnement et ma méthode de travail</w:t>
        </w:r>
        <w:r>
          <w:rPr>
            <w:noProof/>
            <w:webHidden/>
          </w:rPr>
          <w:tab/>
        </w:r>
        <w:r>
          <w:rPr>
            <w:noProof/>
            <w:webHidden/>
          </w:rPr>
          <w:fldChar w:fldCharType="begin"/>
        </w:r>
        <w:r>
          <w:rPr>
            <w:noProof/>
            <w:webHidden/>
          </w:rPr>
          <w:instrText xml:space="preserve"> PAGEREF _Toc232355543 \h </w:instrText>
        </w:r>
        <w:r>
          <w:rPr>
            <w:noProof/>
            <w:webHidden/>
          </w:rPr>
        </w:r>
        <w:r>
          <w:rPr>
            <w:noProof/>
            <w:webHidden/>
          </w:rPr>
          <w:fldChar w:fldCharType="separate"/>
        </w:r>
        <w:r>
          <w:rPr>
            <w:noProof/>
            <w:webHidden/>
          </w:rPr>
          <w:t>8</w:t>
        </w:r>
        <w:r>
          <w:rPr>
            <w:noProof/>
            <w:webHidden/>
          </w:rPr>
          <w:fldChar w:fldCharType="end"/>
        </w:r>
      </w:hyperlink>
    </w:p>
    <w:p w14:paraId="5EED66D3" w14:textId="0E8D7B55" w:rsidR="004B7BF3" w:rsidRDefault="004B7BF3">
      <w:pPr>
        <w:pStyle w:val="TOC1"/>
        <w:tabs>
          <w:tab w:val="right" w:leader="dot" w:pos="9062"/>
        </w:tabs>
        <w:rPr>
          <w:rFonts w:asciiTheme="minorHAnsi" w:hAnsiTheme="minorHAnsi"/>
          <w:noProof/>
          <w:color w:val="auto"/>
          <w:kern w:val="2"/>
          <w:sz w:val="24"/>
          <w:szCs w:val="24"/>
          <w:lang w:val="en-GB" w:eastAsia="en-GB"/>
          <w14:ligatures w14:val="standardContextual"/>
        </w:rPr>
      </w:pPr>
      <w:hyperlink w:anchor="_Toc232355544" w:history="1">
        <w:r w:rsidRPr="006F7CDB">
          <w:rPr>
            <w:rStyle w:val="Hyperlink"/>
            <w:noProof/>
          </w:rPr>
          <w:t>2. Présentation des missions</w:t>
        </w:r>
        <w:r>
          <w:rPr>
            <w:noProof/>
            <w:webHidden/>
          </w:rPr>
          <w:tab/>
        </w:r>
        <w:r>
          <w:rPr>
            <w:noProof/>
            <w:webHidden/>
          </w:rPr>
          <w:fldChar w:fldCharType="begin"/>
        </w:r>
        <w:r>
          <w:rPr>
            <w:noProof/>
            <w:webHidden/>
          </w:rPr>
          <w:instrText xml:space="preserve"> PAGEREF _Toc232355544 \h </w:instrText>
        </w:r>
        <w:r>
          <w:rPr>
            <w:noProof/>
            <w:webHidden/>
          </w:rPr>
        </w:r>
        <w:r>
          <w:rPr>
            <w:noProof/>
            <w:webHidden/>
          </w:rPr>
          <w:fldChar w:fldCharType="separate"/>
        </w:r>
        <w:r>
          <w:rPr>
            <w:noProof/>
            <w:webHidden/>
          </w:rPr>
          <w:t>9</w:t>
        </w:r>
        <w:r>
          <w:rPr>
            <w:noProof/>
            <w:webHidden/>
          </w:rPr>
          <w:fldChar w:fldCharType="end"/>
        </w:r>
      </w:hyperlink>
    </w:p>
    <w:p w14:paraId="548E8E0F" w14:textId="61B142A6"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45" w:history="1">
        <w:r w:rsidRPr="006F7CDB">
          <w:rPr>
            <w:rStyle w:val="Hyperlink"/>
            <w:noProof/>
          </w:rPr>
          <w:t>2.1 Une montée en charge progressive sur trois mois</w:t>
        </w:r>
        <w:r>
          <w:rPr>
            <w:noProof/>
            <w:webHidden/>
          </w:rPr>
          <w:tab/>
        </w:r>
        <w:r>
          <w:rPr>
            <w:noProof/>
            <w:webHidden/>
          </w:rPr>
          <w:fldChar w:fldCharType="begin"/>
        </w:r>
        <w:r>
          <w:rPr>
            <w:noProof/>
            <w:webHidden/>
          </w:rPr>
          <w:instrText xml:space="preserve"> PAGEREF _Toc232355545 \h </w:instrText>
        </w:r>
        <w:r>
          <w:rPr>
            <w:noProof/>
            <w:webHidden/>
          </w:rPr>
        </w:r>
        <w:r>
          <w:rPr>
            <w:noProof/>
            <w:webHidden/>
          </w:rPr>
          <w:fldChar w:fldCharType="separate"/>
        </w:r>
        <w:r>
          <w:rPr>
            <w:noProof/>
            <w:webHidden/>
          </w:rPr>
          <w:t>9</w:t>
        </w:r>
        <w:r>
          <w:rPr>
            <w:noProof/>
            <w:webHidden/>
          </w:rPr>
          <w:fldChar w:fldCharType="end"/>
        </w:r>
      </w:hyperlink>
    </w:p>
    <w:p w14:paraId="7BECB461" w14:textId="640A016D"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46" w:history="1">
        <w:r w:rsidRPr="006F7CDB">
          <w:rPr>
            <w:rStyle w:val="Hyperlink"/>
            <w:noProof/>
          </w:rPr>
          <w:t>2.2 Le besoin de départ et le périmètre</w:t>
        </w:r>
        <w:r>
          <w:rPr>
            <w:noProof/>
            <w:webHidden/>
          </w:rPr>
          <w:tab/>
        </w:r>
        <w:r>
          <w:rPr>
            <w:noProof/>
            <w:webHidden/>
          </w:rPr>
          <w:fldChar w:fldCharType="begin"/>
        </w:r>
        <w:r>
          <w:rPr>
            <w:noProof/>
            <w:webHidden/>
          </w:rPr>
          <w:instrText xml:space="preserve"> PAGEREF _Toc232355546 \h </w:instrText>
        </w:r>
        <w:r>
          <w:rPr>
            <w:noProof/>
            <w:webHidden/>
          </w:rPr>
        </w:r>
        <w:r>
          <w:rPr>
            <w:noProof/>
            <w:webHidden/>
          </w:rPr>
          <w:fldChar w:fldCharType="separate"/>
        </w:r>
        <w:r>
          <w:rPr>
            <w:noProof/>
            <w:webHidden/>
          </w:rPr>
          <w:t>9</w:t>
        </w:r>
        <w:r>
          <w:rPr>
            <w:noProof/>
            <w:webHidden/>
          </w:rPr>
          <w:fldChar w:fldCharType="end"/>
        </w:r>
      </w:hyperlink>
    </w:p>
    <w:p w14:paraId="42D0F2C3" w14:textId="7B2369FF"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47" w:history="1">
        <w:r w:rsidRPr="006F7CDB">
          <w:rPr>
            <w:rStyle w:val="Hyperlink"/>
            <w:noProof/>
          </w:rPr>
          <w:t>2.3 Ce qui relevait de l'équipe et ce qui relevait de moi</w:t>
        </w:r>
        <w:r>
          <w:rPr>
            <w:noProof/>
            <w:webHidden/>
          </w:rPr>
          <w:tab/>
        </w:r>
        <w:r>
          <w:rPr>
            <w:noProof/>
            <w:webHidden/>
          </w:rPr>
          <w:fldChar w:fldCharType="begin"/>
        </w:r>
        <w:r>
          <w:rPr>
            <w:noProof/>
            <w:webHidden/>
          </w:rPr>
          <w:instrText xml:space="preserve"> PAGEREF _Toc232355547 \h </w:instrText>
        </w:r>
        <w:r>
          <w:rPr>
            <w:noProof/>
            <w:webHidden/>
          </w:rPr>
        </w:r>
        <w:r>
          <w:rPr>
            <w:noProof/>
            <w:webHidden/>
          </w:rPr>
          <w:fldChar w:fldCharType="separate"/>
        </w:r>
        <w:r>
          <w:rPr>
            <w:noProof/>
            <w:webHidden/>
          </w:rPr>
          <w:t>10</w:t>
        </w:r>
        <w:r>
          <w:rPr>
            <w:noProof/>
            <w:webHidden/>
          </w:rPr>
          <w:fldChar w:fldCharType="end"/>
        </w:r>
      </w:hyperlink>
    </w:p>
    <w:p w14:paraId="64FDF0B0" w14:textId="41F2CF48" w:rsidR="004B7BF3" w:rsidRDefault="004B7BF3">
      <w:pPr>
        <w:pStyle w:val="TOC1"/>
        <w:tabs>
          <w:tab w:val="right" w:leader="dot" w:pos="9062"/>
        </w:tabs>
        <w:rPr>
          <w:rFonts w:asciiTheme="minorHAnsi" w:hAnsiTheme="minorHAnsi"/>
          <w:noProof/>
          <w:color w:val="auto"/>
          <w:kern w:val="2"/>
          <w:sz w:val="24"/>
          <w:szCs w:val="24"/>
          <w:lang w:val="en-GB" w:eastAsia="en-GB"/>
          <w14:ligatures w14:val="standardContextual"/>
        </w:rPr>
      </w:pPr>
      <w:hyperlink w:anchor="_Toc232355548" w:history="1">
        <w:r w:rsidRPr="006F7CDB">
          <w:rPr>
            <w:rStyle w:val="Hyperlink"/>
            <w:noProof/>
          </w:rPr>
          <w:t>3. Projet phare : migration et intégration des données AQI ↔ E3S</w:t>
        </w:r>
        <w:r>
          <w:rPr>
            <w:noProof/>
            <w:webHidden/>
          </w:rPr>
          <w:tab/>
        </w:r>
        <w:r>
          <w:rPr>
            <w:noProof/>
            <w:webHidden/>
          </w:rPr>
          <w:fldChar w:fldCharType="begin"/>
        </w:r>
        <w:r>
          <w:rPr>
            <w:noProof/>
            <w:webHidden/>
          </w:rPr>
          <w:instrText xml:space="preserve"> PAGEREF _Toc232355548 \h </w:instrText>
        </w:r>
        <w:r>
          <w:rPr>
            <w:noProof/>
            <w:webHidden/>
          </w:rPr>
        </w:r>
        <w:r>
          <w:rPr>
            <w:noProof/>
            <w:webHidden/>
          </w:rPr>
          <w:fldChar w:fldCharType="separate"/>
        </w:r>
        <w:r>
          <w:rPr>
            <w:noProof/>
            <w:webHidden/>
          </w:rPr>
          <w:t>11</w:t>
        </w:r>
        <w:r>
          <w:rPr>
            <w:noProof/>
            <w:webHidden/>
          </w:rPr>
          <w:fldChar w:fldCharType="end"/>
        </w:r>
      </w:hyperlink>
    </w:p>
    <w:p w14:paraId="7D078592" w14:textId="71B797B1"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49" w:history="1">
        <w:r w:rsidRPr="006F7CDB">
          <w:rPr>
            <w:rStyle w:val="Hyperlink"/>
            <w:noProof/>
          </w:rPr>
          <w:t>3.1 Le besoin et l'existant</w:t>
        </w:r>
        <w:r>
          <w:rPr>
            <w:noProof/>
            <w:webHidden/>
          </w:rPr>
          <w:tab/>
        </w:r>
        <w:r>
          <w:rPr>
            <w:noProof/>
            <w:webHidden/>
          </w:rPr>
          <w:fldChar w:fldCharType="begin"/>
        </w:r>
        <w:r>
          <w:rPr>
            <w:noProof/>
            <w:webHidden/>
          </w:rPr>
          <w:instrText xml:space="preserve"> PAGEREF _Toc232355549 \h </w:instrText>
        </w:r>
        <w:r>
          <w:rPr>
            <w:noProof/>
            <w:webHidden/>
          </w:rPr>
        </w:r>
        <w:r>
          <w:rPr>
            <w:noProof/>
            <w:webHidden/>
          </w:rPr>
          <w:fldChar w:fldCharType="separate"/>
        </w:r>
        <w:r>
          <w:rPr>
            <w:noProof/>
            <w:webHidden/>
          </w:rPr>
          <w:t>11</w:t>
        </w:r>
        <w:r>
          <w:rPr>
            <w:noProof/>
            <w:webHidden/>
          </w:rPr>
          <w:fldChar w:fldCharType="end"/>
        </w:r>
      </w:hyperlink>
    </w:p>
    <w:p w14:paraId="249C38FD" w14:textId="52230DA4"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50" w:history="1">
        <w:r w:rsidRPr="006F7CDB">
          <w:rPr>
            <w:rStyle w:val="Hyperlink"/>
            <w:noProof/>
          </w:rPr>
          <w:t>3.2 Le modèle de données</w:t>
        </w:r>
        <w:r>
          <w:rPr>
            <w:noProof/>
            <w:webHidden/>
          </w:rPr>
          <w:tab/>
        </w:r>
        <w:r>
          <w:rPr>
            <w:noProof/>
            <w:webHidden/>
          </w:rPr>
          <w:fldChar w:fldCharType="begin"/>
        </w:r>
        <w:r>
          <w:rPr>
            <w:noProof/>
            <w:webHidden/>
          </w:rPr>
          <w:instrText xml:space="preserve"> PAGEREF _Toc232355550 \h </w:instrText>
        </w:r>
        <w:r>
          <w:rPr>
            <w:noProof/>
            <w:webHidden/>
          </w:rPr>
        </w:r>
        <w:r>
          <w:rPr>
            <w:noProof/>
            <w:webHidden/>
          </w:rPr>
          <w:fldChar w:fldCharType="separate"/>
        </w:r>
        <w:r>
          <w:rPr>
            <w:noProof/>
            <w:webHidden/>
          </w:rPr>
          <w:t>11</w:t>
        </w:r>
        <w:r>
          <w:rPr>
            <w:noProof/>
            <w:webHidden/>
          </w:rPr>
          <w:fldChar w:fldCharType="end"/>
        </w:r>
      </w:hyperlink>
    </w:p>
    <w:p w14:paraId="1842FAA2" w14:textId="1A969F4A" w:rsidR="004B7BF3" w:rsidRDefault="004B7BF3">
      <w:pPr>
        <w:pStyle w:val="TOC3"/>
        <w:tabs>
          <w:tab w:val="right" w:leader="dot" w:pos="9062"/>
        </w:tabs>
        <w:rPr>
          <w:rFonts w:asciiTheme="minorHAnsi" w:hAnsiTheme="minorHAnsi"/>
          <w:noProof/>
          <w:color w:val="auto"/>
          <w:kern w:val="2"/>
          <w:sz w:val="24"/>
          <w:szCs w:val="24"/>
          <w:lang w:val="en-GB" w:eastAsia="en-GB"/>
          <w14:ligatures w14:val="standardContextual"/>
        </w:rPr>
      </w:pPr>
      <w:hyperlink w:anchor="_Toc232355551" w:history="1">
        <w:r w:rsidRPr="006F7CDB">
          <w:rPr>
            <w:rStyle w:val="Hyperlink"/>
            <w:noProof/>
          </w:rPr>
          <w:t>Le cycle de vie du dossier comme machine à états</w:t>
        </w:r>
        <w:r>
          <w:rPr>
            <w:noProof/>
            <w:webHidden/>
          </w:rPr>
          <w:tab/>
        </w:r>
        <w:r>
          <w:rPr>
            <w:noProof/>
            <w:webHidden/>
          </w:rPr>
          <w:fldChar w:fldCharType="begin"/>
        </w:r>
        <w:r>
          <w:rPr>
            <w:noProof/>
            <w:webHidden/>
          </w:rPr>
          <w:instrText xml:space="preserve"> PAGEREF _Toc232355551 \h </w:instrText>
        </w:r>
        <w:r>
          <w:rPr>
            <w:noProof/>
            <w:webHidden/>
          </w:rPr>
        </w:r>
        <w:r>
          <w:rPr>
            <w:noProof/>
            <w:webHidden/>
          </w:rPr>
          <w:fldChar w:fldCharType="separate"/>
        </w:r>
        <w:r>
          <w:rPr>
            <w:noProof/>
            <w:webHidden/>
          </w:rPr>
          <w:t>12</w:t>
        </w:r>
        <w:r>
          <w:rPr>
            <w:noProof/>
            <w:webHidden/>
          </w:rPr>
          <w:fldChar w:fldCharType="end"/>
        </w:r>
      </w:hyperlink>
    </w:p>
    <w:p w14:paraId="5C95DF95" w14:textId="33858460"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52" w:history="1">
        <w:r w:rsidRPr="006F7CDB">
          <w:rPr>
            <w:rStyle w:val="Hyperlink"/>
            <w:noProof/>
          </w:rPr>
          <w:t>3.3 La migration de l'historique : faire entrer des données « sales » sans rien casser</w:t>
        </w:r>
        <w:r>
          <w:rPr>
            <w:noProof/>
            <w:webHidden/>
          </w:rPr>
          <w:tab/>
        </w:r>
        <w:r>
          <w:rPr>
            <w:noProof/>
            <w:webHidden/>
          </w:rPr>
          <w:fldChar w:fldCharType="begin"/>
        </w:r>
        <w:r>
          <w:rPr>
            <w:noProof/>
            <w:webHidden/>
          </w:rPr>
          <w:instrText xml:space="preserve"> PAGEREF _Toc232355552 \h </w:instrText>
        </w:r>
        <w:r>
          <w:rPr>
            <w:noProof/>
            <w:webHidden/>
          </w:rPr>
        </w:r>
        <w:r>
          <w:rPr>
            <w:noProof/>
            <w:webHidden/>
          </w:rPr>
          <w:fldChar w:fldCharType="separate"/>
        </w:r>
        <w:r>
          <w:rPr>
            <w:noProof/>
            <w:webHidden/>
          </w:rPr>
          <w:t>13</w:t>
        </w:r>
        <w:r>
          <w:rPr>
            <w:noProof/>
            <w:webHidden/>
          </w:rPr>
          <w:fldChar w:fldCharType="end"/>
        </w:r>
      </w:hyperlink>
    </w:p>
    <w:p w14:paraId="7CAF42F3" w14:textId="7D807937" w:rsidR="004B7BF3" w:rsidRDefault="004B7BF3">
      <w:pPr>
        <w:pStyle w:val="TOC3"/>
        <w:tabs>
          <w:tab w:val="right" w:leader="dot" w:pos="9062"/>
        </w:tabs>
        <w:rPr>
          <w:rFonts w:asciiTheme="minorHAnsi" w:hAnsiTheme="minorHAnsi"/>
          <w:noProof/>
          <w:color w:val="auto"/>
          <w:kern w:val="2"/>
          <w:sz w:val="24"/>
          <w:szCs w:val="24"/>
          <w:lang w:val="en-GB" w:eastAsia="en-GB"/>
          <w14:ligatures w14:val="standardContextual"/>
        </w:rPr>
      </w:pPr>
      <w:hyperlink w:anchor="_Toc232355553" w:history="1">
        <w:r w:rsidRPr="006F7CDB">
          <w:rPr>
            <w:rStyle w:val="Hyperlink"/>
            <w:noProof/>
          </w:rPr>
          <w:t>Tolérer les données imparfaites sans renoncer à la rigueur</w:t>
        </w:r>
        <w:r>
          <w:rPr>
            <w:noProof/>
            <w:webHidden/>
          </w:rPr>
          <w:tab/>
        </w:r>
        <w:r>
          <w:rPr>
            <w:noProof/>
            <w:webHidden/>
          </w:rPr>
          <w:fldChar w:fldCharType="begin"/>
        </w:r>
        <w:r>
          <w:rPr>
            <w:noProof/>
            <w:webHidden/>
          </w:rPr>
          <w:instrText xml:space="preserve"> PAGEREF _Toc232355553 \h </w:instrText>
        </w:r>
        <w:r>
          <w:rPr>
            <w:noProof/>
            <w:webHidden/>
          </w:rPr>
        </w:r>
        <w:r>
          <w:rPr>
            <w:noProof/>
            <w:webHidden/>
          </w:rPr>
          <w:fldChar w:fldCharType="separate"/>
        </w:r>
        <w:r>
          <w:rPr>
            <w:noProof/>
            <w:webHidden/>
          </w:rPr>
          <w:t>14</w:t>
        </w:r>
        <w:r>
          <w:rPr>
            <w:noProof/>
            <w:webHidden/>
          </w:rPr>
          <w:fldChar w:fldCharType="end"/>
        </w:r>
      </w:hyperlink>
    </w:p>
    <w:p w14:paraId="6AA84CBA" w14:textId="41D1D3A7"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54" w:history="1">
        <w:r w:rsidRPr="006F7CDB">
          <w:rPr>
            <w:rStyle w:val="Hyperlink"/>
            <w:noProof/>
          </w:rPr>
          <w:t>3.4 La migration tertiaire : un cas où la donnée n'existait plus qu'ici</w:t>
        </w:r>
        <w:r>
          <w:rPr>
            <w:noProof/>
            <w:webHidden/>
          </w:rPr>
          <w:tab/>
        </w:r>
        <w:r>
          <w:rPr>
            <w:noProof/>
            <w:webHidden/>
          </w:rPr>
          <w:fldChar w:fldCharType="begin"/>
        </w:r>
        <w:r>
          <w:rPr>
            <w:noProof/>
            <w:webHidden/>
          </w:rPr>
          <w:instrText xml:space="preserve"> PAGEREF _Toc232355554 \h </w:instrText>
        </w:r>
        <w:r>
          <w:rPr>
            <w:noProof/>
            <w:webHidden/>
          </w:rPr>
        </w:r>
        <w:r>
          <w:rPr>
            <w:noProof/>
            <w:webHidden/>
          </w:rPr>
          <w:fldChar w:fldCharType="separate"/>
        </w:r>
        <w:r>
          <w:rPr>
            <w:noProof/>
            <w:webHidden/>
          </w:rPr>
          <w:t>14</w:t>
        </w:r>
        <w:r>
          <w:rPr>
            <w:noProof/>
            <w:webHidden/>
          </w:rPr>
          <w:fldChar w:fldCharType="end"/>
        </w:r>
      </w:hyperlink>
    </w:p>
    <w:p w14:paraId="55945D80" w14:textId="1BD06A95"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55" w:history="1">
        <w:r w:rsidRPr="006F7CDB">
          <w:rPr>
            <w:rStyle w:val="Hyperlink"/>
            <w:noProof/>
          </w:rPr>
          <w:t>3.5 La synchronisation bidirectionnelle entre deux CRM</w:t>
        </w:r>
        <w:r>
          <w:rPr>
            <w:noProof/>
            <w:webHidden/>
          </w:rPr>
          <w:tab/>
        </w:r>
        <w:r>
          <w:rPr>
            <w:noProof/>
            <w:webHidden/>
          </w:rPr>
          <w:fldChar w:fldCharType="begin"/>
        </w:r>
        <w:r>
          <w:rPr>
            <w:noProof/>
            <w:webHidden/>
          </w:rPr>
          <w:instrText xml:space="preserve"> PAGEREF _Toc232355555 \h </w:instrText>
        </w:r>
        <w:r>
          <w:rPr>
            <w:noProof/>
            <w:webHidden/>
          </w:rPr>
        </w:r>
        <w:r>
          <w:rPr>
            <w:noProof/>
            <w:webHidden/>
          </w:rPr>
          <w:fldChar w:fldCharType="separate"/>
        </w:r>
        <w:r>
          <w:rPr>
            <w:noProof/>
            <w:webHidden/>
          </w:rPr>
          <w:t>15</w:t>
        </w:r>
        <w:r>
          <w:rPr>
            <w:noProof/>
            <w:webHidden/>
          </w:rPr>
          <w:fldChar w:fldCharType="end"/>
        </w:r>
      </w:hyperlink>
    </w:p>
    <w:p w14:paraId="37D3E0DA" w14:textId="745CB605" w:rsidR="004B7BF3" w:rsidRDefault="004B7BF3">
      <w:pPr>
        <w:pStyle w:val="TOC3"/>
        <w:tabs>
          <w:tab w:val="right" w:leader="dot" w:pos="9062"/>
        </w:tabs>
        <w:rPr>
          <w:rFonts w:asciiTheme="minorHAnsi" w:hAnsiTheme="minorHAnsi"/>
          <w:noProof/>
          <w:color w:val="auto"/>
          <w:kern w:val="2"/>
          <w:sz w:val="24"/>
          <w:szCs w:val="24"/>
          <w:lang w:val="en-GB" w:eastAsia="en-GB"/>
          <w14:ligatures w14:val="standardContextual"/>
        </w:rPr>
      </w:pPr>
      <w:hyperlink w:anchor="_Toc232355556" w:history="1">
        <w:r w:rsidRPr="006F7CDB">
          <w:rPr>
            <w:rStyle w:val="Hyperlink"/>
            <w:noProof/>
          </w:rPr>
          <w:t>Les contrats de payload : un travail de précision</w:t>
        </w:r>
        <w:r>
          <w:rPr>
            <w:noProof/>
            <w:webHidden/>
          </w:rPr>
          <w:tab/>
        </w:r>
        <w:r>
          <w:rPr>
            <w:noProof/>
            <w:webHidden/>
          </w:rPr>
          <w:fldChar w:fldCharType="begin"/>
        </w:r>
        <w:r>
          <w:rPr>
            <w:noProof/>
            <w:webHidden/>
          </w:rPr>
          <w:instrText xml:space="preserve"> PAGEREF _Toc232355556 \h </w:instrText>
        </w:r>
        <w:r>
          <w:rPr>
            <w:noProof/>
            <w:webHidden/>
          </w:rPr>
        </w:r>
        <w:r>
          <w:rPr>
            <w:noProof/>
            <w:webHidden/>
          </w:rPr>
          <w:fldChar w:fldCharType="separate"/>
        </w:r>
        <w:r>
          <w:rPr>
            <w:noProof/>
            <w:webHidden/>
          </w:rPr>
          <w:t>15</w:t>
        </w:r>
        <w:r>
          <w:rPr>
            <w:noProof/>
            <w:webHidden/>
          </w:rPr>
          <w:fldChar w:fldCharType="end"/>
        </w:r>
      </w:hyperlink>
    </w:p>
    <w:p w14:paraId="5665CD81" w14:textId="13BACBDF"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57" w:history="1">
        <w:r w:rsidRPr="006F7CDB">
          <w:rPr>
            <w:rStyle w:val="Hyperlink"/>
            <w:noProof/>
          </w:rPr>
          <w:t>3.6 La qualité et l'intégrité des données</w:t>
        </w:r>
        <w:r>
          <w:rPr>
            <w:noProof/>
            <w:webHidden/>
          </w:rPr>
          <w:tab/>
        </w:r>
        <w:r>
          <w:rPr>
            <w:noProof/>
            <w:webHidden/>
          </w:rPr>
          <w:fldChar w:fldCharType="begin"/>
        </w:r>
        <w:r>
          <w:rPr>
            <w:noProof/>
            <w:webHidden/>
          </w:rPr>
          <w:instrText xml:space="preserve"> PAGEREF _Toc232355557 \h </w:instrText>
        </w:r>
        <w:r>
          <w:rPr>
            <w:noProof/>
            <w:webHidden/>
          </w:rPr>
        </w:r>
        <w:r>
          <w:rPr>
            <w:noProof/>
            <w:webHidden/>
          </w:rPr>
          <w:fldChar w:fldCharType="separate"/>
        </w:r>
        <w:r>
          <w:rPr>
            <w:noProof/>
            <w:webHidden/>
          </w:rPr>
          <w:t>16</w:t>
        </w:r>
        <w:r>
          <w:rPr>
            <w:noProof/>
            <w:webHidden/>
          </w:rPr>
          <w:fldChar w:fldCharType="end"/>
        </w:r>
      </w:hyperlink>
    </w:p>
    <w:p w14:paraId="1A89C48D" w14:textId="312CCFEF"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58" w:history="1">
        <w:r w:rsidRPr="006F7CDB">
          <w:rPr>
            <w:rStyle w:val="Hyperlink"/>
            <w:noProof/>
          </w:rPr>
          <w:t>3.7 La sécurité des données</w:t>
        </w:r>
        <w:r>
          <w:rPr>
            <w:noProof/>
            <w:webHidden/>
          </w:rPr>
          <w:tab/>
        </w:r>
        <w:r>
          <w:rPr>
            <w:noProof/>
            <w:webHidden/>
          </w:rPr>
          <w:fldChar w:fldCharType="begin"/>
        </w:r>
        <w:r>
          <w:rPr>
            <w:noProof/>
            <w:webHidden/>
          </w:rPr>
          <w:instrText xml:space="preserve"> PAGEREF _Toc232355558 \h </w:instrText>
        </w:r>
        <w:r>
          <w:rPr>
            <w:noProof/>
            <w:webHidden/>
          </w:rPr>
        </w:r>
        <w:r>
          <w:rPr>
            <w:noProof/>
            <w:webHidden/>
          </w:rPr>
          <w:fldChar w:fldCharType="separate"/>
        </w:r>
        <w:r>
          <w:rPr>
            <w:noProof/>
            <w:webHidden/>
          </w:rPr>
          <w:t>17</w:t>
        </w:r>
        <w:r>
          <w:rPr>
            <w:noProof/>
            <w:webHidden/>
          </w:rPr>
          <w:fldChar w:fldCharType="end"/>
        </w:r>
      </w:hyperlink>
    </w:p>
    <w:p w14:paraId="32462446" w14:textId="5309B13E"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59" w:history="1">
        <w:r w:rsidRPr="006F7CDB">
          <w:rPr>
            <w:rStyle w:val="Hyperlink"/>
            <w:noProof/>
          </w:rPr>
          <w:t>3.8 Difficultés techniques marquantes</w:t>
        </w:r>
        <w:r>
          <w:rPr>
            <w:noProof/>
            <w:webHidden/>
          </w:rPr>
          <w:tab/>
        </w:r>
        <w:r>
          <w:rPr>
            <w:noProof/>
            <w:webHidden/>
          </w:rPr>
          <w:fldChar w:fldCharType="begin"/>
        </w:r>
        <w:r>
          <w:rPr>
            <w:noProof/>
            <w:webHidden/>
          </w:rPr>
          <w:instrText xml:space="preserve"> PAGEREF _Toc232355559 \h </w:instrText>
        </w:r>
        <w:r>
          <w:rPr>
            <w:noProof/>
            <w:webHidden/>
          </w:rPr>
        </w:r>
        <w:r>
          <w:rPr>
            <w:noProof/>
            <w:webHidden/>
          </w:rPr>
          <w:fldChar w:fldCharType="separate"/>
        </w:r>
        <w:r>
          <w:rPr>
            <w:noProof/>
            <w:webHidden/>
          </w:rPr>
          <w:t>18</w:t>
        </w:r>
        <w:r>
          <w:rPr>
            <w:noProof/>
            <w:webHidden/>
          </w:rPr>
          <w:fldChar w:fldCharType="end"/>
        </w:r>
      </w:hyperlink>
    </w:p>
    <w:p w14:paraId="47EA5D1B" w14:textId="273C5223"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60" w:history="1">
        <w:r w:rsidRPr="006F7CDB">
          <w:rPr>
            <w:rStyle w:val="Hyperlink"/>
            <w:noProof/>
          </w:rPr>
          <w:t>3.9 La conduite des migrations de schéma</w:t>
        </w:r>
        <w:r>
          <w:rPr>
            <w:noProof/>
            <w:webHidden/>
          </w:rPr>
          <w:tab/>
        </w:r>
        <w:r>
          <w:rPr>
            <w:noProof/>
            <w:webHidden/>
          </w:rPr>
          <w:fldChar w:fldCharType="begin"/>
        </w:r>
        <w:r>
          <w:rPr>
            <w:noProof/>
            <w:webHidden/>
          </w:rPr>
          <w:instrText xml:space="preserve"> PAGEREF _Toc232355560 \h </w:instrText>
        </w:r>
        <w:r>
          <w:rPr>
            <w:noProof/>
            <w:webHidden/>
          </w:rPr>
        </w:r>
        <w:r>
          <w:rPr>
            <w:noProof/>
            <w:webHidden/>
          </w:rPr>
          <w:fldChar w:fldCharType="separate"/>
        </w:r>
        <w:r>
          <w:rPr>
            <w:noProof/>
            <w:webHidden/>
          </w:rPr>
          <w:t>19</w:t>
        </w:r>
        <w:r>
          <w:rPr>
            <w:noProof/>
            <w:webHidden/>
          </w:rPr>
          <w:fldChar w:fldCharType="end"/>
        </w:r>
      </w:hyperlink>
    </w:p>
    <w:p w14:paraId="0502C02F" w14:textId="2214B6D3"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61" w:history="1">
        <w:r w:rsidRPr="006F7CDB">
          <w:rPr>
            <w:rStyle w:val="Hyperlink"/>
            <w:noProof/>
          </w:rPr>
          <w:t>3.10 La mise en production et la coordination bilatérale</w:t>
        </w:r>
        <w:r>
          <w:rPr>
            <w:noProof/>
            <w:webHidden/>
          </w:rPr>
          <w:tab/>
        </w:r>
        <w:r>
          <w:rPr>
            <w:noProof/>
            <w:webHidden/>
          </w:rPr>
          <w:fldChar w:fldCharType="begin"/>
        </w:r>
        <w:r>
          <w:rPr>
            <w:noProof/>
            <w:webHidden/>
          </w:rPr>
          <w:instrText xml:space="preserve"> PAGEREF _Toc232355561 \h </w:instrText>
        </w:r>
        <w:r>
          <w:rPr>
            <w:noProof/>
            <w:webHidden/>
          </w:rPr>
        </w:r>
        <w:r>
          <w:rPr>
            <w:noProof/>
            <w:webHidden/>
          </w:rPr>
          <w:fldChar w:fldCharType="separate"/>
        </w:r>
        <w:r>
          <w:rPr>
            <w:noProof/>
            <w:webHidden/>
          </w:rPr>
          <w:t>20</w:t>
        </w:r>
        <w:r>
          <w:rPr>
            <w:noProof/>
            <w:webHidden/>
          </w:rPr>
          <w:fldChar w:fldCharType="end"/>
        </w:r>
      </w:hyperlink>
    </w:p>
    <w:p w14:paraId="559389B7" w14:textId="6803709C" w:rsidR="004B7BF3" w:rsidRDefault="004B7BF3">
      <w:pPr>
        <w:pStyle w:val="TOC1"/>
        <w:tabs>
          <w:tab w:val="right" w:leader="dot" w:pos="9062"/>
        </w:tabs>
        <w:rPr>
          <w:rFonts w:asciiTheme="minorHAnsi" w:hAnsiTheme="minorHAnsi"/>
          <w:noProof/>
          <w:color w:val="auto"/>
          <w:kern w:val="2"/>
          <w:sz w:val="24"/>
          <w:szCs w:val="24"/>
          <w:lang w:val="en-GB" w:eastAsia="en-GB"/>
          <w14:ligatures w14:val="standardContextual"/>
        </w:rPr>
      </w:pPr>
      <w:hyperlink w:anchor="_Toc232355562" w:history="1">
        <w:r w:rsidRPr="006F7CDB">
          <w:rPr>
            <w:rStyle w:val="Hyperlink"/>
            <w:noProof/>
          </w:rPr>
          <w:t>4. Les missions en appui</w:t>
        </w:r>
        <w:r>
          <w:rPr>
            <w:noProof/>
            <w:webHidden/>
          </w:rPr>
          <w:tab/>
        </w:r>
        <w:r>
          <w:rPr>
            <w:noProof/>
            <w:webHidden/>
          </w:rPr>
          <w:fldChar w:fldCharType="begin"/>
        </w:r>
        <w:r>
          <w:rPr>
            <w:noProof/>
            <w:webHidden/>
          </w:rPr>
          <w:instrText xml:space="preserve"> PAGEREF _Toc232355562 \h </w:instrText>
        </w:r>
        <w:r>
          <w:rPr>
            <w:noProof/>
            <w:webHidden/>
          </w:rPr>
        </w:r>
        <w:r>
          <w:rPr>
            <w:noProof/>
            <w:webHidden/>
          </w:rPr>
          <w:fldChar w:fldCharType="separate"/>
        </w:r>
        <w:r>
          <w:rPr>
            <w:noProof/>
            <w:webHidden/>
          </w:rPr>
          <w:t>22</w:t>
        </w:r>
        <w:r>
          <w:rPr>
            <w:noProof/>
            <w:webHidden/>
          </w:rPr>
          <w:fldChar w:fldCharType="end"/>
        </w:r>
      </w:hyperlink>
    </w:p>
    <w:p w14:paraId="181705A1" w14:textId="21531B32"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63" w:history="1">
        <w:r w:rsidRPr="006F7CDB">
          <w:rPr>
            <w:rStyle w:val="Hyperlink"/>
            <w:noProof/>
          </w:rPr>
          <w:t>4.1 alumnai : un pipeline de données pour la recherche sémantique</w:t>
        </w:r>
        <w:r>
          <w:rPr>
            <w:noProof/>
            <w:webHidden/>
          </w:rPr>
          <w:tab/>
        </w:r>
        <w:r>
          <w:rPr>
            <w:noProof/>
            <w:webHidden/>
          </w:rPr>
          <w:fldChar w:fldCharType="begin"/>
        </w:r>
        <w:r>
          <w:rPr>
            <w:noProof/>
            <w:webHidden/>
          </w:rPr>
          <w:instrText xml:space="preserve"> PAGEREF _Toc232355563 \h </w:instrText>
        </w:r>
        <w:r>
          <w:rPr>
            <w:noProof/>
            <w:webHidden/>
          </w:rPr>
        </w:r>
        <w:r>
          <w:rPr>
            <w:noProof/>
            <w:webHidden/>
          </w:rPr>
          <w:fldChar w:fldCharType="separate"/>
        </w:r>
        <w:r>
          <w:rPr>
            <w:noProof/>
            <w:webHidden/>
          </w:rPr>
          <w:t>22</w:t>
        </w:r>
        <w:r>
          <w:rPr>
            <w:noProof/>
            <w:webHidden/>
          </w:rPr>
          <w:fldChar w:fldCharType="end"/>
        </w:r>
      </w:hyperlink>
    </w:p>
    <w:p w14:paraId="463FA44A" w14:textId="1F48D334"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64" w:history="1">
        <w:r w:rsidRPr="006F7CDB">
          <w:rPr>
            <w:rStyle w:val="Hyperlink"/>
            <w:noProof/>
          </w:rPr>
          <w:t>4.2 ES-CRM : d'une application prototype à une architecture de données</w:t>
        </w:r>
        <w:r>
          <w:rPr>
            <w:noProof/>
            <w:webHidden/>
          </w:rPr>
          <w:tab/>
        </w:r>
        <w:r>
          <w:rPr>
            <w:noProof/>
            <w:webHidden/>
          </w:rPr>
          <w:fldChar w:fldCharType="begin"/>
        </w:r>
        <w:r>
          <w:rPr>
            <w:noProof/>
            <w:webHidden/>
          </w:rPr>
          <w:instrText xml:space="preserve"> PAGEREF _Toc232355564 \h </w:instrText>
        </w:r>
        <w:r>
          <w:rPr>
            <w:noProof/>
            <w:webHidden/>
          </w:rPr>
        </w:r>
        <w:r>
          <w:rPr>
            <w:noProof/>
            <w:webHidden/>
          </w:rPr>
          <w:fldChar w:fldCharType="separate"/>
        </w:r>
        <w:r>
          <w:rPr>
            <w:noProof/>
            <w:webHidden/>
          </w:rPr>
          <w:t>22</w:t>
        </w:r>
        <w:r>
          <w:rPr>
            <w:noProof/>
            <w:webHidden/>
          </w:rPr>
          <w:fldChar w:fldCharType="end"/>
        </w:r>
      </w:hyperlink>
    </w:p>
    <w:p w14:paraId="128E8A92" w14:textId="3F999D46"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65" w:history="1">
        <w:r w:rsidRPr="006F7CDB">
          <w:rPr>
            <w:rStyle w:val="Hyperlink"/>
            <w:noProof/>
          </w:rPr>
          <w:t>4.3 Audio-extractor : transformer un appel en données exploitables</w:t>
        </w:r>
        <w:r>
          <w:rPr>
            <w:noProof/>
            <w:webHidden/>
          </w:rPr>
          <w:tab/>
        </w:r>
        <w:r>
          <w:rPr>
            <w:noProof/>
            <w:webHidden/>
          </w:rPr>
          <w:fldChar w:fldCharType="begin"/>
        </w:r>
        <w:r>
          <w:rPr>
            <w:noProof/>
            <w:webHidden/>
          </w:rPr>
          <w:instrText xml:space="preserve"> PAGEREF _Toc232355565 \h </w:instrText>
        </w:r>
        <w:r>
          <w:rPr>
            <w:noProof/>
            <w:webHidden/>
          </w:rPr>
        </w:r>
        <w:r>
          <w:rPr>
            <w:noProof/>
            <w:webHidden/>
          </w:rPr>
          <w:fldChar w:fldCharType="separate"/>
        </w:r>
        <w:r>
          <w:rPr>
            <w:noProof/>
            <w:webHidden/>
          </w:rPr>
          <w:t>23</w:t>
        </w:r>
        <w:r>
          <w:rPr>
            <w:noProof/>
            <w:webHidden/>
          </w:rPr>
          <w:fldChar w:fldCharType="end"/>
        </w:r>
      </w:hyperlink>
    </w:p>
    <w:p w14:paraId="0166B4CC" w14:textId="659F21A0"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66" w:history="1">
        <w:r w:rsidRPr="006F7CDB">
          <w:rPr>
            <w:rStyle w:val="Hyperlink"/>
            <w:noProof/>
          </w:rPr>
          <w:t>4.4 Les bots WhatsApp : modéliser et sécuriser des données comptables</w:t>
        </w:r>
        <w:r>
          <w:rPr>
            <w:noProof/>
            <w:webHidden/>
          </w:rPr>
          <w:tab/>
        </w:r>
        <w:r>
          <w:rPr>
            <w:noProof/>
            <w:webHidden/>
          </w:rPr>
          <w:fldChar w:fldCharType="begin"/>
        </w:r>
        <w:r>
          <w:rPr>
            <w:noProof/>
            <w:webHidden/>
          </w:rPr>
          <w:instrText xml:space="preserve"> PAGEREF _Toc232355566 \h </w:instrText>
        </w:r>
        <w:r>
          <w:rPr>
            <w:noProof/>
            <w:webHidden/>
          </w:rPr>
        </w:r>
        <w:r>
          <w:rPr>
            <w:noProof/>
            <w:webHidden/>
          </w:rPr>
          <w:fldChar w:fldCharType="separate"/>
        </w:r>
        <w:r>
          <w:rPr>
            <w:noProof/>
            <w:webHidden/>
          </w:rPr>
          <w:t>23</w:t>
        </w:r>
        <w:r>
          <w:rPr>
            <w:noProof/>
            <w:webHidden/>
          </w:rPr>
          <w:fldChar w:fldCharType="end"/>
        </w:r>
      </w:hyperlink>
    </w:p>
    <w:p w14:paraId="5C329A99" w14:textId="53A8571A"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67" w:history="1">
        <w:r w:rsidRPr="006F7CDB">
          <w:rPr>
            <w:rStyle w:val="Hyperlink"/>
            <w:noProof/>
          </w:rPr>
          <w:t>4.5 RDE et Régie : audit de sécurité et données foncières</w:t>
        </w:r>
        <w:r>
          <w:rPr>
            <w:noProof/>
            <w:webHidden/>
          </w:rPr>
          <w:tab/>
        </w:r>
        <w:r>
          <w:rPr>
            <w:noProof/>
            <w:webHidden/>
          </w:rPr>
          <w:fldChar w:fldCharType="begin"/>
        </w:r>
        <w:r>
          <w:rPr>
            <w:noProof/>
            <w:webHidden/>
          </w:rPr>
          <w:instrText xml:space="preserve"> PAGEREF _Toc232355567 \h </w:instrText>
        </w:r>
        <w:r>
          <w:rPr>
            <w:noProof/>
            <w:webHidden/>
          </w:rPr>
        </w:r>
        <w:r>
          <w:rPr>
            <w:noProof/>
            <w:webHidden/>
          </w:rPr>
          <w:fldChar w:fldCharType="separate"/>
        </w:r>
        <w:r>
          <w:rPr>
            <w:noProof/>
            <w:webHidden/>
          </w:rPr>
          <w:t>24</w:t>
        </w:r>
        <w:r>
          <w:rPr>
            <w:noProof/>
            <w:webHidden/>
          </w:rPr>
          <w:fldChar w:fldCharType="end"/>
        </w:r>
      </w:hyperlink>
    </w:p>
    <w:p w14:paraId="1C61CB08" w14:textId="4EEE1D2C"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68" w:history="1">
        <w:r w:rsidRPr="006F7CDB">
          <w:rPr>
            <w:rStyle w:val="Hyperlink"/>
            <w:noProof/>
          </w:rPr>
          <w:t>4.6 Un enseignement commun : la donnée comme fil conducteur</w:t>
        </w:r>
        <w:r>
          <w:rPr>
            <w:noProof/>
            <w:webHidden/>
          </w:rPr>
          <w:tab/>
        </w:r>
        <w:r>
          <w:rPr>
            <w:noProof/>
            <w:webHidden/>
          </w:rPr>
          <w:fldChar w:fldCharType="begin"/>
        </w:r>
        <w:r>
          <w:rPr>
            <w:noProof/>
            <w:webHidden/>
          </w:rPr>
          <w:instrText xml:space="preserve"> PAGEREF _Toc232355568 \h </w:instrText>
        </w:r>
        <w:r>
          <w:rPr>
            <w:noProof/>
            <w:webHidden/>
          </w:rPr>
        </w:r>
        <w:r>
          <w:rPr>
            <w:noProof/>
            <w:webHidden/>
          </w:rPr>
          <w:fldChar w:fldCharType="separate"/>
        </w:r>
        <w:r>
          <w:rPr>
            <w:noProof/>
            <w:webHidden/>
          </w:rPr>
          <w:t>24</w:t>
        </w:r>
        <w:r>
          <w:rPr>
            <w:noProof/>
            <w:webHidden/>
          </w:rPr>
          <w:fldChar w:fldCharType="end"/>
        </w:r>
      </w:hyperlink>
    </w:p>
    <w:p w14:paraId="6EB6C2FA" w14:textId="3A9CCB1E" w:rsidR="004B7BF3" w:rsidRDefault="004B7BF3">
      <w:pPr>
        <w:pStyle w:val="TOC1"/>
        <w:tabs>
          <w:tab w:val="right" w:leader="dot" w:pos="9062"/>
        </w:tabs>
        <w:rPr>
          <w:rFonts w:asciiTheme="minorHAnsi" w:hAnsiTheme="minorHAnsi"/>
          <w:noProof/>
          <w:color w:val="auto"/>
          <w:kern w:val="2"/>
          <w:sz w:val="24"/>
          <w:szCs w:val="24"/>
          <w:lang w:val="en-GB" w:eastAsia="en-GB"/>
          <w14:ligatures w14:val="standardContextual"/>
        </w:rPr>
      </w:pPr>
      <w:hyperlink w:anchor="_Toc232355569" w:history="1">
        <w:r w:rsidRPr="006F7CDB">
          <w:rPr>
            <w:rStyle w:val="Hyperlink"/>
            <w:noProof/>
          </w:rPr>
          <w:t>5. Analyse critique</w:t>
        </w:r>
        <w:r>
          <w:rPr>
            <w:noProof/>
            <w:webHidden/>
          </w:rPr>
          <w:tab/>
        </w:r>
        <w:r>
          <w:rPr>
            <w:noProof/>
            <w:webHidden/>
          </w:rPr>
          <w:fldChar w:fldCharType="begin"/>
        </w:r>
        <w:r>
          <w:rPr>
            <w:noProof/>
            <w:webHidden/>
          </w:rPr>
          <w:instrText xml:space="preserve"> PAGEREF _Toc232355569 \h </w:instrText>
        </w:r>
        <w:r>
          <w:rPr>
            <w:noProof/>
            <w:webHidden/>
          </w:rPr>
        </w:r>
        <w:r>
          <w:rPr>
            <w:noProof/>
            <w:webHidden/>
          </w:rPr>
          <w:fldChar w:fldCharType="separate"/>
        </w:r>
        <w:r>
          <w:rPr>
            <w:noProof/>
            <w:webHidden/>
          </w:rPr>
          <w:t>26</w:t>
        </w:r>
        <w:r>
          <w:rPr>
            <w:noProof/>
            <w:webHidden/>
          </w:rPr>
          <w:fldChar w:fldCharType="end"/>
        </w:r>
      </w:hyperlink>
    </w:p>
    <w:p w14:paraId="7462DF30" w14:textId="412FABEF"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70" w:history="1">
        <w:r w:rsidRPr="006F7CDB">
          <w:rPr>
            <w:rStyle w:val="Hyperlink"/>
            <w:noProof/>
          </w:rPr>
          <w:t>5.1 Les limites de ce qui a été réalisé</w:t>
        </w:r>
        <w:r>
          <w:rPr>
            <w:noProof/>
            <w:webHidden/>
          </w:rPr>
          <w:tab/>
        </w:r>
        <w:r>
          <w:rPr>
            <w:noProof/>
            <w:webHidden/>
          </w:rPr>
          <w:fldChar w:fldCharType="begin"/>
        </w:r>
        <w:r>
          <w:rPr>
            <w:noProof/>
            <w:webHidden/>
          </w:rPr>
          <w:instrText xml:space="preserve"> PAGEREF _Toc232355570 \h </w:instrText>
        </w:r>
        <w:r>
          <w:rPr>
            <w:noProof/>
            <w:webHidden/>
          </w:rPr>
        </w:r>
        <w:r>
          <w:rPr>
            <w:noProof/>
            <w:webHidden/>
          </w:rPr>
          <w:fldChar w:fldCharType="separate"/>
        </w:r>
        <w:r>
          <w:rPr>
            <w:noProof/>
            <w:webHidden/>
          </w:rPr>
          <w:t>26</w:t>
        </w:r>
        <w:r>
          <w:rPr>
            <w:noProof/>
            <w:webHidden/>
          </w:rPr>
          <w:fldChar w:fldCharType="end"/>
        </w:r>
      </w:hyperlink>
    </w:p>
    <w:p w14:paraId="101923B6" w14:textId="290458B5"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71" w:history="1">
        <w:r w:rsidRPr="006F7CDB">
          <w:rPr>
            <w:rStyle w:val="Hyperlink"/>
            <w:noProof/>
          </w:rPr>
          <w:t>5.2 Les difficultés transverses et ce qu'elles m'ont appris</w:t>
        </w:r>
        <w:r>
          <w:rPr>
            <w:noProof/>
            <w:webHidden/>
          </w:rPr>
          <w:tab/>
        </w:r>
        <w:r>
          <w:rPr>
            <w:noProof/>
            <w:webHidden/>
          </w:rPr>
          <w:fldChar w:fldCharType="begin"/>
        </w:r>
        <w:r>
          <w:rPr>
            <w:noProof/>
            <w:webHidden/>
          </w:rPr>
          <w:instrText xml:space="preserve"> PAGEREF _Toc232355571 \h </w:instrText>
        </w:r>
        <w:r>
          <w:rPr>
            <w:noProof/>
            <w:webHidden/>
          </w:rPr>
        </w:r>
        <w:r>
          <w:rPr>
            <w:noProof/>
            <w:webHidden/>
          </w:rPr>
          <w:fldChar w:fldCharType="separate"/>
        </w:r>
        <w:r>
          <w:rPr>
            <w:noProof/>
            <w:webHidden/>
          </w:rPr>
          <w:t>26</w:t>
        </w:r>
        <w:r>
          <w:rPr>
            <w:noProof/>
            <w:webHidden/>
          </w:rPr>
          <w:fldChar w:fldCharType="end"/>
        </w:r>
      </w:hyperlink>
    </w:p>
    <w:p w14:paraId="2F7BA68E" w14:textId="7836EEF1"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72" w:history="1">
        <w:r w:rsidRPr="006F7CDB">
          <w:rPr>
            <w:rStyle w:val="Hyperlink"/>
            <w:noProof/>
          </w:rPr>
          <w:t>5.3 Réflexion sur la qualité, la sécurité et la maintenabilité</w:t>
        </w:r>
        <w:r>
          <w:rPr>
            <w:noProof/>
            <w:webHidden/>
          </w:rPr>
          <w:tab/>
        </w:r>
        <w:r>
          <w:rPr>
            <w:noProof/>
            <w:webHidden/>
          </w:rPr>
          <w:fldChar w:fldCharType="begin"/>
        </w:r>
        <w:r>
          <w:rPr>
            <w:noProof/>
            <w:webHidden/>
          </w:rPr>
          <w:instrText xml:space="preserve"> PAGEREF _Toc232355572 \h </w:instrText>
        </w:r>
        <w:r>
          <w:rPr>
            <w:noProof/>
            <w:webHidden/>
          </w:rPr>
        </w:r>
        <w:r>
          <w:rPr>
            <w:noProof/>
            <w:webHidden/>
          </w:rPr>
          <w:fldChar w:fldCharType="separate"/>
        </w:r>
        <w:r>
          <w:rPr>
            <w:noProof/>
            <w:webHidden/>
          </w:rPr>
          <w:t>27</w:t>
        </w:r>
        <w:r>
          <w:rPr>
            <w:noProof/>
            <w:webHidden/>
          </w:rPr>
          <w:fldChar w:fldCharType="end"/>
        </w:r>
      </w:hyperlink>
    </w:p>
    <w:p w14:paraId="35B15A39" w14:textId="4651C573"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73" w:history="1">
        <w:r w:rsidRPr="006F7CDB">
          <w:rPr>
            <w:rStyle w:val="Hyperlink"/>
            <w:noProof/>
          </w:rPr>
          <w:t>5.4 Perspectives</w:t>
        </w:r>
        <w:r>
          <w:rPr>
            <w:noProof/>
            <w:webHidden/>
          </w:rPr>
          <w:tab/>
        </w:r>
        <w:r>
          <w:rPr>
            <w:noProof/>
            <w:webHidden/>
          </w:rPr>
          <w:fldChar w:fldCharType="begin"/>
        </w:r>
        <w:r>
          <w:rPr>
            <w:noProof/>
            <w:webHidden/>
          </w:rPr>
          <w:instrText xml:space="preserve"> PAGEREF _Toc232355573 \h </w:instrText>
        </w:r>
        <w:r>
          <w:rPr>
            <w:noProof/>
            <w:webHidden/>
          </w:rPr>
        </w:r>
        <w:r>
          <w:rPr>
            <w:noProof/>
            <w:webHidden/>
          </w:rPr>
          <w:fldChar w:fldCharType="separate"/>
        </w:r>
        <w:r>
          <w:rPr>
            <w:noProof/>
            <w:webHidden/>
          </w:rPr>
          <w:t>27</w:t>
        </w:r>
        <w:r>
          <w:rPr>
            <w:noProof/>
            <w:webHidden/>
          </w:rPr>
          <w:fldChar w:fldCharType="end"/>
        </w:r>
      </w:hyperlink>
    </w:p>
    <w:p w14:paraId="6FDEFEDE" w14:textId="7D393D08"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74" w:history="1">
        <w:r w:rsidRPr="006F7CDB">
          <w:rPr>
            <w:rStyle w:val="Hyperlink"/>
            <w:noProof/>
          </w:rPr>
          <w:t>5.5 Les compétences que j'ai développées</w:t>
        </w:r>
        <w:r>
          <w:rPr>
            <w:noProof/>
            <w:webHidden/>
          </w:rPr>
          <w:tab/>
        </w:r>
        <w:r>
          <w:rPr>
            <w:noProof/>
            <w:webHidden/>
          </w:rPr>
          <w:fldChar w:fldCharType="begin"/>
        </w:r>
        <w:r>
          <w:rPr>
            <w:noProof/>
            <w:webHidden/>
          </w:rPr>
          <w:instrText xml:space="preserve"> PAGEREF _Toc232355574 \h </w:instrText>
        </w:r>
        <w:r>
          <w:rPr>
            <w:noProof/>
            <w:webHidden/>
          </w:rPr>
        </w:r>
        <w:r>
          <w:rPr>
            <w:noProof/>
            <w:webHidden/>
          </w:rPr>
          <w:fldChar w:fldCharType="separate"/>
        </w:r>
        <w:r>
          <w:rPr>
            <w:noProof/>
            <w:webHidden/>
          </w:rPr>
          <w:t>27</w:t>
        </w:r>
        <w:r>
          <w:rPr>
            <w:noProof/>
            <w:webHidden/>
          </w:rPr>
          <w:fldChar w:fldCharType="end"/>
        </w:r>
      </w:hyperlink>
    </w:p>
    <w:p w14:paraId="58E47366" w14:textId="1FDCC5E8" w:rsidR="004B7BF3" w:rsidRDefault="004B7BF3">
      <w:pPr>
        <w:pStyle w:val="TOC1"/>
        <w:tabs>
          <w:tab w:val="right" w:leader="dot" w:pos="9062"/>
        </w:tabs>
        <w:rPr>
          <w:rFonts w:asciiTheme="minorHAnsi" w:hAnsiTheme="minorHAnsi"/>
          <w:noProof/>
          <w:color w:val="auto"/>
          <w:kern w:val="2"/>
          <w:sz w:val="24"/>
          <w:szCs w:val="24"/>
          <w:lang w:val="en-GB" w:eastAsia="en-GB"/>
          <w14:ligatures w14:val="standardContextual"/>
        </w:rPr>
      </w:pPr>
      <w:hyperlink w:anchor="_Toc232355575" w:history="1">
        <w:r w:rsidRPr="006F7CDB">
          <w:rPr>
            <w:rStyle w:val="Hyperlink"/>
            <w:noProof/>
          </w:rPr>
          <w:t>Conclusion</w:t>
        </w:r>
        <w:r>
          <w:rPr>
            <w:noProof/>
            <w:webHidden/>
          </w:rPr>
          <w:tab/>
        </w:r>
        <w:r>
          <w:rPr>
            <w:noProof/>
            <w:webHidden/>
          </w:rPr>
          <w:fldChar w:fldCharType="begin"/>
        </w:r>
        <w:r>
          <w:rPr>
            <w:noProof/>
            <w:webHidden/>
          </w:rPr>
          <w:instrText xml:space="preserve"> PAGEREF _Toc232355575 \h </w:instrText>
        </w:r>
        <w:r>
          <w:rPr>
            <w:noProof/>
            <w:webHidden/>
          </w:rPr>
        </w:r>
        <w:r>
          <w:rPr>
            <w:noProof/>
            <w:webHidden/>
          </w:rPr>
          <w:fldChar w:fldCharType="separate"/>
        </w:r>
        <w:r>
          <w:rPr>
            <w:noProof/>
            <w:webHidden/>
          </w:rPr>
          <w:t>29</w:t>
        </w:r>
        <w:r>
          <w:rPr>
            <w:noProof/>
            <w:webHidden/>
          </w:rPr>
          <w:fldChar w:fldCharType="end"/>
        </w:r>
      </w:hyperlink>
    </w:p>
    <w:p w14:paraId="4F2BE77F" w14:textId="06550F92" w:rsidR="004B7BF3" w:rsidRDefault="004B7BF3">
      <w:pPr>
        <w:pStyle w:val="TOC1"/>
        <w:tabs>
          <w:tab w:val="right" w:leader="dot" w:pos="9062"/>
        </w:tabs>
        <w:rPr>
          <w:rFonts w:asciiTheme="minorHAnsi" w:hAnsiTheme="minorHAnsi"/>
          <w:noProof/>
          <w:color w:val="auto"/>
          <w:kern w:val="2"/>
          <w:sz w:val="24"/>
          <w:szCs w:val="24"/>
          <w:lang w:val="en-GB" w:eastAsia="en-GB"/>
          <w14:ligatures w14:val="standardContextual"/>
        </w:rPr>
      </w:pPr>
      <w:hyperlink w:anchor="_Toc232355576" w:history="1">
        <w:r w:rsidRPr="006F7CDB">
          <w:rPr>
            <w:rStyle w:val="Hyperlink"/>
            <w:noProof/>
          </w:rPr>
          <w:t>Glossaire</w:t>
        </w:r>
        <w:r>
          <w:rPr>
            <w:noProof/>
            <w:webHidden/>
          </w:rPr>
          <w:tab/>
        </w:r>
        <w:r>
          <w:rPr>
            <w:noProof/>
            <w:webHidden/>
          </w:rPr>
          <w:fldChar w:fldCharType="begin"/>
        </w:r>
        <w:r>
          <w:rPr>
            <w:noProof/>
            <w:webHidden/>
          </w:rPr>
          <w:instrText xml:space="preserve"> PAGEREF _Toc232355576 \h </w:instrText>
        </w:r>
        <w:r>
          <w:rPr>
            <w:noProof/>
            <w:webHidden/>
          </w:rPr>
        </w:r>
        <w:r>
          <w:rPr>
            <w:noProof/>
            <w:webHidden/>
          </w:rPr>
          <w:fldChar w:fldCharType="separate"/>
        </w:r>
        <w:r>
          <w:rPr>
            <w:noProof/>
            <w:webHidden/>
          </w:rPr>
          <w:t>30</w:t>
        </w:r>
        <w:r>
          <w:rPr>
            <w:noProof/>
            <w:webHidden/>
          </w:rPr>
          <w:fldChar w:fldCharType="end"/>
        </w:r>
      </w:hyperlink>
    </w:p>
    <w:p w14:paraId="625CCC00" w14:textId="0FF41413" w:rsidR="004B7BF3" w:rsidRDefault="004B7BF3">
      <w:pPr>
        <w:pStyle w:val="TOC1"/>
        <w:tabs>
          <w:tab w:val="right" w:leader="dot" w:pos="9062"/>
        </w:tabs>
        <w:rPr>
          <w:rFonts w:asciiTheme="minorHAnsi" w:hAnsiTheme="minorHAnsi"/>
          <w:noProof/>
          <w:color w:val="auto"/>
          <w:kern w:val="2"/>
          <w:sz w:val="24"/>
          <w:szCs w:val="24"/>
          <w:lang w:val="en-GB" w:eastAsia="en-GB"/>
          <w14:ligatures w14:val="standardContextual"/>
        </w:rPr>
      </w:pPr>
      <w:hyperlink w:anchor="_Toc232355577" w:history="1">
        <w:r w:rsidRPr="006F7CDB">
          <w:rPr>
            <w:rStyle w:val="Hyperlink"/>
            <w:noProof/>
          </w:rPr>
          <w:t>Bibliographie et sitographie</w:t>
        </w:r>
        <w:r>
          <w:rPr>
            <w:noProof/>
            <w:webHidden/>
          </w:rPr>
          <w:tab/>
        </w:r>
        <w:r>
          <w:rPr>
            <w:noProof/>
            <w:webHidden/>
          </w:rPr>
          <w:fldChar w:fldCharType="begin"/>
        </w:r>
        <w:r>
          <w:rPr>
            <w:noProof/>
            <w:webHidden/>
          </w:rPr>
          <w:instrText xml:space="preserve"> PAGEREF _Toc232355577 \h </w:instrText>
        </w:r>
        <w:r>
          <w:rPr>
            <w:noProof/>
            <w:webHidden/>
          </w:rPr>
        </w:r>
        <w:r>
          <w:rPr>
            <w:noProof/>
            <w:webHidden/>
          </w:rPr>
          <w:fldChar w:fldCharType="separate"/>
        </w:r>
        <w:r>
          <w:rPr>
            <w:noProof/>
            <w:webHidden/>
          </w:rPr>
          <w:t>31</w:t>
        </w:r>
        <w:r>
          <w:rPr>
            <w:noProof/>
            <w:webHidden/>
          </w:rPr>
          <w:fldChar w:fldCharType="end"/>
        </w:r>
      </w:hyperlink>
    </w:p>
    <w:p w14:paraId="1D0B062D" w14:textId="654F9B21" w:rsidR="004B7BF3" w:rsidRDefault="004B7BF3">
      <w:pPr>
        <w:pStyle w:val="TOC1"/>
        <w:tabs>
          <w:tab w:val="right" w:leader="dot" w:pos="9062"/>
        </w:tabs>
        <w:rPr>
          <w:rFonts w:asciiTheme="minorHAnsi" w:hAnsiTheme="minorHAnsi"/>
          <w:noProof/>
          <w:color w:val="auto"/>
          <w:kern w:val="2"/>
          <w:sz w:val="24"/>
          <w:szCs w:val="24"/>
          <w:lang w:val="en-GB" w:eastAsia="en-GB"/>
          <w14:ligatures w14:val="standardContextual"/>
        </w:rPr>
      </w:pPr>
      <w:hyperlink w:anchor="_Toc232355578" w:history="1">
        <w:r w:rsidRPr="006F7CDB">
          <w:rPr>
            <w:rStyle w:val="Hyperlink"/>
            <w:noProof/>
          </w:rPr>
          <w:t>Annexes</w:t>
        </w:r>
        <w:r>
          <w:rPr>
            <w:noProof/>
            <w:webHidden/>
          </w:rPr>
          <w:tab/>
        </w:r>
        <w:r>
          <w:rPr>
            <w:noProof/>
            <w:webHidden/>
          </w:rPr>
          <w:fldChar w:fldCharType="begin"/>
        </w:r>
        <w:r>
          <w:rPr>
            <w:noProof/>
            <w:webHidden/>
          </w:rPr>
          <w:instrText xml:space="preserve"> PAGEREF _Toc232355578 \h </w:instrText>
        </w:r>
        <w:r>
          <w:rPr>
            <w:noProof/>
            <w:webHidden/>
          </w:rPr>
        </w:r>
        <w:r>
          <w:rPr>
            <w:noProof/>
            <w:webHidden/>
          </w:rPr>
          <w:fldChar w:fldCharType="separate"/>
        </w:r>
        <w:r>
          <w:rPr>
            <w:noProof/>
            <w:webHidden/>
          </w:rPr>
          <w:t>31</w:t>
        </w:r>
        <w:r>
          <w:rPr>
            <w:noProof/>
            <w:webHidden/>
          </w:rPr>
          <w:fldChar w:fldCharType="end"/>
        </w:r>
      </w:hyperlink>
    </w:p>
    <w:p w14:paraId="4AF8AE95" w14:textId="0FC84E3C"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79" w:history="1">
        <w:r w:rsidRPr="006F7CDB">
          <w:rPr>
            <w:rStyle w:val="Hyperlink"/>
            <w:noProof/>
          </w:rPr>
          <w:t>Annexe A — Tableau récapitulatif des volumes traités (projet phare)</w:t>
        </w:r>
        <w:r>
          <w:rPr>
            <w:noProof/>
            <w:webHidden/>
          </w:rPr>
          <w:tab/>
        </w:r>
        <w:r>
          <w:rPr>
            <w:noProof/>
            <w:webHidden/>
          </w:rPr>
          <w:fldChar w:fldCharType="begin"/>
        </w:r>
        <w:r>
          <w:rPr>
            <w:noProof/>
            <w:webHidden/>
          </w:rPr>
          <w:instrText xml:space="preserve"> PAGEREF _Toc232355579 \h </w:instrText>
        </w:r>
        <w:r>
          <w:rPr>
            <w:noProof/>
            <w:webHidden/>
          </w:rPr>
        </w:r>
        <w:r>
          <w:rPr>
            <w:noProof/>
            <w:webHidden/>
          </w:rPr>
          <w:fldChar w:fldCharType="separate"/>
        </w:r>
        <w:r>
          <w:rPr>
            <w:noProof/>
            <w:webHidden/>
          </w:rPr>
          <w:t>31</w:t>
        </w:r>
        <w:r>
          <w:rPr>
            <w:noProof/>
            <w:webHidden/>
          </w:rPr>
          <w:fldChar w:fldCharType="end"/>
        </w:r>
      </w:hyperlink>
    </w:p>
    <w:p w14:paraId="414E79D9" w14:textId="2497FD65"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80" w:history="1">
        <w:r w:rsidRPr="006F7CDB">
          <w:rPr>
            <w:rStyle w:val="Hyperlink"/>
            <w:noProof/>
          </w:rPr>
          <w:t>Annexe B — Principe d'une politique de sécurité au niveau ligne (illustration)</w:t>
        </w:r>
        <w:r>
          <w:rPr>
            <w:noProof/>
            <w:webHidden/>
          </w:rPr>
          <w:tab/>
        </w:r>
        <w:r>
          <w:rPr>
            <w:noProof/>
            <w:webHidden/>
          </w:rPr>
          <w:fldChar w:fldCharType="begin"/>
        </w:r>
        <w:r>
          <w:rPr>
            <w:noProof/>
            <w:webHidden/>
          </w:rPr>
          <w:instrText xml:space="preserve"> PAGEREF _Toc232355580 \h </w:instrText>
        </w:r>
        <w:r>
          <w:rPr>
            <w:noProof/>
            <w:webHidden/>
          </w:rPr>
        </w:r>
        <w:r>
          <w:rPr>
            <w:noProof/>
            <w:webHidden/>
          </w:rPr>
          <w:fldChar w:fldCharType="separate"/>
        </w:r>
        <w:r>
          <w:rPr>
            <w:noProof/>
            <w:webHidden/>
          </w:rPr>
          <w:t>32</w:t>
        </w:r>
        <w:r>
          <w:rPr>
            <w:noProof/>
            <w:webHidden/>
          </w:rPr>
          <w:fldChar w:fldCharType="end"/>
        </w:r>
      </w:hyperlink>
    </w:p>
    <w:p w14:paraId="7AA54D00" w14:textId="4AE19CFB" w:rsidR="004B7BF3" w:rsidRDefault="004B7BF3">
      <w:pPr>
        <w:pStyle w:val="TOC2"/>
        <w:tabs>
          <w:tab w:val="right" w:leader="dot" w:pos="9062"/>
        </w:tabs>
        <w:rPr>
          <w:rFonts w:asciiTheme="minorHAnsi" w:hAnsiTheme="minorHAnsi"/>
          <w:noProof/>
          <w:color w:val="auto"/>
          <w:kern w:val="2"/>
          <w:sz w:val="24"/>
          <w:szCs w:val="24"/>
          <w:lang w:val="en-GB" w:eastAsia="en-GB"/>
          <w14:ligatures w14:val="standardContextual"/>
        </w:rPr>
      </w:pPr>
      <w:hyperlink w:anchor="_Toc232355581" w:history="1">
        <w:r w:rsidRPr="006F7CDB">
          <w:rPr>
            <w:rStyle w:val="Hyperlink"/>
            <w:noProof/>
          </w:rPr>
          <w:t>Annexe C — Table des figures</w:t>
        </w:r>
        <w:r>
          <w:rPr>
            <w:noProof/>
            <w:webHidden/>
          </w:rPr>
          <w:tab/>
        </w:r>
        <w:r>
          <w:rPr>
            <w:noProof/>
            <w:webHidden/>
          </w:rPr>
          <w:fldChar w:fldCharType="begin"/>
        </w:r>
        <w:r>
          <w:rPr>
            <w:noProof/>
            <w:webHidden/>
          </w:rPr>
          <w:instrText xml:space="preserve"> PAGEREF _Toc232355581 \h </w:instrText>
        </w:r>
        <w:r>
          <w:rPr>
            <w:noProof/>
            <w:webHidden/>
          </w:rPr>
        </w:r>
        <w:r>
          <w:rPr>
            <w:noProof/>
            <w:webHidden/>
          </w:rPr>
          <w:fldChar w:fldCharType="separate"/>
        </w:r>
        <w:r>
          <w:rPr>
            <w:noProof/>
            <w:webHidden/>
          </w:rPr>
          <w:t>32</w:t>
        </w:r>
        <w:r>
          <w:rPr>
            <w:noProof/>
            <w:webHidden/>
          </w:rPr>
          <w:fldChar w:fldCharType="end"/>
        </w:r>
      </w:hyperlink>
    </w:p>
    <w:p w14:paraId="6A349845" w14:textId="3287EAAB" w:rsidR="0086253D" w:rsidRDefault="00E37A94">
      <w:r>
        <w:fldChar w:fldCharType="end"/>
      </w:r>
    </w:p>
    <w:p w14:paraId="7EC28A05" w14:textId="77777777" w:rsidR="0086253D" w:rsidRDefault="00E37A94">
      <w:r>
        <w:br w:type="page"/>
      </w:r>
    </w:p>
    <w:p w14:paraId="0835E4CB" w14:textId="77777777" w:rsidR="0086253D" w:rsidRDefault="00E37A94">
      <w:pPr>
        <w:pStyle w:val="Heading1"/>
        <w:pBdr>
          <w:bottom w:val="single" w:sz="6" w:space="4" w:color="C0122F"/>
        </w:pBdr>
        <w:spacing w:before="360" w:after="120"/>
        <w:jc w:val="left"/>
      </w:pPr>
      <w:bookmarkStart w:id="2" w:name="_Toc232355538"/>
      <w:r>
        <w:rPr>
          <w:rFonts w:ascii="Calibri" w:hAnsi="Calibri"/>
          <w:color w:val="C0122F"/>
          <w:sz w:val="36"/>
        </w:rPr>
        <w:lastRenderedPageBreak/>
        <w:t>Introduction</w:t>
      </w:r>
      <w:bookmarkEnd w:id="2"/>
    </w:p>
    <w:p w14:paraId="169706B5" w14:textId="77777777" w:rsidR="0086253D" w:rsidRDefault="00E37A94">
      <w:r>
        <w:t xml:space="preserve">Ce rapport rend compte de mon stage de fin d'études de B.U.T. Informatique, parcours « Administration des données », réalisé sur quatorze semaines au sein de la société </w:t>
      </w:r>
      <w:r>
        <w:rPr>
          <w:b/>
        </w:rPr>
        <w:t>Airbay Data</w:t>
      </w:r>
      <w:r>
        <w:t>. Il ne s'agit pas d'un journal chronologique des tâches effectuées, mais d'une analyse du travail réalisé : du besoin auquel il répondait, des choix techniques que j'ai opérés, des difficultés rencontrées en production et des résultats obtenus, avec le recul critique attendu à ce niveau de formation.</w:t>
      </w:r>
    </w:p>
    <w:p w14:paraId="3AE901C1" w14:textId="77777777" w:rsidR="0086253D" w:rsidRDefault="00E37A94">
      <w:r>
        <w:rPr>
          <w:b/>
        </w:rPr>
        <w:t>Le contexte.</w:t>
      </w:r>
      <w:r>
        <w:t xml:space="preserve"> Airbay Data conçoit et édite des logiciels de gestion de la relation client (CRM) sur mesure pour des entreprises du secteur de la </w:t>
      </w:r>
      <w:r>
        <w:rPr>
          <w:b/>
        </w:rPr>
        <w:t>rénovation énergétique</w:t>
      </w:r>
      <w:r>
        <w:t xml:space="preserve"> et des </w:t>
      </w:r>
      <w:r>
        <w:rPr>
          <w:b/>
        </w:rPr>
        <w:t>Certificats d'Économie d'Énergie (CEE)</w:t>
      </w:r>
      <w:r>
        <w:t>. Ce domaine est fortement contraint par la donnée : un dossier client agrège des informations administratives, techniques (caractéristiques thermiques d'un bien, calculs d'éligibilité), commerciales et réglementaires, qui doivent rester cohérentes du premier contact jusqu'à la clôture, et circuler sans ressais</w:t>
      </w:r>
      <w:r>
        <w:t xml:space="preserve">ie entre plusieurs acteurs et plusieurs logiciels. L'éditeur maintient à cet effet plusieurs CRM apparentés (notamment </w:t>
      </w:r>
      <w:r>
        <w:rPr>
          <w:b/>
        </w:rPr>
        <w:t>AQI</w:t>
      </w:r>
      <w:r>
        <w:t xml:space="preserve"> et </w:t>
      </w:r>
      <w:r>
        <w:rPr>
          <w:b/>
        </w:rPr>
        <w:t>E3S</w:t>
      </w:r>
      <w:r>
        <w:t>) qui partagent un socle technique commun mais servent des métiers distincts et doivent communiquer entre eux.</w:t>
      </w:r>
    </w:p>
    <w:p w14:paraId="17F52534" w14:textId="77777777" w:rsidR="0086253D" w:rsidRDefault="00E37A94">
      <w:r>
        <w:rPr>
          <w:b/>
        </w:rPr>
        <w:t>La problématique.</w:t>
      </w:r>
      <w:r>
        <w:t xml:space="preserve"> Mon stage s'est concentré sur une question centrale pour un éditeur multi-produits de ce type : </w:t>
      </w:r>
      <w:r>
        <w:rPr>
          <w:b/>
        </w:rPr>
        <w:t>comment migrer, fiabiliser, faire circuler et sécuriser des données métier volumineuses et hétérogènes, sur des bases de production déjà utilisées quotidiennement, sans interrompre le service ni dégrader l'intégrité de l'information ?</w:t>
      </w:r>
      <w:r>
        <w:t xml:space="preserve"> Cette question recouvre la migration d'un historique provenant d'un ancien outil, l'intégration entre deux systèmes vivants, la qualité des données (déduplication, contrôles de coh</w:t>
      </w:r>
      <w:r>
        <w:t>érence) et la sécurité d'accès (cloisonnement multi-acteurs).</w:t>
      </w:r>
    </w:p>
    <w:p w14:paraId="32A0F86F" w14:textId="77777777" w:rsidR="0086253D" w:rsidRDefault="00E37A94">
      <w:r>
        <w:rPr>
          <w:b/>
        </w:rPr>
        <w:t>Ma place dans l'équipe.</w:t>
      </w:r>
      <w:r>
        <w:t xml:space="preserve"> Je n'ai pas construit ces produits depuis une page blanche : le socle applicatif (interface, authentification, écrans) avait été initié par un développeur de l'équipe avant mon arrivée. J'ai été intégré comme </w:t>
      </w:r>
      <w:r>
        <w:rPr>
          <w:b/>
        </w:rPr>
        <w:t>référent du volet données et intégration</w:t>
      </w:r>
      <w:r>
        <w:t xml:space="preserve"> : c'est moi qui ai conçu et exécuté les migrations sur les bases de production, défini les contrats d'échange entre les CRM, durci la sécurité, et opéré ces chantiers sensibles en coordination avec le reste de l'équipe et avec les retours du client. J'ai travai</w:t>
      </w:r>
      <w:r>
        <w:t>llé en grande autonomie sur ce périmètre, en m'appuyant sur un assistant de programmation (Claude Code) comme outil de productivité ; les décisions de modélisation, les arbitrages métier, l'exécution en production et la validation des résultats restent les miennes.</w:t>
      </w:r>
    </w:p>
    <w:p w14:paraId="64678B2C" w14:textId="77777777" w:rsidR="0086253D" w:rsidRDefault="00E37A94">
      <w:r>
        <w:rPr>
          <w:b/>
        </w:rPr>
        <w:t>Annonce du plan.</w:t>
      </w:r>
      <w:r>
        <w:t xml:space="preserve"> Ce rapport s'organise en cinq temps. Le premier présente Airbay Data, son secteur et l'écosystème logiciel dans lequel s'inscrivent mes missions. Le deuxième dresse le panorama des missions qui m'ont été confiées et délimite mon périmètre. Le troisième, qui constitue le cœur de ce rapport, analyse en profondeur le projet phare : la migration et l'intégration des données entre les CRM AQI et E3S. Le quatrième revient sur les missions secondaires, qui illustrent la largeur des compétences mobilisées en admin</w:t>
      </w:r>
      <w:r>
        <w:t>istration des données. Le cinquième porte un regard critique sur l'ensemble — limites, difficultés transverses, apprentissages et perspectives.</w:t>
      </w:r>
    </w:p>
    <w:p w14:paraId="7352F072" w14:textId="77777777" w:rsidR="0086253D" w:rsidRDefault="00E37A94">
      <w:r>
        <w:br w:type="page"/>
      </w:r>
    </w:p>
    <w:p w14:paraId="4FDF40F8" w14:textId="77777777" w:rsidR="0086253D" w:rsidRDefault="00E37A94">
      <w:pPr>
        <w:pStyle w:val="Heading1"/>
        <w:pBdr>
          <w:bottom w:val="single" w:sz="6" w:space="4" w:color="C0122F"/>
        </w:pBdr>
        <w:spacing w:before="360" w:after="120"/>
        <w:jc w:val="left"/>
      </w:pPr>
      <w:bookmarkStart w:id="3" w:name="_Toc232355539"/>
      <w:r>
        <w:rPr>
          <w:rFonts w:ascii="Calibri" w:hAnsi="Calibri"/>
          <w:color w:val="C0122F"/>
          <w:sz w:val="36"/>
        </w:rPr>
        <w:lastRenderedPageBreak/>
        <w:t>1. L'entreprise et son écosystème logiciel</w:t>
      </w:r>
      <w:bookmarkEnd w:id="3"/>
    </w:p>
    <w:p w14:paraId="42CC582A" w14:textId="77777777" w:rsidR="0086253D" w:rsidRDefault="00E37A94">
      <w:pPr>
        <w:pStyle w:val="Heading2"/>
        <w:spacing w:before="280" w:after="120"/>
        <w:jc w:val="left"/>
      </w:pPr>
      <w:bookmarkStart w:id="4" w:name="_Toc232355540"/>
      <w:r>
        <w:rPr>
          <w:rFonts w:ascii="Calibri" w:hAnsi="Calibri"/>
          <w:color w:val="C0122F"/>
          <w:sz w:val="28"/>
        </w:rPr>
        <w:t>1.1 Airbay Data</w:t>
      </w:r>
      <w:bookmarkEnd w:id="4"/>
    </w:p>
    <w:p w14:paraId="345F1694" w14:textId="77777777" w:rsidR="0086253D" w:rsidRDefault="00E37A94">
      <w:r>
        <w:t xml:space="preserve">Airbay Data est une société de </w:t>
      </w:r>
      <w:r>
        <w:rPr>
          <w:b/>
        </w:rPr>
        <w:t>développement logiciel</w:t>
      </w:r>
      <w:r>
        <w:t xml:space="preserve"> qui conçoit des applications de gestion métier pour des clients du secteur de la rénovation énergétique. Son activité ne consiste pas à exploiter elle-même les dossiers de rénovation, mais à </w:t>
      </w:r>
      <w:r>
        <w:rPr>
          <w:b/>
        </w:rPr>
        <w:t>éditer les outils</w:t>
      </w:r>
      <w:r>
        <w:t xml:space="preserve"> qui permettent à ses clients de le faire : des CRM sur mesure, déployés et maintenus en production, et facturés comme des produits suivis dans la durée. Cette position d'éditeur explique deux caractéristiques structurantes pour mon stage : d'une part, plusieurs produits coexisten</w:t>
      </w:r>
      <w:r>
        <w:t xml:space="preserve">t et partagent une base technique commune ; d'autre part, chaque produit est une </w:t>
      </w:r>
      <w:r>
        <w:rPr>
          <w:b/>
        </w:rPr>
        <w:t>base de production vivante</w:t>
      </w:r>
      <w:r>
        <w:t>, utilisée quotidiennement par les équipes du client, ce qui impose une exigence permanente de continuité de service.</w:t>
      </w:r>
    </w:p>
    <w:p w14:paraId="3EF20501" w14:textId="77777777" w:rsidR="0086253D" w:rsidRDefault="00E37A94">
      <w:r>
        <w:t xml:space="preserve">Pour situer l'ordre de grandeur des responsabilités confiées : le CRM principal sur lequel j'ai travaillé, AQI, est utilisé en production par les équipes d'un client opérateur, soit </w:t>
      </w:r>
      <w:r>
        <w:rPr>
          <w:b/>
        </w:rPr>
        <w:t>de l'ordre de deux cents utilisateurs</w:t>
      </w:r>
      <w:r>
        <w:t xml:space="preserve"> répartis sur plusieurs métiers (commerciaux, régies apporteuses d'affaires, planificateurs, inspecteurs de terrain, thermiciens, administration). Toute opération sur les données de ce système avait donc un impact direct et immédiat sur le travail de ces utilisateurs.</w:t>
      </w:r>
    </w:p>
    <w:p w14:paraId="65B6DE03" w14:textId="77777777" w:rsidR="0086253D" w:rsidRDefault="00E37A94">
      <w:pPr>
        <w:pStyle w:val="Heading2"/>
        <w:spacing w:before="280" w:after="120"/>
        <w:jc w:val="left"/>
      </w:pPr>
      <w:bookmarkStart w:id="5" w:name="_Toc232355541"/>
      <w:r>
        <w:rPr>
          <w:rFonts w:ascii="Calibri" w:hAnsi="Calibri"/>
          <w:color w:val="C0122F"/>
          <w:sz w:val="28"/>
        </w:rPr>
        <w:t>1.2 Le secteur métier : rénovation énergétique et CEE</w:t>
      </w:r>
      <w:bookmarkEnd w:id="5"/>
    </w:p>
    <w:p w14:paraId="33701373" w14:textId="77777777" w:rsidR="0086253D" w:rsidRDefault="00E37A94">
      <w:r>
        <w:t xml:space="preserve">Les CRM d'Airbay Data servent le montage de dossiers de </w:t>
      </w:r>
      <w:r>
        <w:rPr>
          <w:b/>
        </w:rPr>
        <w:t>travaux d'économie d'énergie</w:t>
      </w:r>
      <w:r>
        <w:t xml:space="preserve"> financés par le dispositif des </w:t>
      </w:r>
      <w:r>
        <w:rPr>
          <w:b/>
        </w:rPr>
        <w:t>Certificats d'Économie d'Énergie (CEE)</w:t>
      </w:r>
      <w:r>
        <w:t xml:space="preserve">. Ce dispositif réglementaire impose, pour chaque opération (isolation, installation d'une pompe à chaleur, etc.), de constituer un dossier conforme à une </w:t>
      </w:r>
      <w:r>
        <w:rPr>
          <w:b/>
        </w:rPr>
        <w:t>fiche standardisée</w:t>
      </w:r>
      <w:r>
        <w:t xml:space="preserve"> (par exemple BAR-TH-171 pour une pompe à chaleur en logement individuel, BAR-TH-179 pour une PAC collective, ou BAT-TH-139 dans le tertiaire). Chaque fiche définit ses propres critères techniques d'éligibilité et ses pièces justificatives.</w:t>
      </w:r>
    </w:p>
    <w:p w14:paraId="6DA6EE01" w14:textId="77777777" w:rsidR="0086253D" w:rsidRDefault="00E37A94">
      <w:r>
        <w:t>Cette dimension réglementaire a des conséquences directes sur la modélisation des données, qu'il est utile de comprendre pour la suite :</w:t>
      </w:r>
    </w:p>
    <w:p w14:paraId="3805844A" w14:textId="77777777" w:rsidR="0086253D" w:rsidRDefault="00E37A94">
      <w:pPr>
        <w:pStyle w:val="ListBullet"/>
        <w:spacing w:after="40"/>
        <w:ind w:left="340"/>
      </w:pPr>
      <w:r>
        <w:t xml:space="preserve">un dossier porte un </w:t>
      </w:r>
      <w:r>
        <w:rPr>
          <w:b/>
        </w:rPr>
        <w:t>état technique du bien</w:t>
      </w:r>
      <w:r>
        <w:t xml:space="preserve"> très détaillé (type de chauffage, émetteurs, production d'eau chaude, parois, menuiseries, surfaces) qui conditionne l'éligibilité ;</w:t>
      </w:r>
    </w:p>
    <w:p w14:paraId="46B0E253" w14:textId="77777777" w:rsidR="0086253D" w:rsidRDefault="00E37A94">
      <w:pPr>
        <w:pStyle w:val="ListBullet"/>
        <w:spacing w:after="40"/>
        <w:ind w:left="340"/>
      </w:pPr>
      <w:r>
        <w:t xml:space="preserve">un même dossier peut relever de </w:t>
      </w:r>
      <w:r>
        <w:rPr>
          <w:b/>
        </w:rPr>
        <w:t>plusieurs fiches CEE</w:t>
      </w:r>
      <w:r>
        <w:t xml:space="preserve"> simultanément, ce qui interdit de réduire la fiche à un simple champ scalaire ;</w:t>
      </w:r>
    </w:p>
    <w:p w14:paraId="0AE76305" w14:textId="77777777" w:rsidR="0086253D" w:rsidRDefault="00E37A94">
      <w:pPr>
        <w:pStyle w:val="ListBullet"/>
        <w:spacing w:after="40"/>
        <w:ind w:left="340"/>
      </w:pPr>
      <w:r>
        <w:t>le calcul des primes et des volumes d'énergie économisée (exprimés en « cumac ») dépend de paramètres normés (zone climatique, situation de précarité du ménage) ;</w:t>
      </w:r>
    </w:p>
    <w:p w14:paraId="69CE7AA0" w14:textId="77777777" w:rsidR="0086253D" w:rsidRDefault="00E37A94">
      <w:pPr>
        <w:pStyle w:val="ListBullet"/>
        <w:spacing w:after="40"/>
        <w:ind w:left="340"/>
      </w:pPr>
      <w:r>
        <w:t>la chaîne de traitement fait intervenir plusieurs acteurs successifs — apporteur d'affaires, commercial, auditeur thermique, planificateur de pose, administration — dont les droits d'accès aux données diffèrent.</w:t>
      </w:r>
    </w:p>
    <w:p w14:paraId="314334BA" w14:textId="77777777" w:rsidR="0086253D" w:rsidRDefault="00E37A94">
      <w:r>
        <w:t>Le métier impose donc, dès la base de données, un modèle riche et des règles de sécurité fines. C'est précisément ce qui fait de ce stage un terrain pertinent pour le parcours « Administration des données ».</w:t>
      </w:r>
    </w:p>
    <w:p w14:paraId="7A4A8CEC" w14:textId="77777777" w:rsidR="0086253D" w:rsidRDefault="00E37A94">
      <w:r>
        <w:t>La diversité des acteurs qui interviennent sur un même dossier, et la variété de leurs besoins en information, justifient à eux seuls une grande partie de la complexité du modèle et des règles d'accès. Le tableau suivant synthétise ces rôles ; il éclaire par avance les choix de sécurité analysés au chapitre 3, car chaque rôle correspond à un périmètre de données distinct.</w:t>
      </w:r>
    </w:p>
    <w:tbl>
      <w:tblPr>
        <w:tblStyle w:val="TableGrid"/>
        <w:tblW w:w="0" w:type="auto"/>
        <w:tblLook w:val="04A0" w:firstRow="1" w:lastRow="0" w:firstColumn="1" w:lastColumn="0" w:noHBand="0" w:noVBand="1"/>
      </w:tblPr>
      <w:tblGrid>
        <w:gridCol w:w="3024"/>
        <w:gridCol w:w="3024"/>
        <w:gridCol w:w="3024"/>
      </w:tblGrid>
      <w:tr w:rsidR="0086253D" w14:paraId="6087CF05" w14:textId="77777777">
        <w:tc>
          <w:tcPr>
            <w:tcW w:w="3024" w:type="dxa"/>
            <w:shd w:val="clear" w:color="auto" w:fill="C0122F"/>
          </w:tcPr>
          <w:p w14:paraId="190D3345" w14:textId="77777777" w:rsidR="0086253D" w:rsidRDefault="00E37A94">
            <w:r>
              <w:rPr>
                <w:b/>
                <w:color w:val="FFFFFF"/>
                <w:sz w:val="20"/>
              </w:rPr>
              <w:lastRenderedPageBreak/>
              <w:t>Acteur</w:t>
            </w:r>
          </w:p>
        </w:tc>
        <w:tc>
          <w:tcPr>
            <w:tcW w:w="3024" w:type="dxa"/>
            <w:shd w:val="clear" w:color="auto" w:fill="C0122F"/>
          </w:tcPr>
          <w:p w14:paraId="2A74A985" w14:textId="77777777" w:rsidR="0086253D" w:rsidRDefault="00E37A94">
            <w:r>
              <w:rPr>
                <w:b/>
                <w:color w:val="FFFFFF"/>
                <w:sz w:val="20"/>
              </w:rPr>
              <w:t>Mission sur le dossier</w:t>
            </w:r>
          </w:p>
        </w:tc>
        <w:tc>
          <w:tcPr>
            <w:tcW w:w="3024" w:type="dxa"/>
            <w:shd w:val="clear" w:color="auto" w:fill="C0122F"/>
          </w:tcPr>
          <w:p w14:paraId="589829C8" w14:textId="77777777" w:rsidR="0086253D" w:rsidRDefault="00E37A94">
            <w:r>
              <w:rPr>
                <w:b/>
                <w:color w:val="FFFFFF"/>
                <w:sz w:val="20"/>
              </w:rPr>
              <w:t>Périmètre de données</w:t>
            </w:r>
          </w:p>
        </w:tc>
      </w:tr>
      <w:tr w:rsidR="0086253D" w14:paraId="429D6065" w14:textId="77777777">
        <w:tc>
          <w:tcPr>
            <w:tcW w:w="3024" w:type="dxa"/>
          </w:tcPr>
          <w:p w14:paraId="551DEC33" w14:textId="77777777" w:rsidR="0086253D" w:rsidRDefault="00E37A94">
            <w:r>
              <w:rPr>
                <w:sz w:val="20"/>
              </w:rPr>
              <w:t>Régie / apporteur d'affaires</w:t>
            </w:r>
          </w:p>
        </w:tc>
        <w:tc>
          <w:tcPr>
            <w:tcW w:w="3024" w:type="dxa"/>
          </w:tcPr>
          <w:p w14:paraId="77FB4441" w14:textId="77777777" w:rsidR="0086253D" w:rsidRDefault="00E37A94">
            <w:r>
              <w:rPr>
                <w:sz w:val="20"/>
              </w:rPr>
              <w:t>Apporte et qualifie le prospect</w:t>
            </w:r>
          </w:p>
        </w:tc>
        <w:tc>
          <w:tcPr>
            <w:tcW w:w="3024" w:type="dxa"/>
          </w:tcPr>
          <w:p w14:paraId="7D7668BF" w14:textId="77777777" w:rsidR="0086253D" w:rsidRDefault="00E37A94">
            <w:r>
              <w:rPr>
                <w:sz w:val="20"/>
              </w:rPr>
              <w:t>Ses propres dossiers, au sein de sa Business Unit</w:t>
            </w:r>
          </w:p>
        </w:tc>
      </w:tr>
      <w:tr w:rsidR="0086253D" w14:paraId="44DF2EC1" w14:textId="77777777">
        <w:tc>
          <w:tcPr>
            <w:tcW w:w="3024" w:type="dxa"/>
          </w:tcPr>
          <w:p w14:paraId="2A87EA05" w14:textId="77777777" w:rsidR="0086253D" w:rsidRDefault="00E37A94">
            <w:r>
              <w:rPr>
                <w:sz w:val="20"/>
              </w:rPr>
              <w:t>Commercial</w:t>
            </w:r>
          </w:p>
        </w:tc>
        <w:tc>
          <w:tcPr>
            <w:tcW w:w="3024" w:type="dxa"/>
          </w:tcPr>
          <w:p w14:paraId="3B2987CD" w14:textId="77777777" w:rsidR="0086253D" w:rsidRDefault="00E37A94">
            <w:r>
              <w:rPr>
                <w:sz w:val="20"/>
              </w:rPr>
              <w:t>Suit la relation et le devis</w:t>
            </w:r>
          </w:p>
        </w:tc>
        <w:tc>
          <w:tcPr>
            <w:tcW w:w="3024" w:type="dxa"/>
          </w:tcPr>
          <w:p w14:paraId="434B8FF9" w14:textId="77777777" w:rsidR="0086253D" w:rsidRDefault="00E37A94">
            <w:r>
              <w:rPr>
                <w:sz w:val="20"/>
              </w:rPr>
              <w:t>Les dossiers de sa BU</w:t>
            </w:r>
          </w:p>
        </w:tc>
      </w:tr>
      <w:tr w:rsidR="0086253D" w14:paraId="1728D2B9" w14:textId="77777777">
        <w:tc>
          <w:tcPr>
            <w:tcW w:w="3024" w:type="dxa"/>
          </w:tcPr>
          <w:p w14:paraId="41118026" w14:textId="77777777" w:rsidR="0086253D" w:rsidRDefault="00E37A94">
            <w:r>
              <w:rPr>
                <w:sz w:val="20"/>
              </w:rPr>
              <w:t>Planificateur</w:t>
            </w:r>
          </w:p>
        </w:tc>
        <w:tc>
          <w:tcPr>
            <w:tcW w:w="3024" w:type="dxa"/>
          </w:tcPr>
          <w:p w14:paraId="576E0A12" w14:textId="77777777" w:rsidR="0086253D" w:rsidRDefault="00E37A94">
            <w:r>
              <w:rPr>
                <w:sz w:val="20"/>
              </w:rPr>
              <w:t>Organise les visites et les poses</w:t>
            </w:r>
          </w:p>
        </w:tc>
        <w:tc>
          <w:tcPr>
            <w:tcW w:w="3024" w:type="dxa"/>
          </w:tcPr>
          <w:p w14:paraId="33852D55" w14:textId="77777777" w:rsidR="0086253D" w:rsidRDefault="00E37A94">
            <w:r>
              <w:rPr>
                <w:sz w:val="20"/>
              </w:rPr>
              <w:t>Vue transverse, au-delà d'une seule BU</w:t>
            </w:r>
          </w:p>
        </w:tc>
      </w:tr>
      <w:tr w:rsidR="0086253D" w14:paraId="0F0D7832" w14:textId="77777777">
        <w:tc>
          <w:tcPr>
            <w:tcW w:w="3024" w:type="dxa"/>
          </w:tcPr>
          <w:p w14:paraId="1428C991" w14:textId="77777777" w:rsidR="0086253D" w:rsidRDefault="00E37A94">
            <w:r>
              <w:rPr>
                <w:sz w:val="20"/>
              </w:rPr>
              <w:t>Inspecteur / thermicien</w:t>
            </w:r>
          </w:p>
        </w:tc>
        <w:tc>
          <w:tcPr>
            <w:tcW w:w="3024" w:type="dxa"/>
          </w:tcPr>
          <w:p w14:paraId="7BC988A7" w14:textId="77777777" w:rsidR="0086253D" w:rsidRDefault="00E37A94">
            <w:r>
              <w:rPr>
                <w:sz w:val="20"/>
              </w:rPr>
              <w:t>Réalise l'audit technique sur le terrain</w:t>
            </w:r>
          </w:p>
        </w:tc>
        <w:tc>
          <w:tcPr>
            <w:tcW w:w="3024" w:type="dxa"/>
          </w:tcPr>
          <w:p w14:paraId="7D8C6BB8" w14:textId="77777777" w:rsidR="0086253D" w:rsidRDefault="00E37A94">
            <w:r>
              <w:rPr>
                <w:sz w:val="20"/>
              </w:rPr>
              <w:t>Les dossiers qui lui sont assignés</w:t>
            </w:r>
          </w:p>
        </w:tc>
      </w:tr>
      <w:tr w:rsidR="0086253D" w14:paraId="5D828AF4" w14:textId="77777777">
        <w:tc>
          <w:tcPr>
            <w:tcW w:w="3024" w:type="dxa"/>
          </w:tcPr>
          <w:p w14:paraId="12C8BD81" w14:textId="77777777" w:rsidR="0086253D" w:rsidRDefault="00E37A94">
            <w:r>
              <w:rPr>
                <w:sz w:val="20"/>
              </w:rPr>
              <w:t>Administration</w:t>
            </w:r>
          </w:p>
        </w:tc>
        <w:tc>
          <w:tcPr>
            <w:tcW w:w="3024" w:type="dxa"/>
          </w:tcPr>
          <w:p w14:paraId="3A1ABF34" w14:textId="77777777" w:rsidR="0086253D" w:rsidRDefault="00E37A94">
            <w:r>
              <w:rPr>
                <w:sz w:val="20"/>
              </w:rPr>
              <w:t>Supervise, corrige, gère les comptes</w:t>
            </w:r>
          </w:p>
        </w:tc>
        <w:tc>
          <w:tcPr>
            <w:tcW w:w="3024" w:type="dxa"/>
          </w:tcPr>
          <w:p w14:paraId="2F25F05A" w14:textId="77777777" w:rsidR="0086253D" w:rsidRDefault="00E37A94">
            <w:r>
              <w:rPr>
                <w:sz w:val="20"/>
              </w:rPr>
              <w:t>Accès transverse à l'ensemble</w:t>
            </w:r>
          </w:p>
        </w:tc>
      </w:tr>
    </w:tbl>
    <w:p w14:paraId="74199FCF" w14:textId="77777777" w:rsidR="0086253D" w:rsidRDefault="0086253D">
      <w:pPr>
        <w:spacing w:after="40"/>
      </w:pPr>
    </w:p>
    <w:p w14:paraId="1614BAFE" w14:textId="77777777" w:rsidR="0086253D" w:rsidRDefault="00E37A94">
      <w:r>
        <w:t>On voit immédiatement que la règle « chacun ne voit que les dossiers de sa BU » ne suffit pas : certains rôles doivent légitimement déborder ce cloisonnement. Cette tension entre cloisonnement par défaut et dérogations métier est exactement ce que la sécurité au niveau de la base devra exprimer (section 3.7).</w:t>
      </w:r>
    </w:p>
    <w:p w14:paraId="3456603D" w14:textId="77777777" w:rsidR="0086253D" w:rsidRDefault="00E37A94">
      <w:pPr>
        <w:pStyle w:val="Heading2"/>
        <w:spacing w:before="280" w:after="120"/>
        <w:jc w:val="left"/>
      </w:pPr>
      <w:bookmarkStart w:id="6" w:name="_Toc232355542"/>
      <w:r>
        <w:rPr>
          <w:rFonts w:ascii="Calibri" w:hAnsi="Calibri"/>
          <w:color w:val="C0122F"/>
          <w:sz w:val="28"/>
        </w:rPr>
        <w:t>1.3 Un écosystème de CRM partageant un socle commun</w:t>
      </w:r>
      <w:bookmarkEnd w:id="6"/>
    </w:p>
    <w:p w14:paraId="70B6E650" w14:textId="77777777" w:rsidR="0086253D" w:rsidRDefault="00E37A94">
      <w:r>
        <w:t xml:space="preserve">Plutôt qu'un produit unique, Airbay Data maintient une </w:t>
      </w:r>
      <w:r>
        <w:rPr>
          <w:b/>
        </w:rPr>
        <w:t>famille de CRM</w:t>
      </w:r>
      <w:r>
        <w:t xml:space="preserve"> que j'ai été amené à connaître à des degrés divers. Cette galaxie est résumée ci-dessous ; elle constitue le décor de l'ensemble de mes missions.</w:t>
      </w:r>
    </w:p>
    <w:tbl>
      <w:tblPr>
        <w:tblStyle w:val="TableGrid"/>
        <w:tblW w:w="0" w:type="auto"/>
        <w:tblLook w:val="04A0" w:firstRow="1" w:lastRow="0" w:firstColumn="1" w:lastColumn="0" w:noHBand="0" w:noVBand="1"/>
      </w:tblPr>
      <w:tblGrid>
        <w:gridCol w:w="3024"/>
        <w:gridCol w:w="3024"/>
        <w:gridCol w:w="3024"/>
      </w:tblGrid>
      <w:tr w:rsidR="0086253D" w14:paraId="46F5588C" w14:textId="77777777">
        <w:tc>
          <w:tcPr>
            <w:tcW w:w="3024" w:type="dxa"/>
            <w:shd w:val="clear" w:color="auto" w:fill="C0122F"/>
          </w:tcPr>
          <w:p w14:paraId="33AE8951" w14:textId="77777777" w:rsidR="0086253D" w:rsidRDefault="00E37A94">
            <w:r>
              <w:rPr>
                <w:b/>
                <w:color w:val="FFFFFF"/>
                <w:sz w:val="20"/>
              </w:rPr>
              <w:t>CRM</w:t>
            </w:r>
          </w:p>
        </w:tc>
        <w:tc>
          <w:tcPr>
            <w:tcW w:w="3024" w:type="dxa"/>
            <w:shd w:val="clear" w:color="auto" w:fill="C0122F"/>
          </w:tcPr>
          <w:p w14:paraId="49D6C4D0" w14:textId="77777777" w:rsidR="0086253D" w:rsidRDefault="00E37A94">
            <w:r>
              <w:rPr>
                <w:b/>
                <w:color w:val="FFFFFF"/>
                <w:sz w:val="20"/>
              </w:rPr>
              <w:t>Métier couvert</w:t>
            </w:r>
          </w:p>
        </w:tc>
        <w:tc>
          <w:tcPr>
            <w:tcW w:w="3024" w:type="dxa"/>
            <w:shd w:val="clear" w:color="auto" w:fill="C0122F"/>
          </w:tcPr>
          <w:p w14:paraId="4F4937FA" w14:textId="77777777" w:rsidR="0086253D" w:rsidRDefault="00E37A94">
            <w:r>
              <w:rPr>
                <w:b/>
                <w:color w:val="FFFFFF"/>
                <w:sz w:val="20"/>
              </w:rPr>
              <w:t>Rôle dans la chaîne</w:t>
            </w:r>
          </w:p>
        </w:tc>
      </w:tr>
      <w:tr w:rsidR="0086253D" w14:paraId="55B8C623" w14:textId="77777777">
        <w:tc>
          <w:tcPr>
            <w:tcW w:w="3024" w:type="dxa"/>
          </w:tcPr>
          <w:p w14:paraId="4D52CDD2" w14:textId="77777777" w:rsidR="0086253D" w:rsidRDefault="00E37A94">
            <w:r>
              <w:rPr>
                <w:b/>
                <w:sz w:val="20"/>
              </w:rPr>
              <w:t>AQI</w:t>
            </w:r>
          </w:p>
        </w:tc>
        <w:tc>
          <w:tcPr>
            <w:tcW w:w="3024" w:type="dxa"/>
          </w:tcPr>
          <w:p w14:paraId="7CAEDEC2" w14:textId="77777777" w:rsidR="0086253D" w:rsidRDefault="00E37A94">
            <w:r>
              <w:rPr>
                <w:sz w:val="20"/>
              </w:rPr>
              <w:t>Audit énergétique et suivi des dossiers de travaux</w:t>
            </w:r>
          </w:p>
        </w:tc>
        <w:tc>
          <w:tcPr>
            <w:tcW w:w="3024" w:type="dxa"/>
          </w:tcPr>
          <w:p w14:paraId="5BA4A0C6" w14:textId="77777777" w:rsidR="0086253D" w:rsidRDefault="00E37A94">
            <w:r>
              <w:rPr>
                <w:sz w:val="20"/>
              </w:rPr>
              <w:t>Cœur de mon stage ; gère le cycle de vie complet du dossier</w:t>
            </w:r>
          </w:p>
        </w:tc>
      </w:tr>
      <w:tr w:rsidR="0086253D" w14:paraId="295156F0" w14:textId="77777777">
        <w:tc>
          <w:tcPr>
            <w:tcW w:w="3024" w:type="dxa"/>
          </w:tcPr>
          <w:p w14:paraId="2C96105F" w14:textId="77777777" w:rsidR="0086253D" w:rsidRDefault="00E37A94">
            <w:r>
              <w:rPr>
                <w:b/>
                <w:sz w:val="20"/>
              </w:rPr>
              <w:t>E3S</w:t>
            </w:r>
          </w:p>
        </w:tc>
        <w:tc>
          <w:tcPr>
            <w:tcW w:w="3024" w:type="dxa"/>
          </w:tcPr>
          <w:p w14:paraId="13FED652" w14:textId="77777777" w:rsidR="0086253D" w:rsidRDefault="00E37A94">
            <w:r>
              <w:rPr>
                <w:sz w:val="20"/>
              </w:rPr>
              <w:t>CRM commercial d'une marque sœur</w:t>
            </w:r>
          </w:p>
        </w:tc>
        <w:tc>
          <w:tcPr>
            <w:tcW w:w="3024" w:type="dxa"/>
          </w:tcPr>
          <w:p w14:paraId="3270B80B" w14:textId="77777777" w:rsidR="0086253D" w:rsidRDefault="00E37A94">
            <w:r>
              <w:rPr>
                <w:sz w:val="20"/>
              </w:rPr>
              <w:t>Échange des dossiers avec AQI (envoi en audit, retour de résultat)</w:t>
            </w:r>
          </w:p>
        </w:tc>
      </w:tr>
      <w:tr w:rsidR="0086253D" w14:paraId="3C4A05FB" w14:textId="77777777">
        <w:tc>
          <w:tcPr>
            <w:tcW w:w="3024" w:type="dxa"/>
          </w:tcPr>
          <w:p w14:paraId="3080FFF8" w14:textId="77777777" w:rsidR="0086253D" w:rsidRDefault="00E37A94">
            <w:r>
              <w:rPr>
                <w:b/>
                <w:sz w:val="20"/>
              </w:rPr>
              <w:t>RDE</w:t>
            </w:r>
          </w:p>
        </w:tc>
        <w:tc>
          <w:tcPr>
            <w:tcW w:w="3024" w:type="dxa"/>
          </w:tcPr>
          <w:p w14:paraId="5FE88B35" w14:textId="77777777" w:rsidR="0086253D" w:rsidRDefault="00E37A94">
            <w:r>
              <w:rPr>
                <w:sz w:val="20"/>
              </w:rPr>
              <w:t>CRM commercial généraliste (bâtiment / énergie)</w:t>
            </w:r>
          </w:p>
        </w:tc>
        <w:tc>
          <w:tcPr>
            <w:tcW w:w="3024" w:type="dxa"/>
          </w:tcPr>
          <w:p w14:paraId="77316058" w14:textId="77777777" w:rsidR="0086253D" w:rsidRDefault="00E37A94">
            <w:r>
              <w:rPr>
                <w:sz w:val="20"/>
              </w:rPr>
              <w:t>Pipeline commercial complet : devis, factures, éligibilité</w:t>
            </w:r>
          </w:p>
        </w:tc>
      </w:tr>
      <w:tr w:rsidR="0086253D" w14:paraId="5EACDC61" w14:textId="77777777">
        <w:tc>
          <w:tcPr>
            <w:tcW w:w="3024" w:type="dxa"/>
          </w:tcPr>
          <w:p w14:paraId="7ED44B51" w14:textId="77777777" w:rsidR="0086253D" w:rsidRDefault="00E37A94">
            <w:r>
              <w:rPr>
                <w:b/>
                <w:sz w:val="20"/>
              </w:rPr>
              <w:t>Régie</w:t>
            </w:r>
          </w:p>
        </w:tc>
        <w:tc>
          <w:tcPr>
            <w:tcW w:w="3024" w:type="dxa"/>
          </w:tcPr>
          <w:p w14:paraId="315A5A2A" w14:textId="77777777" w:rsidR="0086253D" w:rsidRDefault="00E37A94">
            <w:r>
              <w:rPr>
                <w:sz w:val="20"/>
              </w:rPr>
              <w:t>Prospection et enrichissement de données foncières</w:t>
            </w:r>
          </w:p>
        </w:tc>
        <w:tc>
          <w:tcPr>
            <w:tcW w:w="3024" w:type="dxa"/>
          </w:tcPr>
          <w:p w14:paraId="7241BAEC" w14:textId="77777777" w:rsidR="0086253D" w:rsidRDefault="00E37A94">
            <w:r>
              <w:rPr>
                <w:sz w:val="20"/>
              </w:rPr>
              <w:t>Amont du tunnel : qualifie des prospects et les pousse vers E3S</w:t>
            </w:r>
          </w:p>
        </w:tc>
      </w:tr>
      <w:tr w:rsidR="0086253D" w14:paraId="3AAACEBC" w14:textId="77777777">
        <w:tc>
          <w:tcPr>
            <w:tcW w:w="3024" w:type="dxa"/>
          </w:tcPr>
          <w:p w14:paraId="288F5DC4" w14:textId="77777777" w:rsidR="0086253D" w:rsidRDefault="00E37A94">
            <w:r>
              <w:rPr>
                <w:b/>
                <w:sz w:val="20"/>
              </w:rPr>
              <w:t>ES-CRM</w:t>
            </w:r>
          </w:p>
        </w:tc>
        <w:tc>
          <w:tcPr>
            <w:tcW w:w="3024" w:type="dxa"/>
          </w:tcPr>
          <w:p w14:paraId="1F0CEA98" w14:textId="77777777" w:rsidR="0086253D" w:rsidRDefault="00E37A94">
            <w:r>
              <w:rPr>
                <w:sz w:val="20"/>
              </w:rPr>
              <w:t>Montage de dossiers CEE pour un opérateur étranger</w:t>
            </w:r>
          </w:p>
        </w:tc>
        <w:tc>
          <w:tcPr>
            <w:tcW w:w="3024" w:type="dxa"/>
          </w:tcPr>
          <w:p w14:paraId="4D907A25" w14:textId="77777777" w:rsidR="0086253D" w:rsidRDefault="00E37A94">
            <w:r>
              <w:rPr>
                <w:sz w:val="20"/>
              </w:rPr>
              <w:t>Pipeline d'extraction documentaire et de génération de pièces</w:t>
            </w:r>
          </w:p>
        </w:tc>
      </w:tr>
    </w:tbl>
    <w:p w14:paraId="45C9CE59" w14:textId="77777777" w:rsidR="0086253D" w:rsidRDefault="0086253D">
      <w:pPr>
        <w:spacing w:after="40"/>
      </w:pPr>
    </w:p>
    <w:p w14:paraId="69FE142E" w14:textId="77777777" w:rsidR="0086253D" w:rsidRDefault="00E37A94">
      <w:r>
        <w:t xml:space="preserve">Ces produits partagent une </w:t>
      </w:r>
      <w:r>
        <w:rPr>
          <w:b/>
        </w:rPr>
        <w:t>pile technique commune</w:t>
      </w:r>
      <w:r>
        <w:t>, que je décris une fois ici pour ne pas y revenir à chaque projet :</w:t>
      </w:r>
    </w:p>
    <w:p w14:paraId="53591F79" w14:textId="77777777" w:rsidR="0086253D" w:rsidRDefault="00E37A94">
      <w:pPr>
        <w:pStyle w:val="ListBullet"/>
        <w:spacing w:after="40"/>
        <w:ind w:left="340"/>
      </w:pPr>
      <w:r>
        <w:rPr>
          <w:b/>
        </w:rPr>
        <w:t>Front-end</w:t>
      </w:r>
      <w:r>
        <w:t xml:space="preserve"> : application web monopage en </w:t>
      </w:r>
      <w:r>
        <w:rPr>
          <w:b/>
        </w:rPr>
        <w:t>React 19</w:t>
      </w:r>
      <w:r>
        <w:t xml:space="preserve"> + </w:t>
      </w:r>
      <w:r>
        <w:rPr>
          <w:b/>
        </w:rPr>
        <w:t>TypeScript</w:t>
      </w:r>
      <w:r>
        <w:t xml:space="preserve">, outillée par </w:t>
      </w:r>
      <w:r>
        <w:rPr>
          <w:b/>
        </w:rPr>
        <w:t>Vite</w:t>
      </w:r>
      <w:r>
        <w:t xml:space="preserve">, avec </w:t>
      </w:r>
      <w:r>
        <w:rPr>
          <w:b/>
        </w:rPr>
        <w:t>TanStack Query</w:t>
      </w:r>
      <w:r>
        <w:t xml:space="preserve"> pour la gestion du cache et de la synchronisation des données serveur, </w:t>
      </w:r>
      <w:r>
        <w:rPr>
          <w:b/>
        </w:rPr>
        <w:t>react-hook-form</w:t>
      </w:r>
      <w:r>
        <w:t xml:space="preserve"> et </w:t>
      </w:r>
      <w:r>
        <w:rPr>
          <w:b/>
        </w:rPr>
        <w:t>Zod</w:t>
      </w:r>
      <w:r>
        <w:t xml:space="preserve"> pour la validation des formulaires, </w:t>
      </w:r>
      <w:r>
        <w:rPr>
          <w:b/>
        </w:rPr>
        <w:t>Tailwind CSS</w:t>
      </w:r>
      <w:r>
        <w:t xml:space="preserve"> pour le style, </w:t>
      </w:r>
      <w:r>
        <w:rPr>
          <w:b/>
        </w:rPr>
        <w:t>Mapbox GL</w:t>
      </w:r>
      <w:r>
        <w:t xml:space="preserve"> pour la cartographie et </w:t>
      </w:r>
      <w:r>
        <w:rPr>
          <w:b/>
        </w:rPr>
        <w:t>Recharts</w:t>
      </w:r>
      <w:r>
        <w:t xml:space="preserve"> pour les tableaux de bord ;</w:t>
      </w:r>
    </w:p>
    <w:p w14:paraId="1D193AFA" w14:textId="77777777" w:rsidR="0086253D" w:rsidRDefault="00E37A94">
      <w:pPr>
        <w:pStyle w:val="ListBullet"/>
        <w:spacing w:after="40"/>
        <w:ind w:left="340"/>
      </w:pPr>
      <w:r>
        <w:rPr>
          <w:b/>
        </w:rPr>
        <w:lastRenderedPageBreak/>
        <w:t>Back-end</w:t>
      </w:r>
      <w:r>
        <w:t xml:space="preserve"> : la plateforme </w:t>
      </w:r>
      <w:r>
        <w:rPr>
          <w:b/>
        </w:rPr>
        <w:t>Supabase</w:t>
      </w:r>
      <w:r>
        <w:t xml:space="preserve">, qui fournit une base </w:t>
      </w:r>
      <w:r>
        <w:rPr>
          <w:b/>
        </w:rPr>
        <w:t>PostgreSQL</w:t>
      </w:r>
      <w:r>
        <w:t xml:space="preserve">, l'authentification, le stockage de fichiers et des fonctions serveur </w:t>
      </w:r>
      <w:r>
        <w:rPr>
          <w:b/>
        </w:rPr>
        <w:t>Edge Functions</w:t>
      </w:r>
      <w:r>
        <w:t xml:space="preserve"> (exécutées sous Deno). La sécurité repose nativement sur la </w:t>
      </w:r>
      <w:r>
        <w:rPr>
          <w:b/>
        </w:rPr>
        <w:t>Row-Level Security (RLS)</w:t>
      </w:r>
      <w:r>
        <w:t xml:space="preserve"> de PostgreSQL ;</w:t>
      </w:r>
    </w:p>
    <w:p w14:paraId="6BF85060" w14:textId="77777777" w:rsidR="0086253D" w:rsidRDefault="00E37A94">
      <w:pPr>
        <w:pStyle w:val="ListBullet"/>
        <w:spacing w:after="40"/>
        <w:ind w:left="340"/>
      </w:pPr>
      <w:r>
        <w:rPr>
          <w:b/>
        </w:rPr>
        <w:t>Hébergement et déploiement</w:t>
      </w:r>
      <w:r>
        <w:t xml:space="preserve"> : le front est déployé sur </w:t>
      </w:r>
      <w:r>
        <w:rPr>
          <w:b/>
        </w:rPr>
        <w:t>Railway</w:t>
      </w:r>
      <w:r>
        <w:t xml:space="preserve"> par intégration continue depuis Git ; les changements de base de données sont appliqués sous forme de </w:t>
      </w:r>
      <w:r>
        <w:rPr>
          <w:b/>
        </w:rPr>
        <w:t>migrations SQL</w:t>
      </w:r>
      <w:r>
        <w:t>.</w:t>
      </w:r>
    </w:p>
    <w:p w14:paraId="30305EA0" w14:textId="77777777" w:rsidR="0086253D" w:rsidRDefault="00E37A94">
      <w:pPr>
        <w:pBdr>
          <w:left w:val="single" w:sz="18" w:space="8" w:color="C0122F"/>
        </w:pBdr>
        <w:spacing w:before="120"/>
        <w:ind w:left="227"/>
      </w:pPr>
      <w:r>
        <w:rPr>
          <w:i/>
        </w:rPr>
        <w:t xml:space="preserve">À retenir. Ce socle commun explique un fait important pour la lecture de ce rapport : passer d'un CRM à l'autre, ce n'est pas repartir de zéro, mais réutiliser et adapter une même architecture. La valeur d'une mission se mesure alors moins à la quantité de code écrit qu'à la </w:t>
      </w:r>
      <w:r>
        <w:rPr>
          <w:b/>
          <w:i/>
        </w:rPr>
        <w:t>maîtrise des données</w:t>
      </w:r>
      <w:r>
        <w:rPr>
          <w:i/>
        </w:rPr>
        <w:t xml:space="preserve"> manipulées et à la </w:t>
      </w:r>
      <w:r>
        <w:rPr>
          <w:b/>
          <w:i/>
        </w:rPr>
        <w:t>sûreté des opérations</w:t>
      </w:r>
      <w:r>
        <w:rPr>
          <w:i/>
        </w:rPr>
        <w:t xml:space="preserve"> menées en production.</w:t>
      </w:r>
    </w:p>
    <w:p w14:paraId="4AAADB65" w14:textId="77777777" w:rsidR="0086253D" w:rsidRDefault="00E37A94">
      <w:pPr>
        <w:pStyle w:val="Heading2"/>
        <w:spacing w:before="280" w:after="120"/>
        <w:jc w:val="left"/>
      </w:pPr>
      <w:bookmarkStart w:id="7" w:name="_Toc232355543"/>
      <w:r>
        <w:rPr>
          <w:rFonts w:ascii="Calibri" w:hAnsi="Calibri"/>
          <w:color w:val="C0122F"/>
          <w:sz w:val="28"/>
        </w:rPr>
        <w:t>1.4 Mon positionnement et ma méthode de travail</w:t>
      </w:r>
      <w:bookmarkEnd w:id="7"/>
    </w:p>
    <w:p w14:paraId="17AF7F2C" w14:textId="77777777" w:rsidR="0086253D" w:rsidRDefault="00E37A94">
      <w:r>
        <w:t xml:space="preserve">Au sein de cette équipe, mon rôle s'est défini autour de la </w:t>
      </w:r>
      <w:r>
        <w:rPr>
          <w:b/>
        </w:rPr>
        <w:t>donnée</w:t>
      </w:r>
      <w:r>
        <w:t xml:space="preserve"> : modélisation, migration, intégration entre systèmes, qualité et sécurité. Trois principes ont guidé ma méthode tout au long du stage, et je les énonce ici car ils reviennent en filigrane dans chaque chapitre.</w:t>
      </w:r>
    </w:p>
    <w:p w14:paraId="42AE676B" w14:textId="77777777" w:rsidR="0086253D" w:rsidRDefault="00E37A94">
      <w:r>
        <w:rPr>
          <w:b/>
        </w:rPr>
        <w:t>Le travail sur des bases vivantes impose la prudence.</w:t>
      </w:r>
      <w:r>
        <w:t xml:space="preserve"> Chaque CRM était utilisé en production. Je n'ai jamais appliqué une migration de schéma ou un traitement de masse sans </w:t>
      </w:r>
      <w:r>
        <w:rPr>
          <w:b/>
        </w:rPr>
        <w:t>sauvegarde préalable</w:t>
      </w:r>
      <w:r>
        <w:t xml:space="preserve"> et sans une stratégie en plusieurs temps : d'abord additive (ajouter sans casser l'existant), puis en double écriture lorsque c'était nécessaire, et seulement ensuite la suppression de l'ancien dispositif, une fois la cohabitation validée.</w:t>
      </w:r>
    </w:p>
    <w:p w14:paraId="37C242B2" w14:textId="77777777" w:rsidR="0086253D" w:rsidRDefault="00E37A94">
      <w:r>
        <w:rPr>
          <w:b/>
        </w:rPr>
        <w:t>L'exécution restait un acte manuel et contrôlé.</w:t>
      </w:r>
      <w:r>
        <w:t xml:space="preserve"> Les migrations SQL étaient jouées une par une dans l'éditeur de la base de production, après relecture. Ce choix, volontairement artisanal, force la vigilance et évite les surprises sur une base partagée — au prix d'une industrialisation incomplète sur laquelle je reviendrai dans l'analyse critique.</w:t>
      </w:r>
    </w:p>
    <w:p w14:paraId="328583CD" w14:textId="77777777" w:rsidR="0086253D" w:rsidRDefault="00E37A94">
      <w:r>
        <w:rPr>
          <w:b/>
        </w:rPr>
        <w:t>Toute opération devait être vérifiable.</w:t>
      </w:r>
      <w:r>
        <w:t xml:space="preserve"> Une donnée migrée ou synchronisée n'a de valeur que si l'on peut prouver son intégrité. J'ai donc systématiquement accompagné les traitements de contrôles : comptages, requêtes de cohérence, et surtout des contrôles « miroir » bilatéraux lorsque deux systèmes devaient refléter la même réalité.</w:t>
      </w:r>
    </w:p>
    <w:p w14:paraId="471E20D8" w14:textId="77777777" w:rsidR="0086253D" w:rsidRDefault="00E37A94">
      <w:r>
        <w:br w:type="page"/>
      </w:r>
    </w:p>
    <w:p w14:paraId="69DEE259" w14:textId="77777777" w:rsidR="0086253D" w:rsidRDefault="00E37A94">
      <w:pPr>
        <w:pStyle w:val="Heading1"/>
        <w:pBdr>
          <w:bottom w:val="single" w:sz="6" w:space="4" w:color="C0122F"/>
        </w:pBdr>
        <w:spacing w:before="360" w:after="120"/>
        <w:jc w:val="left"/>
      </w:pPr>
      <w:bookmarkStart w:id="8" w:name="_Toc232355544"/>
      <w:r>
        <w:rPr>
          <w:rFonts w:ascii="Calibri" w:hAnsi="Calibri"/>
          <w:color w:val="C0122F"/>
          <w:sz w:val="36"/>
        </w:rPr>
        <w:lastRenderedPageBreak/>
        <w:t>2. Présentation des missions</w:t>
      </w:r>
      <w:bookmarkEnd w:id="8"/>
    </w:p>
    <w:p w14:paraId="269E4F0B" w14:textId="77777777" w:rsidR="0086253D" w:rsidRDefault="00E37A94">
      <w:pPr>
        <w:pStyle w:val="Heading2"/>
        <w:spacing w:before="280" w:after="120"/>
        <w:jc w:val="left"/>
      </w:pPr>
      <w:bookmarkStart w:id="9" w:name="_Toc232355545"/>
      <w:r>
        <w:rPr>
          <w:rFonts w:ascii="Calibri" w:hAnsi="Calibri"/>
          <w:color w:val="C0122F"/>
          <w:sz w:val="28"/>
        </w:rPr>
        <w:t>2.1 Une montée en charge progressive sur trois mois</w:t>
      </w:r>
      <w:bookmarkEnd w:id="9"/>
    </w:p>
    <w:p w14:paraId="224B2341" w14:textId="77777777" w:rsidR="0086253D" w:rsidRDefault="00E37A94">
      <w:r>
        <w:t>Les missions qui m'ont été confiées ont suivi une progression : de contributions ciblées sur des projets existants, vers la prise en charge complète d'un chantier de données critique. Le tableau suivant en donne la chronologie réelle ; il sert de fil conducteur, mais la suite du rapport est organisée par thèmes et non par dates, conformément à la nature analytique attendue.</w:t>
      </w:r>
    </w:p>
    <w:tbl>
      <w:tblPr>
        <w:tblStyle w:val="TableGrid"/>
        <w:tblW w:w="0" w:type="auto"/>
        <w:tblLook w:val="04A0" w:firstRow="1" w:lastRow="0" w:firstColumn="1" w:lastColumn="0" w:noHBand="0" w:noVBand="1"/>
      </w:tblPr>
      <w:tblGrid>
        <w:gridCol w:w="3024"/>
        <w:gridCol w:w="3024"/>
        <w:gridCol w:w="3024"/>
      </w:tblGrid>
      <w:tr w:rsidR="0086253D" w14:paraId="543DECA8" w14:textId="77777777">
        <w:tc>
          <w:tcPr>
            <w:tcW w:w="3024" w:type="dxa"/>
            <w:shd w:val="clear" w:color="auto" w:fill="C0122F"/>
          </w:tcPr>
          <w:p w14:paraId="37942851" w14:textId="77777777" w:rsidR="0086253D" w:rsidRDefault="00E37A94">
            <w:r>
              <w:rPr>
                <w:b/>
                <w:color w:val="FFFFFF"/>
                <w:sz w:val="20"/>
              </w:rPr>
              <w:t>Période</w:t>
            </w:r>
          </w:p>
        </w:tc>
        <w:tc>
          <w:tcPr>
            <w:tcW w:w="3024" w:type="dxa"/>
            <w:shd w:val="clear" w:color="auto" w:fill="C0122F"/>
          </w:tcPr>
          <w:p w14:paraId="49DB6BA4" w14:textId="77777777" w:rsidR="0086253D" w:rsidRDefault="00E37A94">
            <w:r>
              <w:rPr>
                <w:b/>
                <w:color w:val="FFFFFF"/>
                <w:sz w:val="20"/>
              </w:rPr>
              <w:t>Mission</w:t>
            </w:r>
          </w:p>
        </w:tc>
        <w:tc>
          <w:tcPr>
            <w:tcW w:w="3024" w:type="dxa"/>
            <w:shd w:val="clear" w:color="auto" w:fill="C0122F"/>
          </w:tcPr>
          <w:p w14:paraId="01BD3F9C" w14:textId="77777777" w:rsidR="0086253D" w:rsidRDefault="00E37A94">
            <w:r>
              <w:rPr>
                <w:b/>
                <w:color w:val="FFFFFF"/>
                <w:sz w:val="20"/>
              </w:rPr>
              <w:t>Nature de ma contribution</w:t>
            </w:r>
          </w:p>
        </w:tc>
      </w:tr>
      <w:tr w:rsidR="0086253D" w14:paraId="7B96937E" w14:textId="77777777">
        <w:tc>
          <w:tcPr>
            <w:tcW w:w="3024" w:type="dxa"/>
          </w:tcPr>
          <w:p w14:paraId="66ACD095" w14:textId="77777777" w:rsidR="0086253D" w:rsidRDefault="00E37A94">
            <w:r>
              <w:rPr>
                <w:sz w:val="20"/>
              </w:rPr>
              <w:t>Début mars</w:t>
            </w:r>
          </w:p>
        </w:tc>
        <w:tc>
          <w:tcPr>
            <w:tcW w:w="3024" w:type="dxa"/>
          </w:tcPr>
          <w:p w14:paraId="0ECAD606" w14:textId="77777777" w:rsidR="0086253D" w:rsidRDefault="00E37A94">
            <w:r>
              <w:rPr>
                <w:b/>
                <w:sz w:val="20"/>
              </w:rPr>
              <w:t>alumnai</w:t>
            </w:r>
            <w:r>
              <w:rPr>
                <w:sz w:val="20"/>
              </w:rPr>
              <w:t xml:space="preserve"> — moteur de recherche sémantique de profils</w:t>
            </w:r>
          </w:p>
        </w:tc>
        <w:tc>
          <w:tcPr>
            <w:tcW w:w="3024" w:type="dxa"/>
          </w:tcPr>
          <w:p w14:paraId="16815B41" w14:textId="77777777" w:rsidR="0086253D" w:rsidRDefault="00E37A94">
            <w:r>
              <w:rPr>
                <w:sz w:val="20"/>
              </w:rPr>
              <w:t>Intégration de la couche de stockage et exploration de la qualité des données</w:t>
            </w:r>
          </w:p>
        </w:tc>
      </w:tr>
      <w:tr w:rsidR="0086253D" w14:paraId="6D1C70EF" w14:textId="77777777">
        <w:tc>
          <w:tcPr>
            <w:tcW w:w="3024" w:type="dxa"/>
          </w:tcPr>
          <w:p w14:paraId="5AA54288" w14:textId="77777777" w:rsidR="0086253D" w:rsidRDefault="00E37A94">
            <w:r>
              <w:rPr>
                <w:sz w:val="20"/>
              </w:rPr>
              <w:t>Mi-mars</w:t>
            </w:r>
          </w:p>
        </w:tc>
        <w:tc>
          <w:tcPr>
            <w:tcW w:w="3024" w:type="dxa"/>
          </w:tcPr>
          <w:p w14:paraId="10F63BB1" w14:textId="77777777" w:rsidR="0086253D" w:rsidRDefault="00E37A94">
            <w:r>
              <w:rPr>
                <w:b/>
                <w:sz w:val="20"/>
              </w:rPr>
              <w:t>ES-CRM</w:t>
            </w:r>
            <w:r>
              <w:rPr>
                <w:sz w:val="20"/>
              </w:rPr>
              <w:t xml:space="preserve"> — CRM de montage de dossiers CEE</w:t>
            </w:r>
          </w:p>
        </w:tc>
        <w:tc>
          <w:tcPr>
            <w:tcW w:w="3024" w:type="dxa"/>
          </w:tcPr>
          <w:p w14:paraId="515CB870" w14:textId="77777777" w:rsidR="0086253D" w:rsidRDefault="00E37A94">
            <w:r>
              <w:rPr>
                <w:sz w:val="20"/>
              </w:rPr>
              <w:t>Migration de l'application vers une architecture web + base de données</w:t>
            </w:r>
          </w:p>
        </w:tc>
      </w:tr>
      <w:tr w:rsidR="0086253D" w14:paraId="7264AC68" w14:textId="77777777">
        <w:tc>
          <w:tcPr>
            <w:tcW w:w="3024" w:type="dxa"/>
          </w:tcPr>
          <w:p w14:paraId="77256F44" w14:textId="77777777" w:rsidR="0086253D" w:rsidRDefault="00E37A94">
            <w:r>
              <w:rPr>
                <w:sz w:val="20"/>
              </w:rPr>
              <w:t>Mi-mars</w:t>
            </w:r>
          </w:p>
        </w:tc>
        <w:tc>
          <w:tcPr>
            <w:tcW w:w="3024" w:type="dxa"/>
          </w:tcPr>
          <w:p w14:paraId="722A7A03" w14:textId="77777777" w:rsidR="0086253D" w:rsidRDefault="00E37A94">
            <w:r>
              <w:rPr>
                <w:b/>
                <w:sz w:val="20"/>
              </w:rPr>
              <w:t>Audio-extractor</w:t>
            </w:r>
            <w:r>
              <w:rPr>
                <w:sz w:val="20"/>
              </w:rPr>
              <w:t xml:space="preserve"> — extraction d'informations d'appels</w:t>
            </w:r>
          </w:p>
        </w:tc>
        <w:tc>
          <w:tcPr>
            <w:tcW w:w="3024" w:type="dxa"/>
          </w:tcPr>
          <w:p w14:paraId="6297BE19" w14:textId="77777777" w:rsidR="0086253D" w:rsidRDefault="00E37A94">
            <w:r>
              <w:rPr>
                <w:sz w:val="20"/>
              </w:rPr>
              <w:t>Extraction structurée par LLM et persistance en base</w:t>
            </w:r>
          </w:p>
        </w:tc>
      </w:tr>
      <w:tr w:rsidR="0086253D" w14:paraId="798F4391" w14:textId="77777777">
        <w:tc>
          <w:tcPr>
            <w:tcW w:w="3024" w:type="dxa"/>
          </w:tcPr>
          <w:p w14:paraId="1B36FE21" w14:textId="77777777" w:rsidR="0086253D" w:rsidRDefault="00E37A94">
            <w:r>
              <w:rPr>
                <w:sz w:val="20"/>
              </w:rPr>
              <w:t>Mi-mars à mi-avril</w:t>
            </w:r>
          </w:p>
        </w:tc>
        <w:tc>
          <w:tcPr>
            <w:tcW w:w="3024" w:type="dxa"/>
          </w:tcPr>
          <w:p w14:paraId="27C004A4" w14:textId="77777777" w:rsidR="0086253D" w:rsidRDefault="00E37A94">
            <w:r>
              <w:rPr>
                <w:b/>
                <w:sz w:val="20"/>
              </w:rPr>
              <w:t>Bots WhatsApp</w:t>
            </w:r>
            <w:r>
              <w:rPr>
                <w:sz w:val="20"/>
              </w:rPr>
              <w:t xml:space="preserve"> — facturation et dépenses</w:t>
            </w:r>
          </w:p>
        </w:tc>
        <w:tc>
          <w:tcPr>
            <w:tcW w:w="3024" w:type="dxa"/>
          </w:tcPr>
          <w:p w14:paraId="0C7EDA74" w14:textId="77777777" w:rsidR="0086253D" w:rsidRDefault="00E37A94">
            <w:r>
              <w:rPr>
                <w:sz w:val="20"/>
              </w:rPr>
              <w:t>Modélisation des données, sécurité, mise en production</w:t>
            </w:r>
          </w:p>
        </w:tc>
      </w:tr>
      <w:tr w:rsidR="0086253D" w14:paraId="30F0EAC4" w14:textId="77777777">
        <w:tc>
          <w:tcPr>
            <w:tcW w:w="3024" w:type="dxa"/>
          </w:tcPr>
          <w:p w14:paraId="0820110F" w14:textId="77777777" w:rsidR="0086253D" w:rsidRDefault="00E37A94">
            <w:r>
              <w:rPr>
                <w:sz w:val="20"/>
              </w:rPr>
              <w:t>Fin mars à juin</w:t>
            </w:r>
          </w:p>
        </w:tc>
        <w:tc>
          <w:tcPr>
            <w:tcW w:w="3024" w:type="dxa"/>
          </w:tcPr>
          <w:p w14:paraId="513B17D5" w14:textId="77777777" w:rsidR="0086253D" w:rsidRDefault="00E37A94">
            <w:r>
              <w:rPr>
                <w:b/>
                <w:sz w:val="20"/>
              </w:rPr>
              <w:t>RDE</w:t>
            </w:r>
            <w:r>
              <w:rPr>
                <w:sz w:val="20"/>
              </w:rPr>
              <w:t xml:space="preserve"> et </w:t>
            </w:r>
            <w:r>
              <w:rPr>
                <w:b/>
                <w:sz w:val="20"/>
              </w:rPr>
              <w:t>Régie</w:t>
            </w:r>
            <w:r>
              <w:rPr>
                <w:sz w:val="20"/>
              </w:rPr>
              <w:t xml:space="preserve"> — CRM commerciaux apparentés</w:t>
            </w:r>
          </w:p>
        </w:tc>
        <w:tc>
          <w:tcPr>
            <w:tcW w:w="3024" w:type="dxa"/>
          </w:tcPr>
          <w:p w14:paraId="630E26BC" w14:textId="77777777" w:rsidR="0086253D" w:rsidRDefault="00E37A94">
            <w:r>
              <w:rPr>
                <w:sz w:val="20"/>
              </w:rPr>
              <w:t>Audit de sécurité des données et livraisons fonctionnelles</w:t>
            </w:r>
          </w:p>
        </w:tc>
      </w:tr>
      <w:tr w:rsidR="0086253D" w14:paraId="29E9A5B6" w14:textId="77777777">
        <w:tc>
          <w:tcPr>
            <w:tcW w:w="3024" w:type="dxa"/>
          </w:tcPr>
          <w:p w14:paraId="256B2D55" w14:textId="77777777" w:rsidR="0086253D" w:rsidRDefault="00E37A94">
            <w:r>
              <w:rPr>
                <w:b/>
                <w:sz w:val="20"/>
              </w:rPr>
              <w:t>Mi-avril à juin</w:t>
            </w:r>
          </w:p>
        </w:tc>
        <w:tc>
          <w:tcPr>
            <w:tcW w:w="3024" w:type="dxa"/>
          </w:tcPr>
          <w:p w14:paraId="1BB6DE56" w14:textId="77777777" w:rsidR="0086253D" w:rsidRDefault="00E37A94">
            <w:r>
              <w:rPr>
                <w:b/>
                <w:sz w:val="20"/>
              </w:rPr>
              <w:t>AQI + passerelle E3S</w:t>
            </w:r>
            <w:r>
              <w:rPr>
                <w:sz w:val="20"/>
              </w:rPr>
              <w:t xml:space="preserve"> — migration et intégration</w:t>
            </w:r>
          </w:p>
        </w:tc>
        <w:tc>
          <w:tcPr>
            <w:tcW w:w="3024" w:type="dxa"/>
          </w:tcPr>
          <w:p w14:paraId="517C5585" w14:textId="77777777" w:rsidR="0086253D" w:rsidRDefault="00E37A94">
            <w:r>
              <w:rPr>
                <w:b/>
                <w:sz w:val="20"/>
              </w:rPr>
              <w:t>Projet phare</w:t>
            </w:r>
            <w:r>
              <w:rPr>
                <w:sz w:val="20"/>
              </w:rPr>
              <w:t xml:space="preserve"> : migration legacy, synchronisation, sécurité</w:t>
            </w:r>
          </w:p>
        </w:tc>
      </w:tr>
    </w:tbl>
    <w:p w14:paraId="0386FB28" w14:textId="77777777" w:rsidR="0086253D" w:rsidRDefault="0086253D">
      <w:pPr>
        <w:spacing w:after="40"/>
      </w:pPr>
    </w:p>
    <w:p w14:paraId="6C5DDE4F" w14:textId="77777777" w:rsidR="0086253D" w:rsidRDefault="00E37A94">
      <w:pPr>
        <w:pStyle w:val="Heading2"/>
        <w:spacing w:before="280" w:after="120"/>
        <w:jc w:val="left"/>
      </w:pPr>
      <w:bookmarkStart w:id="10" w:name="_Toc232355546"/>
      <w:r>
        <w:rPr>
          <w:rFonts w:ascii="Calibri" w:hAnsi="Calibri"/>
          <w:color w:val="C0122F"/>
          <w:sz w:val="28"/>
        </w:rPr>
        <w:t>2.2 Le besoin de départ et le périmètre</w:t>
      </w:r>
      <w:bookmarkEnd w:id="10"/>
    </w:p>
    <w:p w14:paraId="6826600D" w14:textId="77777777" w:rsidR="0086253D" w:rsidRDefault="00E37A94">
      <w:r>
        <w:t xml:space="preserve">Le besoin initial, à mon arrivée, était double : d'une part, </w:t>
      </w:r>
      <w:r>
        <w:rPr>
          <w:b/>
        </w:rPr>
        <w:t>fiabiliser et faire évoluer</w:t>
      </w:r>
      <w:r>
        <w:t xml:space="preserve"> des produits déjà en service ; d'autre part, et c'est devenu le cœur du stage, </w:t>
      </w:r>
      <w:r>
        <w:rPr>
          <w:b/>
        </w:rPr>
        <w:t>réussir la bascule des données</w:t>
      </w:r>
      <w:r>
        <w:t xml:space="preserve"> d'un ancien outil vers le nouveau CRM, puis </w:t>
      </w:r>
      <w:r>
        <w:rPr>
          <w:b/>
        </w:rPr>
        <w:t>faire dialoguer</w:t>
      </w:r>
      <w:r>
        <w:t xml:space="preserve"> les CRM entre eux. Au fil des semaines, le périmètre s'est resserré autour du volet données du couple AQI / E3S, qui concentrait à la fois le plus fort enjeu (des dizaines de milliers d'enregistrements, des utilisateurs en attente) et la plus grande complexité technique (deux bases de production à synchroniser).</w:t>
      </w:r>
    </w:p>
    <w:p w14:paraId="233FCD88" w14:textId="77777777" w:rsidR="0086253D" w:rsidRDefault="00E37A94">
      <w:r>
        <w:t xml:space="preserve">Les </w:t>
      </w:r>
      <w:r>
        <w:rPr>
          <w:b/>
        </w:rPr>
        <w:t>livrables attendus</w:t>
      </w:r>
      <w:r>
        <w:t xml:space="preserve"> de ma part étaient concrets : des migrations de schéma et de données appliquées en production, des fonctions serveur d'intégration opérationnelles, des contrôles d'intégrité documentés, et un modèle de sécurité robuste. Les </w:t>
      </w:r>
      <w:r>
        <w:rPr>
          <w:b/>
        </w:rPr>
        <w:t>contraintes</w:t>
      </w:r>
      <w:r>
        <w:t xml:space="preserve"> étaient elles aussi clairement identifiées :</w:t>
      </w:r>
    </w:p>
    <w:p w14:paraId="61BCA914" w14:textId="77777777" w:rsidR="0086253D" w:rsidRDefault="00E37A94">
      <w:pPr>
        <w:pStyle w:val="ListBullet"/>
        <w:spacing w:after="40"/>
        <w:ind w:left="340"/>
      </w:pPr>
      <w:r>
        <w:rPr>
          <w:b/>
        </w:rPr>
        <w:t>continuité de service</w:t>
      </w:r>
      <w:r>
        <w:t xml:space="preserve"> : ne jamais interrompre ni corrompre des bases utilisées en temps réel ;</w:t>
      </w:r>
    </w:p>
    <w:p w14:paraId="1DAF59D5" w14:textId="77777777" w:rsidR="0086253D" w:rsidRDefault="00E37A94">
      <w:pPr>
        <w:pStyle w:val="ListBullet"/>
        <w:spacing w:after="40"/>
        <w:ind w:left="340"/>
      </w:pPr>
      <w:r>
        <w:rPr>
          <w:b/>
        </w:rPr>
        <w:t>qualité des données entrantes</w:t>
      </w:r>
      <w:r>
        <w:t xml:space="preserve"> : l'historique provenait d'un ancien CRM peu structuré, avec des données « sales » (champs manquants, valeurs aberrantes, caractères binaires) ;</w:t>
      </w:r>
    </w:p>
    <w:p w14:paraId="6B15F3A1" w14:textId="77777777" w:rsidR="0086253D" w:rsidRDefault="00E37A94">
      <w:pPr>
        <w:pStyle w:val="ListBullet"/>
        <w:spacing w:after="40"/>
        <w:ind w:left="340"/>
      </w:pPr>
      <w:r>
        <w:rPr>
          <w:b/>
        </w:rPr>
        <w:t>irréversibilité partielle</w:t>
      </w:r>
      <w:r>
        <w:t xml:space="preserve"> : pour certaines migrations, la source d'origine n'était plus accessible, ce qui rendait toute perte de donnée définitive ;</w:t>
      </w:r>
    </w:p>
    <w:p w14:paraId="44304A9E" w14:textId="77777777" w:rsidR="0086253D" w:rsidRDefault="00E37A94">
      <w:pPr>
        <w:pStyle w:val="ListBullet"/>
        <w:spacing w:after="40"/>
        <w:ind w:left="340"/>
      </w:pPr>
      <w:r>
        <w:rPr>
          <w:b/>
        </w:rPr>
        <w:t>confidentialité</w:t>
      </w:r>
      <w:r>
        <w:t xml:space="preserve"> : les bases contiennent des données personnelles de clients finaux, soumises à des obligations de protection ;</w:t>
      </w:r>
    </w:p>
    <w:p w14:paraId="0BAB753B" w14:textId="77777777" w:rsidR="0086253D" w:rsidRDefault="00E37A94">
      <w:pPr>
        <w:pStyle w:val="ListBullet"/>
        <w:spacing w:after="40"/>
        <w:ind w:left="340"/>
      </w:pPr>
      <w:r>
        <w:rPr>
          <w:b/>
        </w:rPr>
        <w:lastRenderedPageBreak/>
        <w:t>coordination</w:t>
      </w:r>
      <w:r>
        <w:t xml:space="preserve"> : les changements touchant deux CRM devaient atterrir de façon cohérente des deux côtés.</w:t>
      </w:r>
    </w:p>
    <w:p w14:paraId="4BBD0624" w14:textId="77777777" w:rsidR="0086253D" w:rsidRDefault="00E37A94">
      <w:pPr>
        <w:pStyle w:val="Heading2"/>
        <w:spacing w:before="280" w:after="120"/>
        <w:jc w:val="left"/>
      </w:pPr>
      <w:bookmarkStart w:id="11" w:name="_Toc232355547"/>
      <w:r>
        <w:rPr>
          <w:rFonts w:ascii="Calibri" w:hAnsi="Calibri"/>
          <w:color w:val="C0122F"/>
          <w:sz w:val="28"/>
        </w:rPr>
        <w:t>2.3 Ce qui relevait de l'équipe et ce qui relevait de moi</w:t>
      </w:r>
      <w:bookmarkEnd w:id="11"/>
    </w:p>
    <w:p w14:paraId="2DA16547" w14:textId="77777777" w:rsidR="0086253D" w:rsidRDefault="00E37A94">
      <w:r>
        <w:t xml:space="preserve">Par honnêteté méthodologique, je distingue nettement ma contribution de celle de l'équipe. Le </w:t>
      </w:r>
      <w:r>
        <w:rPr>
          <w:b/>
        </w:rPr>
        <w:t>socle applicatif</w:t>
      </w:r>
      <w:r>
        <w:t xml:space="preserve"> des CRM (interface, authentification, écrans de saisie, navigation) avait été conçu par un développeur de l'équipe avant mon arrivée, et le client validait les </w:t>
      </w:r>
      <w:r>
        <w:rPr>
          <w:b/>
        </w:rPr>
        <w:t>besoins métier</w:t>
      </w:r>
      <w:r>
        <w:t xml:space="preserve"> (le « quoi »). En revanche, le </w:t>
      </w:r>
      <w:r>
        <w:rPr>
          <w:b/>
        </w:rPr>
        <w:t>volet données</w:t>
      </w:r>
      <w:r>
        <w:t xml:space="preserve"> — modèle, migrations, intégration entre systèmes, qualité, sécurité — ainsi que </w:t>
      </w:r>
      <w:r>
        <w:rPr>
          <w:b/>
        </w:rPr>
        <w:t>l'exécution en production</w:t>
      </w:r>
      <w:r>
        <w:t xml:space="preserve"> relevaient de ma responsabilité. Lorsque, dans la suite, j'emploie « je », c'est pour identifier une décision, une réalisation ou une analyse qui m'est propre ; lorsque </w:t>
      </w:r>
      <w:r>
        <w:t>le travail était collectif, je l'indique.</w:t>
      </w:r>
    </w:p>
    <w:p w14:paraId="23B7123C" w14:textId="77777777" w:rsidR="0086253D" w:rsidRDefault="00E37A94">
      <w:r>
        <w:br w:type="page"/>
      </w:r>
    </w:p>
    <w:p w14:paraId="41435F8A" w14:textId="77777777" w:rsidR="0086253D" w:rsidRDefault="00E37A94">
      <w:pPr>
        <w:pStyle w:val="Heading1"/>
        <w:pBdr>
          <w:bottom w:val="single" w:sz="6" w:space="4" w:color="C0122F"/>
        </w:pBdr>
        <w:spacing w:before="360" w:after="120"/>
        <w:jc w:val="left"/>
      </w:pPr>
      <w:bookmarkStart w:id="12" w:name="_Toc232355548"/>
      <w:r>
        <w:rPr>
          <w:rFonts w:ascii="Calibri" w:hAnsi="Calibri"/>
          <w:color w:val="C0122F"/>
          <w:sz w:val="36"/>
        </w:rPr>
        <w:lastRenderedPageBreak/>
        <w:t>3. Projet phare : migration et intégration des données AQI ↔ E3S</w:t>
      </w:r>
      <w:bookmarkEnd w:id="12"/>
    </w:p>
    <w:p w14:paraId="50B4FF82" w14:textId="77777777" w:rsidR="0086253D" w:rsidRDefault="00E37A94">
      <w:r>
        <w:t>Ce chapitre constitue le cœur du rapport. Il analyse, par sous-problèmes, le chantier qui a occupé l'essentiel de mon stage : faire entrer dans le CRM AQI l'historique d'un ancien outil, puis faire communiquer AQI avec le CRM sœur E3S, le tout sur des bases de production, sans perte ni incohérence. Chaque section s'attache à répondre à quatre questions : quel était le problème, quelles solutions ont été envisagées, qu'ai-je effectivement réalisé, et quel bilan critique en tirer.</w:t>
      </w:r>
    </w:p>
    <w:p w14:paraId="4ABAF7EA" w14:textId="77777777" w:rsidR="0086253D" w:rsidRDefault="00E37A94">
      <w:pPr>
        <w:pStyle w:val="Heading2"/>
        <w:spacing w:before="280" w:after="120"/>
        <w:jc w:val="left"/>
      </w:pPr>
      <w:bookmarkStart w:id="13" w:name="_Toc232355549"/>
      <w:r>
        <w:rPr>
          <w:rFonts w:ascii="Calibri" w:hAnsi="Calibri"/>
          <w:color w:val="C0122F"/>
          <w:sz w:val="28"/>
        </w:rPr>
        <w:t>3.1 Le besoin et l'existant</w:t>
      </w:r>
      <w:bookmarkEnd w:id="13"/>
    </w:p>
    <w:p w14:paraId="01C5B61C" w14:textId="77777777" w:rsidR="0086253D" w:rsidRDefault="00E37A94">
      <w:r>
        <w:rPr>
          <w:b/>
        </w:rPr>
        <w:t>Le problème.</w:t>
      </w:r>
      <w:r>
        <w:t xml:space="preserve"> Le client opérateur d'AQI gérait jusque-là son activité dans un ancien CRM low-code (désigné ici « l'ancien outil »). Cet outil ne répondait plus à ses besoins : rigidité, absence de cartographie, modèle de « bien immobilier » trop pauvre, impossibilité de gérer proprement plusieurs fiches CEE par dossier. Airbay Data a donc construit AQI sur mesure. Mais un nouveau CRM sans l'historique n'a aucune valeur opérationnelle : il fallait </w:t>
      </w:r>
      <w:r>
        <w:rPr>
          <w:b/>
        </w:rPr>
        <w:t>importer dans AQI l'ensemble des dossiers existants</w:t>
      </w:r>
      <w:r>
        <w:t>, avec leurs documents,</w:t>
      </w:r>
      <w:r>
        <w:t xml:space="preserve"> leurs statuts et leurs clients — c'est la dimension « données » lourde du projet.</w:t>
      </w:r>
    </w:p>
    <w:p w14:paraId="18E80B71" w14:textId="77777777" w:rsidR="0086253D" w:rsidRDefault="00E37A94">
      <w:r>
        <w:t xml:space="preserve">S'ajoutait une seconde exigence : AQI ne vit pas seul. Le CRM </w:t>
      </w:r>
      <w:r>
        <w:rPr>
          <w:b/>
        </w:rPr>
        <w:t>E3S</w:t>
      </w:r>
      <w:r>
        <w:t xml:space="preserve">, destiné à une marque sœur, partage une grande partie du modèle métier et doit </w:t>
      </w:r>
      <w:r>
        <w:rPr>
          <w:b/>
        </w:rPr>
        <w:t>échanger des dossiers</w:t>
      </w:r>
      <w:r>
        <w:t xml:space="preserve"> avec AQI. Concrètement, E3S qualifie commercialement un dossier puis l'envoie à l'audit côté AQI ; AQI réalise l'audit et </w:t>
      </w:r>
      <w:r>
        <w:rPr>
          <w:b/>
        </w:rPr>
        <w:t>renvoie son résultat</w:t>
      </w:r>
      <w:r>
        <w:t xml:space="preserve"> vers E3S ; et les changements de statut doivent rester visibles des deux côtés. Cette </w:t>
      </w:r>
      <w:r>
        <w:rPr>
          <w:b/>
        </w:rPr>
        <w:t>synchronisation entre deux bases de production actives</w:t>
      </w:r>
      <w:r>
        <w:t xml:space="preserve"> est le second pilier du chantier.</w:t>
      </w:r>
    </w:p>
    <w:p w14:paraId="190BBB88" w14:textId="77777777" w:rsidR="0086253D" w:rsidRDefault="00E37A94">
      <w:r>
        <w:rPr>
          <w:b/>
        </w:rPr>
        <w:t>L'existant technique.</w:t>
      </w:r>
      <w:r>
        <w:t xml:space="preserve"> Les deux CRM reposent sur des </w:t>
      </w:r>
      <w:r>
        <w:rPr>
          <w:b/>
        </w:rPr>
        <w:t>projets Supabase distincts</w:t>
      </w:r>
      <w:r>
        <w:t xml:space="preserve"> (deux bases PostgreSQL physiquement séparées), ce qui constitue déjà un premier niveau de cloisonnement multi-tenant. La synchronisation ne pouvait donc pas se faire par simple jointure : elle devait passer par des appels réseau entre deux systèmes indépendants, avec tout ce que cela implique de contrats d'interface et de gestion d'erreurs.</w:t>
      </w:r>
    </w:p>
    <w:p w14:paraId="722613D7" w14:textId="77777777" w:rsidR="0086253D" w:rsidRDefault="00E37A94">
      <w:pPr>
        <w:pStyle w:val="Heading2"/>
        <w:spacing w:before="280" w:after="120"/>
        <w:jc w:val="left"/>
      </w:pPr>
      <w:bookmarkStart w:id="14" w:name="_Toc232355550"/>
      <w:r>
        <w:rPr>
          <w:rFonts w:ascii="Calibri" w:hAnsi="Calibri"/>
          <w:color w:val="C0122F"/>
          <w:sz w:val="28"/>
        </w:rPr>
        <w:t>3.2 Le modèle de données</w:t>
      </w:r>
      <w:bookmarkEnd w:id="14"/>
    </w:p>
    <w:p w14:paraId="39D40B3A" w14:textId="77777777" w:rsidR="0086253D" w:rsidRDefault="00E37A94">
      <w:r>
        <w:t xml:space="preserve">Avant de migrer ou de synchroniser, il faut un modèle cible solide. La base AQI, gérée sous PostgreSQL via Supabase, compte de l'ordre de </w:t>
      </w:r>
      <w:r>
        <w:rPr>
          <w:b/>
        </w:rPr>
        <w:t>45 tables</w:t>
      </w:r>
      <w:r>
        <w:t>. Je décris ici les entités structurantes, car elles conditionnent toutes les opérations qui suivent.</w:t>
      </w:r>
    </w:p>
    <w:p w14:paraId="16BF8E1C" w14:textId="77777777" w:rsidR="0086253D" w:rsidRDefault="00E37A94">
      <w:pPr>
        <w:pStyle w:val="ListBullet"/>
        <w:spacing w:after="40"/>
        <w:ind w:left="340"/>
      </w:pPr>
      <w:r>
        <w:rPr>
          <w:b/>
        </w:rPr>
        <w:t>L'entité centrale est le dossier</w:t>
      </w:r>
      <w:r>
        <w:t xml:space="preserve"> (</w:t>
      </w:r>
      <w:r>
        <w:rPr>
          <w:rFonts w:ascii="Consolas" w:hAnsi="Consolas"/>
          <w:sz w:val="20"/>
        </w:rPr>
        <w:t>dossiers</w:t>
      </w:r>
      <w:r>
        <w:t>), qui représente une affaire : un client, un bien, une ou plusieurs fiches CEE, un cycle de vie (planification, visite, rapport, clôture).</w:t>
      </w:r>
    </w:p>
    <w:p w14:paraId="4DBB7A13" w14:textId="77777777" w:rsidR="0086253D" w:rsidRDefault="00E37A94">
      <w:pPr>
        <w:pStyle w:val="ListBullet"/>
        <w:spacing w:after="40"/>
        <w:ind w:left="340"/>
      </w:pPr>
      <w:r>
        <w:rPr>
          <w:b/>
        </w:rPr>
        <w:t>Les clients</w:t>
      </w:r>
      <w:r>
        <w:t xml:space="preserve"> sont modélisés en deux tables distinctes, </w:t>
      </w:r>
      <w:r>
        <w:rPr>
          <w:rFonts w:ascii="Consolas" w:hAnsi="Consolas"/>
          <w:sz w:val="20"/>
        </w:rPr>
        <w:t>persons</w:t>
      </w:r>
      <w:r>
        <w:t xml:space="preserve"> (particuliers) et </w:t>
      </w:r>
      <w:r>
        <w:rPr>
          <w:rFonts w:ascii="Consolas" w:hAnsi="Consolas"/>
          <w:sz w:val="20"/>
        </w:rPr>
        <w:t>companies</w:t>
      </w:r>
      <w:r>
        <w:t xml:space="preserve"> (personnes morales, pour le tertiaire), avec leurs contacts. Un dossier est relié à l'un </w:t>
      </w:r>
      <w:r>
        <w:rPr>
          <w:i/>
        </w:rPr>
        <w:t>ou</w:t>
      </w:r>
      <w:r>
        <w:t xml:space="preserve"> l'autre.</w:t>
      </w:r>
    </w:p>
    <w:p w14:paraId="2C4703B2" w14:textId="77777777" w:rsidR="0086253D" w:rsidRDefault="00E37A94">
      <w:pPr>
        <w:pStyle w:val="ListBullet"/>
        <w:spacing w:after="40"/>
        <w:ind w:left="340"/>
      </w:pPr>
      <w:r>
        <w:rPr>
          <w:b/>
        </w:rPr>
        <w:t>Le patrimoine</w:t>
      </w:r>
      <w:r>
        <w:t xml:space="preserve"> est décrit par deux tables séparées, </w:t>
      </w:r>
      <w:r>
        <w:rPr>
          <w:rFonts w:ascii="Consolas" w:hAnsi="Consolas"/>
          <w:sz w:val="20"/>
        </w:rPr>
        <w:t>biens_maison</w:t>
      </w:r>
      <w:r>
        <w:t xml:space="preserve"> et </w:t>
      </w:r>
      <w:r>
        <w:rPr>
          <w:rFonts w:ascii="Consolas" w:hAnsi="Consolas"/>
          <w:sz w:val="20"/>
        </w:rPr>
        <w:t>biens_appartement</w:t>
      </w:r>
      <w:r>
        <w:t xml:space="preserve">. J'ai fait le choix assumé de </w:t>
      </w:r>
      <w:r>
        <w:rPr>
          <w:b/>
        </w:rPr>
        <w:t>ne pas</w:t>
      </w:r>
      <w:r>
        <w:t xml:space="preserve"> utiliser une table polymorphe unique : les deux types de biens divergent suffisamment (planchers, étages) pour qu'une séparation explicite reste plus lisible et plus sûre à interroger.</w:t>
      </w:r>
    </w:p>
    <w:p w14:paraId="3B658082" w14:textId="77777777" w:rsidR="0086253D" w:rsidRDefault="00E37A94">
      <w:pPr>
        <w:pStyle w:val="ListBullet"/>
        <w:spacing w:after="40"/>
        <w:ind w:left="340"/>
      </w:pPr>
      <w:r>
        <w:rPr>
          <w:b/>
        </w:rPr>
        <w:t>Le cloisonnement métier</w:t>
      </w:r>
      <w:r>
        <w:t xml:space="preserve"> repose sur la </w:t>
      </w:r>
      <w:r>
        <w:rPr>
          <w:b/>
        </w:rPr>
        <w:t>Business Unit</w:t>
      </w:r>
      <w:r>
        <w:t xml:space="preserve"> (</w:t>
      </w:r>
      <w:r>
        <w:rPr>
          <w:rFonts w:ascii="Consolas" w:hAnsi="Consolas"/>
          <w:sz w:val="20"/>
        </w:rPr>
        <w:t>business_units</w:t>
      </w:r>
      <w:r>
        <w:t>) : chaque régie ou agence constitue une BU, et c'est cet axe qui porte la sécurité d'accès (un utilisateur ne voit que les dossiers de sa BU).</w:t>
      </w:r>
    </w:p>
    <w:p w14:paraId="3FFFC196" w14:textId="77777777" w:rsidR="0086253D" w:rsidRDefault="00E37A94">
      <w:pPr>
        <w:pStyle w:val="ListBullet"/>
        <w:spacing w:after="40"/>
        <w:ind w:left="340"/>
      </w:pPr>
      <w:r>
        <w:rPr>
          <w:b/>
        </w:rPr>
        <w:lastRenderedPageBreak/>
        <w:t>La dimension CEE</w:t>
      </w:r>
      <w:r>
        <w:t xml:space="preserve"> est portée par </w:t>
      </w:r>
      <w:r>
        <w:rPr>
          <w:rFonts w:ascii="Consolas" w:hAnsi="Consolas"/>
          <w:sz w:val="20"/>
        </w:rPr>
        <w:t>dossier_cee</w:t>
      </w:r>
      <w:r>
        <w:t xml:space="preserve">, les simulations, les scénarios de travaux et un catalogue de travaux. Une évolution importante a consisté à passer la fiche CEE d'un champ scalaire à un </w:t>
      </w:r>
      <w:r>
        <w:rPr>
          <w:b/>
        </w:rPr>
        <w:t>tableau</w:t>
      </w:r>
      <w:r>
        <w:t xml:space="preserve"> (</w:t>
      </w:r>
      <w:r>
        <w:rPr>
          <w:rFonts w:ascii="Consolas" w:hAnsi="Consolas"/>
          <w:sz w:val="20"/>
        </w:rPr>
        <w:t>fiche_ids</w:t>
      </w:r>
      <w:r>
        <w:t>), pour gérer les dossiers multi-fiches.</w:t>
      </w:r>
    </w:p>
    <w:p w14:paraId="51B26079" w14:textId="77777777" w:rsidR="0086253D" w:rsidRDefault="00E37A94">
      <w:pPr>
        <w:pStyle w:val="ListBullet"/>
        <w:spacing w:after="40"/>
        <w:ind w:left="340"/>
      </w:pPr>
      <w:r>
        <w:rPr>
          <w:b/>
        </w:rPr>
        <w:t>Le suivi</w:t>
      </w:r>
      <w:r>
        <w:t xml:space="preserve"> agrège les rendez-vous, l'historique de statut, les notes, les documents, les factures et un </w:t>
      </w:r>
      <w:r>
        <w:rPr>
          <w:b/>
        </w:rPr>
        <w:t>journal d'audit</w:t>
      </w:r>
      <w:r>
        <w:t xml:space="preserve"> applicatif.</w:t>
      </w:r>
    </w:p>
    <w:p w14:paraId="432BD8A6" w14:textId="77777777" w:rsidR="0086253D" w:rsidRDefault="00E37A94">
      <w:r>
        <w:t xml:space="preserve">Le front n'interroge pas directement ces tables, mais des </w:t>
      </w:r>
      <w:r>
        <w:rPr>
          <w:b/>
        </w:rPr>
        <w:t>vues enrichies</w:t>
      </w:r>
      <w:r>
        <w:t xml:space="preserve"> (</w:t>
      </w:r>
      <w:r>
        <w:rPr>
          <w:rFonts w:ascii="Consolas" w:hAnsi="Consolas"/>
          <w:sz w:val="20"/>
        </w:rPr>
        <w:t>dossiers_enriched</w:t>
      </w:r>
      <w:r>
        <w:t xml:space="preserve">, </w:t>
      </w:r>
      <w:r>
        <w:rPr>
          <w:rFonts w:ascii="Consolas" w:hAnsi="Consolas"/>
          <w:sz w:val="20"/>
        </w:rPr>
        <w:t>persons_enriched</w:t>
      </w:r>
      <w:r>
        <w:t xml:space="preserve">, etc.) qui pré-joignent libellés et compteurs, afin d'éviter des jointures coûteuses côté client. Comme on le verra en section 3.7, ces vues sont aussi un </w:t>
      </w:r>
      <w:r>
        <w:rPr>
          <w:b/>
        </w:rPr>
        <w:t>point de sécurité critique</w:t>
      </w:r>
      <w:r>
        <w:t xml:space="preserve">. Enfin, la recherche s'appuie sur des </w:t>
      </w:r>
      <w:r>
        <w:rPr>
          <w:b/>
        </w:rPr>
        <w:t>index trigram</w:t>
      </w:r>
      <w:r>
        <w:t xml:space="preserve"> (extension </w:t>
      </w:r>
      <w:r>
        <w:rPr>
          <w:rFonts w:ascii="Consolas" w:hAnsi="Consolas"/>
          <w:sz w:val="20"/>
        </w:rPr>
        <w:t>pg_trgm</w:t>
      </w:r>
      <w:r>
        <w:t>) pour la recherche floue sur les noms et raisons sociales, et sur une colonne de téléphone normalisée pour retrouver un numéro quel que soit son format de saisie.</w:t>
      </w:r>
    </w:p>
    <w:p w14:paraId="04233838" w14:textId="77777777" w:rsidR="0086253D" w:rsidRDefault="00E37A94">
      <w:pPr>
        <w:spacing w:before="160"/>
        <w:jc w:val="center"/>
      </w:pPr>
      <w:r>
        <w:rPr>
          <w:noProof/>
        </w:rPr>
        <w:drawing>
          <wp:inline distT="0" distB="0" distL="0" distR="0" wp14:anchorId="745EEAAF" wp14:editId="785E3A0D">
            <wp:extent cx="5580000" cy="3668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9"/>
                    <a:stretch>
                      <a:fillRect/>
                    </a:stretch>
                  </pic:blipFill>
                  <pic:spPr>
                    <a:xfrm>
                      <a:off x="0" y="0"/>
                      <a:ext cx="5580000" cy="3668333"/>
                    </a:xfrm>
                    <a:prstGeom prst="rect">
                      <a:avLst/>
                    </a:prstGeom>
                  </pic:spPr>
                </pic:pic>
              </a:graphicData>
            </a:graphic>
          </wp:inline>
        </w:drawing>
      </w:r>
    </w:p>
    <w:p w14:paraId="56305CA3" w14:textId="77777777" w:rsidR="0086253D" w:rsidRDefault="00E37A94">
      <w:pPr>
        <w:spacing w:after="200"/>
        <w:jc w:val="center"/>
      </w:pPr>
      <w:r>
        <w:rPr>
          <w:i/>
          <w:color w:val="666666"/>
          <w:sz w:val="19"/>
        </w:rPr>
        <w:t>Figure 1 — Modèle de données simplifié d'AQI : dossier au centre, relié aux clients, biens, fiches CEE, BU et suivi.</w:t>
      </w:r>
    </w:p>
    <w:p w14:paraId="185EBE12" w14:textId="77777777" w:rsidR="0086253D" w:rsidRDefault="00E37A94">
      <w:pPr>
        <w:pStyle w:val="Heading3"/>
        <w:spacing w:before="160" w:after="120"/>
        <w:jc w:val="left"/>
      </w:pPr>
      <w:bookmarkStart w:id="15" w:name="_Toc232355551"/>
      <w:r>
        <w:rPr>
          <w:rFonts w:ascii="Calibri" w:hAnsi="Calibri"/>
          <w:color w:val="222222"/>
          <w:sz w:val="23"/>
        </w:rPr>
        <w:t>Le cycle de vie du dossier comme machine à états</w:t>
      </w:r>
      <w:bookmarkEnd w:id="15"/>
    </w:p>
    <w:p w14:paraId="05AE7EC0" w14:textId="77777777" w:rsidR="0086253D" w:rsidRDefault="00E37A94">
      <w:r>
        <w:t xml:space="preserve">Un point de modélisation mérite d'être souligné, car il conditionne aussi bien la migration que la synchronisation : le statut d'un dossier n'est pas un simple libellé, mais l'état d'une </w:t>
      </w:r>
      <w:r>
        <w:rPr>
          <w:b/>
        </w:rPr>
        <w:t>machine à états</w:t>
      </w:r>
      <w:r>
        <w:t xml:space="preserve"> dont les transitions autorisées dépendent du rôle. Une table dédiée décrit « quel rôle peut faire passer un dossier de l'état A à l'état B ». Cette modélisation explicite des transitions présente deux avantages pour l'administration des données : elle empêche des changements d'état incohérents, et elle fournit un </w:t>
      </w:r>
      <w:r>
        <w:rPr>
          <w:b/>
        </w:rPr>
        <w:t>dictionnaire de statuts</w:t>
      </w:r>
      <w:r>
        <w:t xml:space="preserve"> qui s'est révélé indispensable lors de la migration (pour traduire les statuts de l'ancien outil) comme lors de la synchronisation (pour transmettre à E3S un</w:t>
      </w:r>
      <w:r>
        <w:t xml:space="preserve"> statut métier juste). On compte de l'ordre de vingt-sept statuts distincts, ce qui donne la mesure de la finesse du suivi métier.</w:t>
      </w:r>
    </w:p>
    <w:p w14:paraId="124146CC" w14:textId="77777777" w:rsidR="0086253D" w:rsidRDefault="00E37A94">
      <w:pPr>
        <w:spacing w:before="160"/>
        <w:jc w:val="center"/>
      </w:pPr>
      <w:r>
        <w:rPr>
          <w:noProof/>
        </w:rPr>
        <w:lastRenderedPageBreak/>
        <w:drawing>
          <wp:inline distT="0" distB="0" distL="0" distR="0" wp14:anchorId="51E5F5F0" wp14:editId="7E18E3B5">
            <wp:extent cx="5580000" cy="1977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0"/>
                    <a:stretch>
                      <a:fillRect/>
                    </a:stretch>
                  </pic:blipFill>
                  <pic:spPr>
                    <a:xfrm>
                      <a:off x="0" y="0"/>
                      <a:ext cx="5580000" cy="1977055"/>
                    </a:xfrm>
                    <a:prstGeom prst="rect">
                      <a:avLst/>
                    </a:prstGeom>
                  </pic:spPr>
                </pic:pic>
              </a:graphicData>
            </a:graphic>
          </wp:inline>
        </w:drawing>
      </w:r>
    </w:p>
    <w:p w14:paraId="6D45B8AE" w14:textId="77777777" w:rsidR="0086253D" w:rsidRDefault="00E37A94">
      <w:pPr>
        <w:spacing w:after="200"/>
        <w:jc w:val="center"/>
      </w:pPr>
      <w:r>
        <w:rPr>
          <w:i/>
          <w:color w:val="666666"/>
          <w:sz w:val="19"/>
        </w:rPr>
        <w:t>Figure 4 — Cycle de vie d'un dossier sous forme de machine à états (de la planification à la clôture).</w:t>
      </w:r>
    </w:p>
    <w:p w14:paraId="26CACA5F" w14:textId="77777777" w:rsidR="0086253D" w:rsidRDefault="00E37A94">
      <w:pPr>
        <w:pStyle w:val="Heading2"/>
        <w:spacing w:before="280" w:after="120"/>
        <w:jc w:val="left"/>
      </w:pPr>
      <w:bookmarkStart w:id="16" w:name="_Toc232355552"/>
      <w:r>
        <w:rPr>
          <w:rFonts w:ascii="Calibri" w:hAnsi="Calibri"/>
          <w:color w:val="C0122F"/>
          <w:sz w:val="28"/>
        </w:rPr>
        <w:t>3.3 La migration de l'historique : faire entrer des données « sales » sans rien casser</w:t>
      </w:r>
      <w:bookmarkEnd w:id="16"/>
    </w:p>
    <w:p w14:paraId="4CC26C5D" w14:textId="77777777" w:rsidR="0086253D" w:rsidRDefault="00E37A94">
      <w:r>
        <w:rPr>
          <w:b/>
        </w:rPr>
        <w:t>Le problème.</w:t>
      </w:r>
      <w:r>
        <w:t xml:space="preserve"> Il fallait importer dans AQI l'historique résidentiel de l'ancien outil, soit un volume vérifié de </w:t>
      </w:r>
      <w:r>
        <w:rPr>
          <w:b/>
        </w:rPr>
        <w:t>16 402 enregistrements</w:t>
      </w:r>
      <w:r>
        <w:t xml:space="preserve"> (les « payloads ») accompagnés d'environ </w:t>
      </w:r>
      <w:r>
        <w:rPr>
          <w:b/>
        </w:rPr>
        <w:t>12 185 archives de documents</w:t>
      </w:r>
      <w:r>
        <w:t xml:space="preserve"> représentant près de </w:t>
      </w:r>
      <w:r>
        <w:rPr>
          <w:b/>
        </w:rPr>
        <w:t>103 Go</w:t>
      </w:r>
      <w:r>
        <w:t>. Ces données étaient hétérogènes et de qualité inégale, et l'ancien outil exposait ses champs sous des noms génériques peu parlants, ce qui interdisait de deviner la structure : il fallait l'inspecter.</w:t>
      </w:r>
    </w:p>
    <w:p w14:paraId="59C3FB0F" w14:textId="77777777" w:rsidR="0086253D" w:rsidRDefault="00E37A94">
      <w:r>
        <w:rPr>
          <w:b/>
        </w:rPr>
        <w:t>Les solutions envisagées.</w:t>
      </w:r>
      <w:r>
        <w:t xml:space="preserve"> Une migration « par export/import » de masse (un gros fichier transformé d'un coup) avait l'inconvénient d'être tout-ou-rien et difficile à rejouer. J'ai préféré une approche </w:t>
      </w:r>
      <w:r>
        <w:rPr>
          <w:b/>
        </w:rPr>
        <w:t>par flux et idempotente</w:t>
      </w:r>
      <w:r>
        <w:t xml:space="preserve"> : l'ancien outil émettait un appel réseau par dossier au moment de son passage au statut « migré », et une fonction serveur recevait, stockait puis traitait chaque dossier indépendamment.</w:t>
      </w:r>
    </w:p>
    <w:p w14:paraId="4E834F08" w14:textId="77777777" w:rsidR="0086253D" w:rsidRDefault="00E37A94">
      <w:r>
        <w:rPr>
          <w:b/>
        </w:rPr>
        <w:t>Ce que j'ai réalisé.</w:t>
      </w:r>
      <w:r>
        <w:t xml:space="preserve"> J'ai conçu toute la chaîne d'ingestion :</w:t>
      </w:r>
    </w:p>
    <w:p w14:paraId="1E7BC4EB" w14:textId="77777777" w:rsidR="0086253D" w:rsidRDefault="00E37A94">
      <w:pPr>
        <w:pStyle w:val="ListNumber"/>
        <w:spacing w:after="40"/>
      </w:pPr>
      <w:r>
        <w:t xml:space="preserve">une </w:t>
      </w:r>
      <w:r>
        <w:rPr>
          <w:b/>
        </w:rPr>
        <w:t>fonction serveur d'entrée</w:t>
      </w:r>
      <w:r>
        <w:t xml:space="preserve"> recevait le dossier (ses données et son archive de documents) et déposait le tout dans une table tampon (</w:t>
      </w:r>
      <w:r>
        <w:rPr>
          <w:rFonts w:ascii="Consolas" w:hAnsi="Consolas"/>
          <w:sz w:val="20"/>
        </w:rPr>
        <w:t>migration_inbox</w:t>
      </w:r>
      <w:r>
        <w:t>) et un espace de stockage privé, sans transformation, pour ne jamais perdre la source ;</w:t>
      </w:r>
    </w:p>
    <w:p w14:paraId="0D3E2B23" w14:textId="77777777" w:rsidR="0086253D" w:rsidRDefault="00E37A94">
      <w:pPr>
        <w:pStyle w:val="ListNumber"/>
        <w:spacing w:after="40"/>
      </w:pPr>
      <w:r>
        <w:t xml:space="preserve">un </w:t>
      </w:r>
      <w:r>
        <w:rPr>
          <w:b/>
        </w:rPr>
        <w:t>traitement par lots</w:t>
      </w:r>
      <w:r>
        <w:t xml:space="preserve"> parcourait ensuite cette table tampon, lisait la structure réelle de chaque dossier et créait les entités AQI correspondantes (dossier, client, bien, fiche, documents) ;</w:t>
      </w:r>
    </w:p>
    <w:p w14:paraId="2509A74C" w14:textId="77777777" w:rsidR="0086253D" w:rsidRDefault="00E37A94">
      <w:pPr>
        <w:pStyle w:val="ListNumber"/>
        <w:spacing w:after="40"/>
      </w:pPr>
      <w:r>
        <w:t>l'</w:t>
      </w:r>
      <w:r>
        <w:rPr>
          <w:b/>
        </w:rPr>
        <w:t>idempotence</w:t>
      </w:r>
      <w:r>
        <w:t xml:space="preserve"> était garantie par une clé stable issue de la référence d'origine : rejouer un dossier déjà importé ne créait jamais de doublon, ce qui permettait de relancer le traitement en toute sécurité ;</w:t>
      </w:r>
    </w:p>
    <w:p w14:paraId="7E63D051" w14:textId="77777777" w:rsidR="0086253D" w:rsidRDefault="00E37A94">
      <w:pPr>
        <w:pStyle w:val="ListNumber"/>
        <w:spacing w:after="40"/>
      </w:pPr>
      <w:r>
        <w:t xml:space="preserve">des </w:t>
      </w:r>
      <w:r>
        <w:rPr>
          <w:b/>
        </w:rPr>
        <w:t>garde-fous de qualité</w:t>
      </w:r>
      <w:r>
        <w:t xml:space="preserve"> traçaient les dossiers incomplets (un drapeau signalait les champs manquants comblés par des valeurs par défaut), réorientaient les dossiers dont la BU était introuvable vers une BU de repli, et classaient les dossiers en « actifs » ou « archivés » selon une date butoir métier.</w:t>
      </w:r>
    </w:p>
    <w:p w14:paraId="563BBF17" w14:textId="77777777" w:rsidR="0086253D" w:rsidRDefault="00E37A94">
      <w:pPr>
        <w:pBdr>
          <w:left w:val="single" w:sz="18" w:space="8" w:color="C0122F"/>
        </w:pBdr>
        <w:spacing w:before="120"/>
        <w:ind w:left="227"/>
      </w:pPr>
      <w:r>
        <w:rPr>
          <w:i/>
        </w:rPr>
        <w:t>À retenir. Le principe directeur de cette migration était : ne jamais perdre la donnée d'origine, et rendre chaque étape rejouable. La table tampon et l'idempotence sont les deux mécanismes qui ont rendu un chantier risqué réversible et contrôlable.</w:t>
      </w:r>
    </w:p>
    <w:p w14:paraId="4D1EC55F" w14:textId="77777777" w:rsidR="0086253D" w:rsidRDefault="00E37A94">
      <w:pPr>
        <w:spacing w:before="160"/>
        <w:jc w:val="center"/>
      </w:pPr>
      <w:r>
        <w:rPr>
          <w:noProof/>
        </w:rPr>
        <w:lastRenderedPageBreak/>
        <w:drawing>
          <wp:inline distT="0" distB="0" distL="0" distR="0" wp14:anchorId="1BE489B2" wp14:editId="29833DB8">
            <wp:extent cx="5580000" cy="24089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1"/>
                    <a:stretch>
                      <a:fillRect/>
                    </a:stretch>
                  </pic:blipFill>
                  <pic:spPr>
                    <a:xfrm>
                      <a:off x="0" y="0"/>
                      <a:ext cx="5580000" cy="2408987"/>
                    </a:xfrm>
                    <a:prstGeom prst="rect">
                      <a:avLst/>
                    </a:prstGeom>
                  </pic:spPr>
                </pic:pic>
              </a:graphicData>
            </a:graphic>
          </wp:inline>
        </w:drawing>
      </w:r>
    </w:p>
    <w:p w14:paraId="3086BC8F" w14:textId="77777777" w:rsidR="0086253D" w:rsidRDefault="00E37A94">
      <w:pPr>
        <w:spacing w:after="200"/>
        <w:jc w:val="center"/>
      </w:pPr>
      <w:r>
        <w:rPr>
          <w:i/>
          <w:color w:val="666666"/>
          <w:sz w:val="19"/>
        </w:rPr>
        <w:t>Figure 2 — Pipeline d'ingestion : ancien outil → fonction d'entrée → table tampon + stockage → traitement par lots → entités AQI.</w:t>
      </w:r>
    </w:p>
    <w:p w14:paraId="3BFC74C5" w14:textId="77777777" w:rsidR="0086253D" w:rsidRDefault="00E37A94">
      <w:pPr>
        <w:pStyle w:val="Heading3"/>
        <w:spacing w:before="160" w:after="120"/>
        <w:jc w:val="left"/>
      </w:pPr>
      <w:bookmarkStart w:id="17" w:name="_Toc232355553"/>
      <w:r>
        <w:rPr>
          <w:rFonts w:ascii="Calibri" w:hAnsi="Calibri"/>
          <w:color w:val="222222"/>
          <w:sz w:val="23"/>
        </w:rPr>
        <w:t>Tolérer les données imparfaites sans renoncer à la rigueur</w:t>
      </w:r>
      <w:bookmarkEnd w:id="17"/>
    </w:p>
    <w:p w14:paraId="5F187398" w14:textId="77777777" w:rsidR="0086253D" w:rsidRDefault="00E37A94">
      <w:r>
        <w:t xml:space="preserve">Le vrai défi d'une telle migration n'est pas le volume mais la </w:t>
      </w:r>
      <w:r>
        <w:rPr>
          <w:b/>
        </w:rPr>
        <w:t>qualité</w:t>
      </w:r>
      <w:r>
        <w:t xml:space="preserve"> de la source. L'historique provenait d'un outil peu structuré, et il aurait été irréaliste d'exiger des données parfaites avant de migrer. J'ai donc adopté une posture de </w:t>
      </w:r>
      <w:r>
        <w:rPr>
          <w:b/>
        </w:rPr>
        <w:t>tolérance traçable</w:t>
      </w:r>
      <w:r>
        <w:t xml:space="preserve"> : plutôt que de rejeter un dossier incomplet, je l'importais en marquant explicitement ses manques. Trois mécanismes ont incarné ce principe.</w:t>
      </w:r>
    </w:p>
    <w:p w14:paraId="481779BE" w14:textId="77777777" w:rsidR="0086253D" w:rsidRDefault="00E37A94">
      <w:pPr>
        <w:pStyle w:val="ListBullet"/>
        <w:spacing w:after="40"/>
        <w:ind w:left="340"/>
      </w:pPr>
      <w:r>
        <w:rPr>
          <w:b/>
        </w:rPr>
        <w:t>Le marquage des champs comblés.</w:t>
      </w:r>
      <w:r>
        <w:t xml:space="preserve"> Lorsqu'un champ obligatoire manquait, je le remplissais par une valeur par défaut reconnaissable et je posais un drapeau sur le dossier. La donnée n'était donc jamais inventée silencieusement : elle restait identifiable et corrigeable a posteriori.</w:t>
      </w:r>
    </w:p>
    <w:p w14:paraId="47A63A9A" w14:textId="77777777" w:rsidR="0086253D" w:rsidRDefault="00E37A94">
      <w:pPr>
        <w:pStyle w:val="ListBullet"/>
        <w:spacing w:after="40"/>
        <w:ind w:left="340"/>
      </w:pPr>
      <w:r>
        <w:rPr>
          <w:b/>
        </w:rPr>
        <w:t>La BU de repli.</w:t>
      </w:r>
      <w:r>
        <w:t xml:space="preserve"> Quand la Business Unit d'un dossier était introuvable, plutôt que de bloquer l'import, je rattachais le dossier à une BU de repli dédiée, ce qui permettait de continuer la migration tout en isolant les cas à réexaminer.</w:t>
      </w:r>
    </w:p>
    <w:p w14:paraId="4F22F1D9" w14:textId="77777777" w:rsidR="0086253D" w:rsidRDefault="00E37A94">
      <w:pPr>
        <w:pStyle w:val="ListBullet"/>
        <w:spacing w:after="40"/>
        <w:ind w:left="340"/>
      </w:pPr>
      <w:r>
        <w:rPr>
          <w:b/>
        </w:rPr>
        <w:t>La classification actif/archivé.</w:t>
      </w:r>
      <w:r>
        <w:t xml:space="preserve"> Tous les dossiers n'avaient pas la même valeur opérationnelle. À partir d'une date butoir métier, j'ai distingué les dossiers réellement actifs de l'historique mort. Sur les 16 402 enregistrements, cette analyse a notamment permis d'identifier près de </w:t>
      </w:r>
      <w:r>
        <w:rPr>
          <w:b/>
        </w:rPr>
        <w:t>9 900 dossiers</w:t>
      </w:r>
      <w:r>
        <w:t xml:space="preserve"> au cœur de l'activité d'audit, qu'il était hors de question de laisser se diluer dans la masse archivée.</w:t>
      </w:r>
    </w:p>
    <w:p w14:paraId="0AA4EBC0" w14:textId="77777777" w:rsidR="0086253D" w:rsidRDefault="00E37A94">
      <w:r>
        <w:t xml:space="preserve">Ce dernier point illustre un risque que j'analyse plus loin (section 3.8) : un mapping de statuts incomplet aurait pu transformer silencieusement ces 9 900 dossiers actifs en dossiers « clôturés » invisibles. La frontière entre une migration réussie et un sinistre fonctionnel tenait à la </w:t>
      </w:r>
      <w:r>
        <w:rPr>
          <w:b/>
        </w:rPr>
        <w:t>complétude du dictionnaire de correspondance</w:t>
      </w:r>
      <w:r>
        <w:t>.</w:t>
      </w:r>
    </w:p>
    <w:p w14:paraId="73F4D706" w14:textId="77777777" w:rsidR="0086253D" w:rsidRDefault="00E37A94">
      <w:r>
        <w:rPr>
          <w:b/>
        </w:rPr>
        <w:t>Le bilan.</w:t>
      </w:r>
      <w:r>
        <w:t xml:space="preserve"> Les 16 402 enregistrements ont été ingérés de façon robuste et tolérante aux données sales, avec rattachement des documents. Cette tolérance a eu un coût : une part de nettoyage manuel est restée nécessaire (voir la déduplication en 3.6), et le volume de documents s'est révélé anormalement élevé (section 3.8), ce qui a ouvert une question de coût de stockage que je n'ai pas tranchée seul.</w:t>
      </w:r>
    </w:p>
    <w:p w14:paraId="12E9FCD1" w14:textId="77777777" w:rsidR="0086253D" w:rsidRDefault="00E37A94">
      <w:pPr>
        <w:pStyle w:val="Heading2"/>
        <w:spacing w:before="280" w:after="120"/>
        <w:jc w:val="left"/>
      </w:pPr>
      <w:bookmarkStart w:id="18" w:name="_Toc232355554"/>
      <w:r>
        <w:rPr>
          <w:rFonts w:ascii="Calibri" w:hAnsi="Calibri"/>
          <w:color w:val="C0122F"/>
          <w:sz w:val="28"/>
        </w:rPr>
        <w:t>3.4 La migration tertiaire : un cas où la donnée n'existait plus qu'ici</w:t>
      </w:r>
      <w:bookmarkEnd w:id="18"/>
    </w:p>
    <w:p w14:paraId="35948650" w14:textId="77777777" w:rsidR="0086253D" w:rsidRDefault="00E37A94">
      <w:r>
        <w:rPr>
          <w:b/>
        </w:rPr>
        <w:t>Le problème.</w:t>
      </w:r>
      <w:r>
        <w:t xml:space="preserve"> Un second lot, le </w:t>
      </w:r>
      <w:r>
        <w:rPr>
          <w:b/>
        </w:rPr>
        <w:t>tertiaire</w:t>
      </w:r>
      <w:r>
        <w:t xml:space="preserve">, présentait une difficulté supplémentaire et un risque maximal : au moment de le traiter, </w:t>
      </w:r>
      <w:r>
        <w:rPr>
          <w:b/>
        </w:rPr>
        <w:t>le client n'avait plus accès à l'ancien outil</w:t>
      </w:r>
      <w:r>
        <w:t xml:space="preserve">. Les quelque 313 </w:t>
      </w:r>
      <w:r>
        <w:lastRenderedPageBreak/>
        <w:t xml:space="preserve">dossiers concernés n'existaient donc plus </w:t>
      </w:r>
      <w:r>
        <w:rPr>
          <w:i/>
        </w:rPr>
        <w:t>que</w:t>
      </w:r>
      <w:r>
        <w:t xml:space="preserve"> dans la table tampon d'AQI. Toute erreur de traitement aurait signifié une </w:t>
      </w:r>
      <w:r>
        <w:rPr>
          <w:b/>
        </w:rPr>
        <w:t>perte définitive</w:t>
      </w:r>
      <w:r>
        <w:t>. De plus, ces dossiers tertiaires avaient une structure différente du résidentiel et devaient, pour partie, atterrir directement dans E3S.</w:t>
      </w:r>
    </w:p>
    <w:p w14:paraId="1DF1813C" w14:textId="77777777" w:rsidR="0086253D" w:rsidRDefault="00E37A94">
      <w:r>
        <w:rPr>
          <w:b/>
        </w:rPr>
        <w:t>Ce que j'ai réalisé.</w:t>
      </w:r>
      <w:r>
        <w:t xml:space="preserve"> J'ai d'abord </w:t>
      </w:r>
      <w:r>
        <w:rPr>
          <w:b/>
        </w:rPr>
        <w:t>figé et sauvegardé</w:t>
      </w:r>
      <w:r>
        <w:t xml:space="preserve"> la donnée brute, puis construit un traitement spécifique reconnaissant la structure tertiaire. Surtout, j'ai dû établir une </w:t>
      </w:r>
      <w:r>
        <w:rPr>
          <w:b/>
        </w:rPr>
        <w:t>règle métier de répartition</w:t>
      </w:r>
      <w:r>
        <w:t xml:space="preserve"> en trois groupes, résumée ci-dessous, selon que le dossier devait être créé dans AQI, exister dans les deux systèmes, ou n'aller que vers E3S.</w:t>
      </w:r>
    </w:p>
    <w:tbl>
      <w:tblPr>
        <w:tblStyle w:val="TableGrid"/>
        <w:tblW w:w="0" w:type="auto"/>
        <w:tblLook w:val="04A0" w:firstRow="1" w:lastRow="0" w:firstColumn="1" w:lastColumn="0" w:noHBand="0" w:noVBand="1"/>
      </w:tblPr>
      <w:tblGrid>
        <w:gridCol w:w="3024"/>
        <w:gridCol w:w="3024"/>
        <w:gridCol w:w="3024"/>
      </w:tblGrid>
      <w:tr w:rsidR="0086253D" w14:paraId="32918735" w14:textId="77777777">
        <w:tc>
          <w:tcPr>
            <w:tcW w:w="3024" w:type="dxa"/>
            <w:shd w:val="clear" w:color="auto" w:fill="C0122F"/>
          </w:tcPr>
          <w:p w14:paraId="54F789ED" w14:textId="77777777" w:rsidR="0086253D" w:rsidRDefault="00E37A94">
            <w:r>
              <w:rPr>
                <w:b/>
                <w:color w:val="FFFFFF"/>
                <w:sz w:val="20"/>
              </w:rPr>
              <w:t>Groupe</w:t>
            </w:r>
          </w:p>
        </w:tc>
        <w:tc>
          <w:tcPr>
            <w:tcW w:w="3024" w:type="dxa"/>
            <w:shd w:val="clear" w:color="auto" w:fill="C0122F"/>
          </w:tcPr>
          <w:p w14:paraId="37732C9A" w14:textId="77777777" w:rsidR="0086253D" w:rsidRDefault="00E37A94">
            <w:r>
              <w:rPr>
                <w:b/>
                <w:color w:val="FFFFFF"/>
                <w:sz w:val="20"/>
              </w:rPr>
              <w:t>Situation du dossier</w:t>
            </w:r>
          </w:p>
        </w:tc>
        <w:tc>
          <w:tcPr>
            <w:tcW w:w="3024" w:type="dxa"/>
            <w:shd w:val="clear" w:color="auto" w:fill="C0122F"/>
          </w:tcPr>
          <w:p w14:paraId="5882F22D" w14:textId="77777777" w:rsidR="0086253D" w:rsidRDefault="00E37A94">
            <w:r>
              <w:rPr>
                <w:b/>
                <w:color w:val="FFFFFF"/>
                <w:sz w:val="20"/>
              </w:rPr>
              <w:t>Traitement appliqué</w:t>
            </w:r>
          </w:p>
        </w:tc>
      </w:tr>
      <w:tr w:rsidR="0086253D" w14:paraId="0E99459D" w14:textId="77777777">
        <w:tc>
          <w:tcPr>
            <w:tcW w:w="3024" w:type="dxa"/>
          </w:tcPr>
          <w:p w14:paraId="13FCD473" w14:textId="77777777" w:rsidR="0086253D" w:rsidRDefault="00E37A94">
            <w:r>
              <w:rPr>
                <w:sz w:val="20"/>
              </w:rPr>
              <w:t>A</w:t>
            </w:r>
          </w:p>
        </w:tc>
        <w:tc>
          <w:tcPr>
            <w:tcW w:w="3024" w:type="dxa"/>
          </w:tcPr>
          <w:p w14:paraId="656EEB3C" w14:textId="77777777" w:rsidR="0086253D" w:rsidRDefault="00E37A94">
            <w:r>
              <w:rPr>
                <w:sz w:val="20"/>
              </w:rPr>
              <w:t>Jamais présent dans AQI</w:t>
            </w:r>
          </w:p>
        </w:tc>
        <w:tc>
          <w:tcPr>
            <w:tcW w:w="3024" w:type="dxa"/>
          </w:tcPr>
          <w:p w14:paraId="6B43441F" w14:textId="77777777" w:rsidR="0086253D" w:rsidRDefault="00E37A94">
            <w:r>
              <w:rPr>
                <w:sz w:val="20"/>
              </w:rPr>
              <w:t>Pont direct vers E3S, sans création AQI</w:t>
            </w:r>
          </w:p>
        </w:tc>
      </w:tr>
      <w:tr w:rsidR="0086253D" w14:paraId="7AFEE98B" w14:textId="77777777">
        <w:tc>
          <w:tcPr>
            <w:tcW w:w="3024" w:type="dxa"/>
          </w:tcPr>
          <w:p w14:paraId="29103E53" w14:textId="77777777" w:rsidR="0086253D" w:rsidRDefault="00E37A94">
            <w:r>
              <w:rPr>
                <w:sz w:val="20"/>
              </w:rPr>
              <w:t>B</w:t>
            </w:r>
          </w:p>
        </w:tc>
        <w:tc>
          <w:tcPr>
            <w:tcW w:w="3024" w:type="dxa"/>
          </w:tcPr>
          <w:p w14:paraId="6F33C905" w14:textId="77777777" w:rsidR="0086253D" w:rsidRDefault="00E37A94">
            <w:r>
              <w:rPr>
                <w:sz w:val="20"/>
              </w:rPr>
              <w:t>Statut réel à refléter dans les deux systèmes</w:t>
            </w:r>
          </w:p>
        </w:tc>
        <w:tc>
          <w:tcPr>
            <w:tcW w:w="3024" w:type="dxa"/>
          </w:tcPr>
          <w:p w14:paraId="30B3C0F9" w14:textId="77777777" w:rsidR="0086253D" w:rsidRDefault="00E37A94">
            <w:r>
              <w:rPr>
                <w:sz w:val="20"/>
              </w:rPr>
              <w:t>Création AQI + synchronisation vers E3S</w:t>
            </w:r>
          </w:p>
        </w:tc>
      </w:tr>
      <w:tr w:rsidR="0086253D" w14:paraId="67EDC10D" w14:textId="77777777">
        <w:tc>
          <w:tcPr>
            <w:tcW w:w="3024" w:type="dxa"/>
          </w:tcPr>
          <w:p w14:paraId="20527894" w14:textId="77777777" w:rsidR="0086253D" w:rsidRDefault="00E37A94">
            <w:r>
              <w:rPr>
                <w:sz w:val="20"/>
              </w:rPr>
              <w:t>C</w:t>
            </w:r>
          </w:p>
        </w:tc>
        <w:tc>
          <w:tcPr>
            <w:tcW w:w="3024" w:type="dxa"/>
          </w:tcPr>
          <w:p w14:paraId="16E87BA4" w14:textId="77777777" w:rsidR="0086253D" w:rsidRDefault="00E37A94">
            <w:r>
              <w:rPr>
                <w:sz w:val="20"/>
              </w:rPr>
              <w:t>Clôturé dans AQI mais actif côté E3S</w:t>
            </w:r>
          </w:p>
        </w:tc>
        <w:tc>
          <w:tcPr>
            <w:tcW w:w="3024" w:type="dxa"/>
          </w:tcPr>
          <w:p w14:paraId="6FDC0D0E" w14:textId="77777777" w:rsidR="0086253D" w:rsidRDefault="00E37A94">
            <w:r>
              <w:rPr>
                <w:sz w:val="20"/>
              </w:rPr>
              <w:t>Conservation du statut métier réel côté E3S</w:t>
            </w:r>
          </w:p>
        </w:tc>
      </w:tr>
    </w:tbl>
    <w:p w14:paraId="27141060" w14:textId="77777777" w:rsidR="0086253D" w:rsidRDefault="0086253D">
      <w:pPr>
        <w:spacing w:after="40"/>
      </w:pPr>
    </w:p>
    <w:p w14:paraId="47C507FE" w14:textId="77777777" w:rsidR="0086253D" w:rsidRDefault="00E37A94">
      <w:r>
        <w:t xml:space="preserve">AQI servait ici de </w:t>
      </w:r>
      <w:r>
        <w:rPr>
          <w:b/>
        </w:rPr>
        <w:t>seule autorité de mapping</w:t>
      </w:r>
      <w:r>
        <w:t xml:space="preserve"> des statuts (E3S ne sachant pas interpréter le format de l'ancien outil), et je transmettais à E3S le statut métier réel de chaque dossier plutôt qu'un statut uniforme. Cette discrimination par groupes a évité l'erreur la plus grossière — faire atterrir des centaines de dossiers dans un statut faux — qui aurait été, sur une source irrécupérable, impossible à rattraper.</w:t>
      </w:r>
    </w:p>
    <w:p w14:paraId="6CD0824C" w14:textId="77777777" w:rsidR="0086253D" w:rsidRDefault="00E37A94">
      <w:r>
        <w:rPr>
          <w:b/>
        </w:rPr>
        <w:t>Le bilan.</w:t>
      </w:r>
      <w:r>
        <w:t xml:space="preserve"> Sur ce lot, </w:t>
      </w:r>
      <w:r>
        <w:rPr>
          <w:b/>
        </w:rPr>
        <w:t>308 dossiers ont été poussés vers E3S sans aucun échec</w:t>
      </w:r>
      <w:r>
        <w:t xml:space="preserve">, et 136 dossiers ont été créés dans AQI ; les enregistrements de test ont été correctement exclus. C'est l'opération dont je suis le plus satisfait, car le risque était irréversible et le résultat a été vérifié des deux côtés. Elle illustre une idée que je retiens du stage : </w:t>
      </w:r>
      <w:r>
        <w:rPr>
          <w:b/>
        </w:rPr>
        <w:t>la valeur d'une migration ne se mesure pas à sa rapidité mais à la preuve qu'aucune donnée n'a été perdue.</w:t>
      </w:r>
    </w:p>
    <w:p w14:paraId="16239473" w14:textId="77777777" w:rsidR="0086253D" w:rsidRDefault="00E37A94">
      <w:pPr>
        <w:pStyle w:val="Heading2"/>
        <w:spacing w:before="280" w:after="120"/>
        <w:jc w:val="left"/>
      </w:pPr>
      <w:bookmarkStart w:id="19" w:name="_Toc232355555"/>
      <w:r>
        <w:rPr>
          <w:rFonts w:ascii="Calibri" w:hAnsi="Calibri"/>
          <w:color w:val="C0122F"/>
          <w:sz w:val="28"/>
        </w:rPr>
        <w:t>3.5 La synchronisation bidirectionnelle entre deux CRM</w:t>
      </w:r>
      <w:bookmarkEnd w:id="19"/>
    </w:p>
    <w:p w14:paraId="6E02B68C" w14:textId="77777777" w:rsidR="0086253D" w:rsidRDefault="00E37A94">
      <w:r>
        <w:rPr>
          <w:b/>
        </w:rPr>
        <w:t>Le problème.</w:t>
      </w:r>
      <w:r>
        <w:t xml:space="preserve"> Au-delà de la reprise d'historique, AQI et E3S devaient échanger en continu : E3S envoie un dossier en audit, AQI renvoie le résultat et les changements de statut. Comme les deux bases sont physiquement séparées, cet échange ne pouvait se faire que par </w:t>
      </w:r>
      <w:r>
        <w:rPr>
          <w:b/>
        </w:rPr>
        <w:t>appels réseau</w:t>
      </w:r>
      <w:r>
        <w:t xml:space="preserve">, avec un </w:t>
      </w:r>
      <w:r>
        <w:rPr>
          <w:b/>
        </w:rPr>
        <w:t>contrat d'interface</w:t>
      </w:r>
      <w:r>
        <w:t xml:space="preserve"> explicite et une gestion soigneuse des erreurs et des rejeux.</w:t>
      </w:r>
    </w:p>
    <w:p w14:paraId="79221097" w14:textId="77777777" w:rsidR="0086253D" w:rsidRDefault="00E37A94">
      <w:r>
        <w:rPr>
          <w:b/>
        </w:rPr>
        <w:t>Ce que j'ai réalisé.</w:t>
      </w:r>
      <w:r>
        <w:t xml:space="preserve"> J'ai conçu, côté AQI comme côté E3S, un ensemble de </w:t>
      </w:r>
      <w:r>
        <w:rPr>
          <w:b/>
        </w:rPr>
        <w:t>fonctions serveur d'intégration</w:t>
      </w:r>
      <w:r>
        <w:t xml:space="preserve"> : des points d'entrée recevant les dossiers, les résultats d'audit et les mises à jour de statut, et des fonctions sortantes notifiant l'autre système. J'ai défini les </w:t>
      </w:r>
      <w:r>
        <w:rPr>
          <w:b/>
        </w:rPr>
        <w:t>contrats de payload</w:t>
      </w:r>
      <w:r>
        <w:t xml:space="preserve"> — la forme exacte des données échangées — et veillé à leur </w:t>
      </w:r>
      <w:r>
        <w:rPr>
          <w:b/>
        </w:rPr>
        <w:t>idempotence</w:t>
      </w:r>
      <w:r>
        <w:t xml:space="preserve"> par une clé stable, afin qu'un même message rejoué ne crée pas de doublon mais mette simplement à jour l'existant. Pour les entités enfant (biens, documents, notes), j'</w:t>
      </w:r>
      <w:r>
        <w:t>ai adopté une logique « insérer si absent » qui préserve les éventuelles éditions faites côté destinataire.</w:t>
      </w:r>
    </w:p>
    <w:p w14:paraId="2AE37B40" w14:textId="77777777" w:rsidR="0086253D" w:rsidRDefault="00E37A94">
      <w:pPr>
        <w:pStyle w:val="Heading3"/>
        <w:spacing w:before="160" w:after="120"/>
        <w:jc w:val="left"/>
      </w:pPr>
      <w:bookmarkStart w:id="20" w:name="_Toc232355556"/>
      <w:r>
        <w:rPr>
          <w:rFonts w:ascii="Calibri" w:hAnsi="Calibri"/>
          <w:color w:val="222222"/>
          <w:sz w:val="23"/>
        </w:rPr>
        <w:t>Les contrats de payload : un travail de précision</w:t>
      </w:r>
      <w:bookmarkEnd w:id="20"/>
    </w:p>
    <w:p w14:paraId="73FC0C9B" w14:textId="77777777" w:rsidR="0086253D" w:rsidRDefault="00E37A94">
      <w:r>
        <w:t xml:space="preserve">La difficulté concrète de cette intégration n'était pas l'idée générale, mais les </w:t>
      </w:r>
      <w:r>
        <w:rPr>
          <w:b/>
        </w:rPr>
        <w:t>détails du contrat de données</w:t>
      </w:r>
      <w:r>
        <w:t xml:space="preserve"> entre deux systèmes qui ne s'étaient pas conçus pour dialoguer. Plusieurs incompatibilités fines ont dû être traitées une à une : un étage de bien envoyé sous forme de texte (« RDC ») vers une colonne attendant un entier, un numéro de SIRET manquant lorsque le dossier venait d'une régie qui </w:t>
      </w:r>
      <w:r>
        <w:lastRenderedPageBreak/>
        <w:t>n'en a pas, ou encore un type de client absent qui violait une contrainte côté destinataire. Chacun de ces cas se manifestait par un rejet en production et exigeait un correctif côté fonctio</w:t>
      </w:r>
      <w:r>
        <w:t xml:space="preserve">n d'intégration, puis un redéploiement explicite. Ce travail minutieux m'a fait comprendre qu'un </w:t>
      </w:r>
      <w:r>
        <w:rPr>
          <w:b/>
        </w:rPr>
        <w:t>contrat d'interface n'est jamais « évident »</w:t>
      </w:r>
      <w:r>
        <w:t xml:space="preserve"> : il se découvre au contact des données réelles, et sa robustesse se construit cas après cas. C'est aussi ce qui plaide, en analyse critique, pour la formalisation d'un contrat documenté plutôt qu'implicite.</w:t>
      </w:r>
    </w:p>
    <w:p w14:paraId="277C85A7" w14:textId="77777777" w:rsidR="0086253D" w:rsidRDefault="00E37A94">
      <w:r>
        <w:t xml:space="preserve">Un point d'architecture mérite enfin d'être noté, car il structure tout l'échange : les deux secteurs ne suivent pas le même chemin. Le </w:t>
      </w:r>
      <w:r>
        <w:rPr>
          <w:b/>
        </w:rPr>
        <w:t>résidentiel</w:t>
      </w:r>
      <w:r>
        <w:t xml:space="preserve"> part vers l'audit externe côté AQI, tandis que le </w:t>
      </w:r>
      <w:r>
        <w:rPr>
          <w:b/>
        </w:rPr>
        <w:t>tertiaire</w:t>
      </w:r>
      <w:r>
        <w:t xml:space="preserve"> passe par une phase de dimensionnement interne qui ne sort jamais vers l'audit ; les deux flux ne se rejoignent qu'au tronc commun du devis. Comprendre cette bifurcation métier était indispensable pour router correctement chaque dossier dans la synchronisation.</w:t>
      </w:r>
    </w:p>
    <w:p w14:paraId="6F202E82" w14:textId="77777777" w:rsidR="0086253D" w:rsidRDefault="00E37A94">
      <w:pPr>
        <w:spacing w:before="160"/>
        <w:jc w:val="center"/>
      </w:pPr>
      <w:r>
        <w:rPr>
          <w:noProof/>
        </w:rPr>
        <w:drawing>
          <wp:inline distT="0" distB="0" distL="0" distR="0" wp14:anchorId="2AE37D55" wp14:editId="744BF646">
            <wp:extent cx="5580000" cy="31518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2"/>
                    <a:stretch>
                      <a:fillRect/>
                    </a:stretch>
                  </pic:blipFill>
                  <pic:spPr>
                    <a:xfrm>
                      <a:off x="0" y="0"/>
                      <a:ext cx="5580000" cy="3151883"/>
                    </a:xfrm>
                    <a:prstGeom prst="rect">
                      <a:avLst/>
                    </a:prstGeom>
                  </pic:spPr>
                </pic:pic>
              </a:graphicData>
            </a:graphic>
          </wp:inline>
        </w:drawing>
      </w:r>
    </w:p>
    <w:p w14:paraId="40A51F12" w14:textId="77777777" w:rsidR="0086253D" w:rsidRDefault="00E37A94">
      <w:pPr>
        <w:spacing w:after="200"/>
        <w:jc w:val="center"/>
      </w:pPr>
      <w:r>
        <w:rPr>
          <w:i/>
          <w:color w:val="666666"/>
          <w:sz w:val="19"/>
        </w:rPr>
        <w:t>Figure 3 — Passerelle AQI ↔ E3S : points d'entrée, fonctions sortantes et contrat de payload protégé par secret partagé.</w:t>
      </w:r>
    </w:p>
    <w:p w14:paraId="19A5DA78" w14:textId="77777777" w:rsidR="0086253D" w:rsidRDefault="00E37A94">
      <w:r>
        <w:rPr>
          <w:b/>
        </w:rPr>
        <w:t>Le bilan.</w:t>
      </w:r>
      <w:r>
        <w:t xml:space="preserve"> La synchronisation a fonctionné en production, avec notamment un lot de </w:t>
      </w:r>
      <w:r>
        <w:rPr>
          <w:b/>
        </w:rPr>
        <w:t>204 dossiers</w:t>
      </w:r>
      <w:r>
        <w:t xml:space="preserve"> poussés d'AQI vers E3S. Elle reste toutefois perfectible : certaines informations envoyées par AQI ne sont pas exploitées côté E3S faute de table cible, et l'appariement des biens se fait par position dans une liste plutôt que par identifiant stable — une fragilité que je relève en analyse critique. Ces limites sont la rançon d'une intégration construite incrémentalement, au rythme des besoins, entre deux systèmes qui évoluaient en parallèle.</w:t>
      </w:r>
    </w:p>
    <w:p w14:paraId="0ABAFAC6" w14:textId="77777777" w:rsidR="0086253D" w:rsidRDefault="00E37A94">
      <w:pPr>
        <w:pStyle w:val="Heading2"/>
        <w:spacing w:before="280" w:after="120"/>
        <w:jc w:val="left"/>
      </w:pPr>
      <w:bookmarkStart w:id="21" w:name="_Toc232355557"/>
      <w:r>
        <w:rPr>
          <w:rFonts w:ascii="Calibri" w:hAnsi="Calibri"/>
          <w:color w:val="C0122F"/>
          <w:sz w:val="28"/>
        </w:rPr>
        <w:t>3.6 La qualité et l'intégrité des données</w:t>
      </w:r>
      <w:bookmarkEnd w:id="21"/>
    </w:p>
    <w:p w14:paraId="423334DA" w14:textId="77777777" w:rsidR="0086253D" w:rsidRDefault="00E37A94">
      <w:r>
        <w:t xml:space="preserve">Migrer et synchroniser ne suffit pas : encore faut-il garantir que les données restent </w:t>
      </w:r>
      <w:r>
        <w:rPr>
          <w:b/>
        </w:rPr>
        <w:t>justes</w:t>
      </w:r>
      <w:r>
        <w:t>. C'est sans doute l'aspect le plus représentatif du parcours « Administration des données », et celui où mes décisions ont été les plus structurantes.</w:t>
      </w:r>
    </w:p>
    <w:p w14:paraId="417F6E81" w14:textId="77777777" w:rsidR="0086253D" w:rsidRDefault="00E37A94">
      <w:r>
        <w:rPr>
          <w:b/>
        </w:rPr>
        <w:t>La déduplication des clients.</w:t>
      </w:r>
      <w:r>
        <w:t xml:space="preserve"> L'import répété et l'historique de l'ancien outil avaient produit des </w:t>
      </w:r>
      <w:r>
        <w:rPr>
          <w:b/>
        </w:rPr>
        <w:t>fiches clients en double</w:t>
      </w:r>
      <w:r>
        <w:t xml:space="preserve">. J'ai conçu un traitement de fusion guidé par un principe non négociable : </w:t>
      </w:r>
      <w:r>
        <w:rPr>
          <w:b/>
        </w:rPr>
        <w:t>jamais de suppression</w:t>
      </w:r>
      <w:r>
        <w:t xml:space="preserve">. Concrètement, la procédure se déroulait en plusieurs étapes contrôlées. Les doublons étaient d'abord regroupés en grappes selon une clé combinant prénom, nom, téléphone, </w:t>
      </w:r>
      <w:r>
        <w:lastRenderedPageBreak/>
        <w:t xml:space="preserve">ville et BU. Pour chaque grappe, une </w:t>
      </w:r>
      <w:r>
        <w:rPr>
          <w:b/>
        </w:rPr>
        <w:t>fiche canonique</w:t>
      </w:r>
      <w:r>
        <w:t xml:space="preserve"> était retenue, choisie selon une priorité claire (le plus de dossiers, puis le plus de document</w:t>
      </w:r>
      <w:r>
        <w:t xml:space="preserve">s, puis l'ancienneté), afin de conserver la fiche la plus « riche ». Les </w:t>
      </w:r>
      <w:r>
        <w:rPr>
          <w:b/>
        </w:rPr>
        <w:t>clés étrangères</w:t>
      </w:r>
      <w:r>
        <w:t xml:space="preserve"> des entités enfant — dossiers, documents, contacts, et la propriété d'une société — étaient ensuite </w:t>
      </w:r>
      <w:r>
        <w:rPr>
          <w:b/>
        </w:rPr>
        <w:t>repointées</w:t>
      </w:r>
      <w:r>
        <w:t xml:space="preserve"> vers cette fiche canonique, de sorte qu'aucune information rattachée ne soit perdue. Enfin, les fiches perdantes étaient </w:t>
      </w:r>
      <w:r>
        <w:rPr>
          <w:b/>
        </w:rPr>
        <w:t>archivées</w:t>
      </w:r>
      <w:r>
        <w:t xml:space="preserve"> (et non effacées), avec une trace explicite de la fusion permettant un retour arrière, le tout exécuté dans une </w:t>
      </w:r>
      <w:r>
        <w:rPr>
          <w:b/>
        </w:rPr>
        <w:t>transaction atomique</w:t>
      </w:r>
      <w:r>
        <w:t xml:space="preserve"> pour éviter tout état intermédiaire incohérent.</w:t>
      </w:r>
    </w:p>
    <w:p w14:paraId="50BF2680" w14:textId="77777777" w:rsidR="0086253D" w:rsidRDefault="00E37A94">
      <w:r>
        <w:t xml:space="preserve">Un garde-fou imposait que la fusion reste </w:t>
      </w:r>
      <w:r>
        <w:rPr>
          <w:b/>
        </w:rPr>
        <w:t>interne à une même BU</w:t>
      </w:r>
      <w:r>
        <w:t xml:space="preserve">, pour ne jamais mélanger les clients de deux régies. Côté AQI, ce traitement a fusionné automatiquement </w:t>
      </w:r>
      <w:r>
        <w:rPr>
          <w:b/>
        </w:rPr>
        <w:t>104 fiches</w:t>
      </w:r>
      <w:r>
        <w:t xml:space="preserve"> en repointant 108 dossiers, </w:t>
      </w:r>
      <w:r>
        <w:rPr>
          <w:b/>
        </w:rPr>
        <w:t>sans créer aucun orphelin</w:t>
      </w:r>
      <w:r>
        <w:t xml:space="preserve"> (intégrité vérifiée par requête après coup) ; côté E3S, </w:t>
      </w:r>
      <w:r>
        <w:rPr>
          <w:b/>
        </w:rPr>
        <w:t>224 fiches</w:t>
      </w:r>
      <w:r>
        <w:t xml:space="preserve"> ont été fusionnées sans perte. Surtout, j'ai assumé de </w:t>
      </w:r>
      <w:r>
        <w:rPr>
          <w:b/>
        </w:rPr>
        <w:t>ne pas tout automatiser</w:t>
      </w:r>
      <w:r>
        <w:t xml:space="preserve"> : les cas ambigus (par exemple deux conjoints partageant un même numéro de téléphone, ou des grappes hétérogènes) ont été </w:t>
      </w:r>
      <w:r>
        <w:rPr>
          <w:b/>
        </w:rPr>
        <w:t>laissés à l'arbitrage humain</w:t>
      </w:r>
      <w:r>
        <w:t xml:space="preserve"> plutôt que fusionnés à t</w:t>
      </w:r>
      <w:r>
        <w:t>ort. Une fusion automatique incertaine aurait été plus dangereuse qu'un reliquat manuel ; ce choix de prudence est, à mes yeux, la marque d'une administration de données responsable.</w:t>
      </w:r>
    </w:p>
    <w:p w14:paraId="5034DBF5" w14:textId="77777777" w:rsidR="0086253D" w:rsidRDefault="00E37A94">
      <w:r>
        <w:rPr>
          <w:b/>
        </w:rPr>
        <w:t>Les contrôles « miroir » entre AQI et E3S.</w:t>
      </w:r>
      <w:r>
        <w:t xml:space="preserve"> Lorsqu'un même dossier doit exister des deux côtés, affirmer que les deux bases sont « en miroir » ne vaut rien sans preuve. J'ai donc systématisé des </w:t>
      </w:r>
      <w:r>
        <w:rPr>
          <w:b/>
        </w:rPr>
        <w:t>contrôles d'intégrité bilatéraux</w:t>
      </w:r>
      <w:r>
        <w:t xml:space="preserve"> : pour chaque lot synchronisé, je vérifiais non seulement que chaque dossier d'un côté avait son correspondant de l'autre, mais aussi </w:t>
      </w:r>
      <w:r>
        <w:rPr>
          <w:b/>
        </w:rPr>
        <w:t>l'inverse</w:t>
      </w:r>
      <w:r>
        <w:t>, afin de détecter aussi bien les manques que les orphelins. Ces grilles de contrôle (totaux par BU, par statut, absence de doublons) étaient jouées des deux côtés et comparées.</w:t>
      </w:r>
    </w:p>
    <w:p w14:paraId="16E72F95" w14:textId="77777777" w:rsidR="0086253D" w:rsidRDefault="00E37A94">
      <w:r>
        <w:rPr>
          <w:b/>
        </w:rPr>
        <w:t>La réconciliation des utilisateurs et des BU.</w:t>
      </w:r>
      <w:r>
        <w:t xml:space="preserve"> Un incident révélateur a montré que la qualité des données de </w:t>
      </w:r>
      <w:r>
        <w:rPr>
          <w:b/>
        </w:rPr>
        <w:t>référence</w:t>
      </w:r>
      <w:r>
        <w:t xml:space="preserve"> est aussi critique que celle des dossiers. Des comptes d'utilisateurs de régie avaient été rattachés à la mauvaise BU lors de leur migration ; conséquence, la règle de sécurité (qui compare la BU de l'utilisateur à celle du dossier) les rendait </w:t>
      </w:r>
      <w:r>
        <w:rPr>
          <w:b/>
        </w:rPr>
        <w:t>aveugles à leurs propres dossiers</w:t>
      </w:r>
      <w:r>
        <w:t xml:space="preserve">. Le réflexe naturel aurait été d'accuser la règle de sécurité ; en réalité, </w:t>
      </w:r>
      <w:r>
        <w:rPr>
          <w:b/>
        </w:rPr>
        <w:t>la règle était correcte, c'était la donnée qui était fausse</w:t>
      </w:r>
      <w:r>
        <w:t xml:space="preserve">. J'ai repointé </w:t>
      </w:r>
      <w:r>
        <w:rPr>
          <w:b/>
        </w:rPr>
        <w:t>34 compte</w:t>
      </w:r>
      <w:r>
        <w:rPr>
          <w:b/>
        </w:rPr>
        <w:t>s</w:t>
      </w:r>
      <w:r>
        <w:t xml:space="preserve"> de régie (et 4 côté E3S) vers leur véritable BU, et corrigé le script fautif. J'en ai tiré une règle de diagnostic que j'ai appliquée ensuite : </w:t>
      </w:r>
      <w:r>
        <w:rPr>
          <w:i/>
        </w:rPr>
        <w:t>devant un problème de visibilité, vérifier d'abord la donnée avant de soupçonner la politique.</w:t>
      </w:r>
    </w:p>
    <w:p w14:paraId="3E1917FC" w14:textId="77777777" w:rsidR="0086253D" w:rsidRDefault="00E37A94">
      <w:pPr>
        <w:pBdr>
          <w:left w:val="single" w:sz="18" w:space="8" w:color="C0122F"/>
        </w:pBdr>
        <w:spacing w:before="120"/>
        <w:ind w:left="227"/>
      </w:pPr>
      <w:r>
        <w:rPr>
          <w:i/>
        </w:rPr>
        <w:t>À retenir. Sur ces trois chantiers — déduplication, contrôle miroir, réconciliation — la même philosophie revient : préférer l'archivage à la suppression, la preuve bilatérale à l'affirmation, et le diagnostic de la donnée à l'accusation du code.</w:t>
      </w:r>
    </w:p>
    <w:p w14:paraId="63B9E281" w14:textId="77777777" w:rsidR="0086253D" w:rsidRDefault="00E37A94">
      <w:pPr>
        <w:pStyle w:val="Heading2"/>
        <w:spacing w:before="280" w:after="120"/>
        <w:jc w:val="left"/>
      </w:pPr>
      <w:bookmarkStart w:id="22" w:name="_Toc232355558"/>
      <w:r>
        <w:rPr>
          <w:rFonts w:ascii="Calibri" w:hAnsi="Calibri"/>
          <w:color w:val="C0122F"/>
          <w:sz w:val="28"/>
        </w:rPr>
        <w:t>3.7 La sécurité des données</w:t>
      </w:r>
      <w:bookmarkEnd w:id="22"/>
    </w:p>
    <w:p w14:paraId="6D336566" w14:textId="77777777" w:rsidR="0086253D" w:rsidRDefault="00E37A94">
      <w:r>
        <w:t>La sécurité d'accès était un enjeu central, car un CRM multi-acteurs ne doit jamais laisser une régie voir les dossiers d'une autre.</w:t>
      </w:r>
    </w:p>
    <w:p w14:paraId="67C5E187" w14:textId="77777777" w:rsidR="0086253D" w:rsidRDefault="00E37A94">
      <w:r>
        <w:rPr>
          <w:b/>
        </w:rPr>
        <w:t>Le cloisonnement par Row-Level Security.</w:t>
      </w:r>
      <w:r>
        <w:t xml:space="preserve"> PostgreSQL permet d'écrire des </w:t>
      </w:r>
      <w:r>
        <w:rPr>
          <w:b/>
        </w:rPr>
        <w:t>politiques de sécurité au niveau de la ligne</w:t>
      </w:r>
      <w:r>
        <w:t xml:space="preserve"> (RLS) : la règle d'accès vit dans la base, au plus près de la donnée, et s'applique même à une requête directe — elle ne peut pas être contournée par un bug de l'interface. J'ai construit le cloisonnement </w:t>
      </w:r>
      <w:r>
        <w:rPr>
          <w:b/>
        </w:rPr>
        <w:t>multi-tenant par BU</w:t>
      </w:r>
      <w:r>
        <w:t xml:space="preserve"> sur ce mécanisme. La principale difficulté tenait aux </w:t>
      </w:r>
      <w:r>
        <w:rPr>
          <w:b/>
        </w:rPr>
        <w:t>rôles transverses</w:t>
      </w:r>
      <w:r>
        <w:t xml:space="preserve"> : un planificateur, un inspecteur ou un thermicien doivent légitimement voir des dossiers situés hors de leur propre BU. J'ai traité ces c</w:t>
      </w:r>
      <w:r>
        <w:t xml:space="preserve">as par des </w:t>
      </w:r>
      <w:r>
        <w:rPr>
          <w:b/>
        </w:rPr>
        <w:t>fonctions d'aide</w:t>
      </w:r>
      <w:r>
        <w:t xml:space="preserve"> déterminant l'appartenance à un rôle ou l'assignation à un dossier, plutôt que par des exceptions codées en dur, afin de garder des politiques lisibles et maintenables.</w:t>
      </w:r>
    </w:p>
    <w:p w14:paraId="2D69F267" w14:textId="77777777" w:rsidR="0086253D" w:rsidRDefault="00E37A94">
      <w:r>
        <w:rPr>
          <w:b/>
        </w:rPr>
        <w:lastRenderedPageBreak/>
        <w:t>Le modèle de droits.</w:t>
      </w:r>
      <w:r>
        <w:t xml:space="preserve"> Au-dessus de la RLS, une table de </w:t>
      </w:r>
      <w:r>
        <w:rPr>
          <w:b/>
        </w:rPr>
        <w:t>permissions par rôle</w:t>
      </w:r>
      <w:r>
        <w:t xml:space="preserve"> (de l'ordre de soixante droits distincts côté AQI) pilote finement ce que chaque rôle peut faire. Un point de vigilance que j'ai documenté : le modèle de droits d'E3S </w:t>
      </w:r>
      <w:r>
        <w:rPr>
          <w:b/>
        </w:rPr>
        <w:t>a divergé</w:t>
      </w:r>
      <w:r>
        <w:t xml:space="preserve"> de celui d'AQI, si bien que toute évolution des permissions doit être adaptée à chaque environnement — un coût de maintenance inhérent à la coexistence de deux produits proches.</w:t>
      </w:r>
    </w:p>
    <w:p w14:paraId="548524A5" w14:textId="77777777" w:rsidR="0086253D" w:rsidRDefault="00E37A94">
      <w:r>
        <w:rPr>
          <w:b/>
        </w:rPr>
        <w:t>Un incident de sécurité critique et sa correction.</w:t>
      </w:r>
      <w:r>
        <w:t xml:space="preserve"> L'épisode le plus marquant du stage fut une </w:t>
      </w:r>
      <w:r>
        <w:rPr>
          <w:b/>
        </w:rPr>
        <w:t>fuite d'isolation</w:t>
      </w:r>
      <w:r>
        <w:t xml:space="preserve"> détectée côté E3S : pendant un temps, n'importe quel compte pouvait voir les dossiers de toutes les BU. La cause était subtile et instructive : une migration avait recréé une </w:t>
      </w:r>
      <w:r>
        <w:rPr>
          <w:b/>
        </w:rPr>
        <w:t>vue enrichie</w:t>
      </w:r>
      <w:r>
        <w:t xml:space="preserve"> sans réappliquer l'option qui force la vue à s'exécuter avec les droits de l'appelant (</w:t>
      </w:r>
      <w:r>
        <w:rPr>
          <w:rFonts w:ascii="Consolas" w:hAnsi="Consolas"/>
          <w:sz w:val="20"/>
        </w:rPr>
        <w:t>security_invoker</w:t>
      </w:r>
      <w:r>
        <w:t xml:space="preserve">). Privée de cette option, la vue tournait avec les droits de son propriétaire et </w:t>
      </w:r>
      <w:r>
        <w:rPr>
          <w:b/>
        </w:rPr>
        <w:t>court-circuitait toute la RLS</w:t>
      </w:r>
      <w:r>
        <w:t xml:space="preserve">. Durcir la politique de la table ne suffisait pas, puisque le front lit la vue, pas la table. J'ai corrigé en deux temps (durcissement de la politique </w:t>
      </w:r>
      <w:r>
        <w:rPr>
          <w:b/>
        </w:rPr>
        <w:t>et</w:t>
      </w:r>
      <w:r>
        <w:t xml:space="preserve"> réassertion de l'option sur les vues concernées), puis mené un </w:t>
      </w:r>
      <w:r>
        <w:rPr>
          <w:b/>
        </w:rPr>
        <w:t>audit complet</w:t>
      </w:r>
      <w:r>
        <w:t xml:space="preserve"> de la sécurité de la base, qui a d'ailleurs révélé une seconde fa</w:t>
      </w:r>
      <w:r>
        <w:t xml:space="preserve">ille : une table de prospects contenant des données personnelles dont la RLS était désactivée, que j'ai fermée en urgence. J'en ai tiré une </w:t>
      </w:r>
      <w:r>
        <w:rPr>
          <w:b/>
        </w:rPr>
        <w:t>règle d'or</w:t>
      </w:r>
      <w:r>
        <w:t xml:space="preserve"> : toute migration touchant une vue enrichie doit impérativement se terminer par la réassertion de </w:t>
      </w:r>
      <w:r>
        <w:rPr>
          <w:rFonts w:ascii="Consolas" w:hAnsi="Consolas"/>
          <w:sz w:val="20"/>
        </w:rPr>
        <w:t>security_invoker</w:t>
      </w:r>
      <w:r>
        <w:t>.</w:t>
      </w:r>
    </w:p>
    <w:p w14:paraId="12DBB5DF" w14:textId="77777777" w:rsidR="0086253D" w:rsidRDefault="00E37A94">
      <w:pPr>
        <w:pBdr>
          <w:left w:val="single" w:sz="18" w:space="8" w:color="C0122F"/>
        </w:pBdr>
        <w:spacing w:before="120"/>
        <w:ind w:left="227"/>
      </w:pPr>
      <w:r>
        <w:rPr>
          <w:i/>
        </w:rPr>
        <w:t>À retenir. Cet incident résume un enseignement fort du stage : en sécurité des données, le maillon faible n'est pas toujours la règle que l'on écrit, mais l'</w:t>
      </w:r>
      <w:r>
        <w:rPr>
          <w:b/>
          <w:i/>
        </w:rPr>
        <w:t>effet de bord</w:t>
      </w:r>
      <w:r>
        <w:rPr>
          <w:i/>
        </w:rPr>
        <w:t xml:space="preserve"> d'une opération en apparence anodine. D'où l'importance des audits systématiques après chaque changement structurel.</w:t>
      </w:r>
    </w:p>
    <w:p w14:paraId="11DCDD05" w14:textId="77777777" w:rsidR="0086253D" w:rsidRDefault="00E37A94">
      <w:pPr>
        <w:pStyle w:val="Heading2"/>
        <w:spacing w:before="280" w:after="120"/>
        <w:jc w:val="left"/>
      </w:pPr>
      <w:bookmarkStart w:id="23" w:name="_Toc232355559"/>
      <w:r>
        <w:rPr>
          <w:rFonts w:ascii="Calibri" w:hAnsi="Calibri"/>
          <w:color w:val="C0122F"/>
          <w:sz w:val="28"/>
        </w:rPr>
        <w:t>3.8 Difficultés techniques marquantes</w:t>
      </w:r>
      <w:bookmarkEnd w:id="23"/>
    </w:p>
    <w:p w14:paraId="6117B459" w14:textId="77777777" w:rsidR="0086253D" w:rsidRDefault="00E37A94">
      <w:r>
        <w:t>Au-delà des grands axes, plusieurs difficultés ponctuelles méritent d'être analysées, car elles illustrent la réalité d'un travail sur des données et des systèmes de production.</w:t>
      </w:r>
    </w:p>
    <w:p w14:paraId="656EA8A0" w14:textId="77777777" w:rsidR="0086253D" w:rsidRDefault="00E37A94">
      <w:pPr>
        <w:pStyle w:val="ListBullet"/>
        <w:spacing w:after="40"/>
        <w:ind w:left="340"/>
      </w:pPr>
      <w:r>
        <w:rPr>
          <w:b/>
        </w:rPr>
        <w:t>Des caractères interdits par PostgreSQL.</w:t>
      </w:r>
      <w:r>
        <w:t xml:space="preserve"> Certains enregistrements de l'ancien outil contenaient des caractères binaires nuls, que PostgreSQL refuse. L'ingestion échouait silencieusement sur ces dossiers. La solution a consisté à </w:t>
      </w:r>
      <w:r>
        <w:rPr>
          <w:b/>
        </w:rPr>
        <w:t>nettoyer ces caractères</w:t>
      </w:r>
      <w:r>
        <w:t xml:space="preserve"> avant toute insertion, ce qui a fiabilisé l'ingestion sur l'ensemble du volume.</w:t>
      </w:r>
    </w:p>
    <w:p w14:paraId="6147EA59" w14:textId="77777777" w:rsidR="0086253D" w:rsidRDefault="00E37A94">
      <w:pPr>
        <w:pStyle w:val="ListBullet"/>
        <w:spacing w:after="40"/>
        <w:ind w:left="340"/>
      </w:pPr>
      <w:r>
        <w:rPr>
          <w:b/>
        </w:rPr>
        <w:t>Un faux négatif massif dû à un mauvais chemin de lecture.</w:t>
      </w:r>
      <w:r>
        <w:t xml:space="preserve"> Une requête d'analyse renvoyait zéro partout, laissant croire que des champs étaient absents : le chemin d'accès au champ dans la structure était erroné. La leçon est méthodologique : sur des données opaques, il faut </w:t>
      </w:r>
      <w:r>
        <w:rPr>
          <w:b/>
        </w:rPr>
        <w:t>inspecter visuellement un enregistrement réel</w:t>
      </w:r>
      <w:r>
        <w:t xml:space="preserve"> avant de conclure, plutôt que se fier à une recherche par nom de champ.</w:t>
      </w:r>
    </w:p>
    <w:p w14:paraId="1EF64B93" w14:textId="77777777" w:rsidR="0086253D" w:rsidRDefault="00E37A94">
      <w:pPr>
        <w:pStyle w:val="ListBullet"/>
        <w:spacing w:after="40"/>
        <w:ind w:left="340"/>
      </w:pPr>
      <w:r>
        <w:rPr>
          <w:b/>
        </w:rPr>
        <w:t>Un retour en arrière silencieux d'une procédure.</w:t>
      </w:r>
      <w:r>
        <w:t xml:space="preserve"> Une procédure stockée centrale était redéfinie intégralement à chaque évolution ; une version repartie d'une base trop ancienne a </w:t>
      </w:r>
      <w:r>
        <w:rPr>
          <w:b/>
        </w:rPr>
        <w:t>annulé sans bruit</w:t>
      </w:r>
      <w:r>
        <w:t xml:space="preserve"> des changements intermédiaires, provoquant une erreur en production. J'ai réconcilié l'ensemble en une version de référence unique, ajouté un contrôle préalable vérifiant la présence des colonnes attendues, et adopté la règle de ne jamais rejouer cette procédure hors du dépôt de code.</w:t>
      </w:r>
    </w:p>
    <w:p w14:paraId="69BE07D0" w14:textId="77777777" w:rsidR="0086253D" w:rsidRDefault="00E37A94">
      <w:pPr>
        <w:pStyle w:val="ListBullet"/>
        <w:spacing w:after="40"/>
        <w:ind w:left="340"/>
      </w:pPr>
      <w:r>
        <w:rPr>
          <w:b/>
        </w:rPr>
        <w:t>Des erreurs d'authentification serveur-à-serveur.</w:t>
      </w:r>
      <w:r>
        <w:t xml:space="preserve"> Les fonctions d'intégration s'authentifient par </w:t>
      </w:r>
      <w:r>
        <w:rPr>
          <w:b/>
        </w:rPr>
        <w:t>secret partagé</w:t>
      </w:r>
      <w:r>
        <w:t xml:space="preserve">, et non par jeton utilisateur ; elles doivent être déployées avec une option désactivant la vérification du jeton. Un redéploiement sans cette option réactivait la barrière et provoquait des refus d'accès avant même l'exécution du code. La leçon, là encore, est un </w:t>
      </w:r>
      <w:r>
        <w:rPr>
          <w:b/>
        </w:rPr>
        <w:t>réflexe de diagnostic</w:t>
      </w:r>
      <w:r>
        <w:t xml:space="preserve"> : un refus sur un appel par secret signale presque toujours une option de déploiement oubliée, pas un mauvais secret.</w:t>
      </w:r>
    </w:p>
    <w:p w14:paraId="3A3EA65B" w14:textId="77777777" w:rsidR="0086253D" w:rsidRDefault="00E37A94">
      <w:pPr>
        <w:pStyle w:val="ListBullet"/>
        <w:spacing w:after="40"/>
        <w:ind w:left="340"/>
      </w:pPr>
      <w:r>
        <w:rPr>
          <w:b/>
        </w:rPr>
        <w:lastRenderedPageBreak/>
        <w:t>Un quota de stockage saturé.</w:t>
      </w:r>
      <w:r>
        <w:t xml:space="preserve"> Le volume de documents importés atteignait </w:t>
      </w:r>
      <w:r>
        <w:rPr>
          <w:b/>
        </w:rPr>
        <w:t>103 % du quota</w:t>
      </w:r>
      <w:r>
        <w:t xml:space="preserve">, avec une taille moyenne par archive bien supérieure à ce que le métier laissait attendre. Plutôt que de réagir à l'aveugle, j'ai écrit un </w:t>
      </w:r>
      <w:r>
        <w:rPr>
          <w:b/>
        </w:rPr>
        <w:t>script d'échantillonnage</w:t>
      </w:r>
      <w:r>
        <w:t xml:space="preserve"> pour détecter d'éventuels doublons internes aux archives avant de décider d'une stratégie de stockage — illustration du principe « mesurer avant d'agir ».</w:t>
      </w:r>
    </w:p>
    <w:p w14:paraId="1080CB33" w14:textId="77777777" w:rsidR="0086253D" w:rsidRDefault="00E37A94">
      <w:pPr>
        <w:pStyle w:val="ListBullet"/>
        <w:spacing w:after="40"/>
        <w:ind w:left="340"/>
      </w:pPr>
      <w:r>
        <w:rPr>
          <w:b/>
        </w:rPr>
        <w:t>Des délais d'exécution sur les gros volumes.</w:t>
      </w:r>
      <w:r>
        <w:t xml:space="preserve"> Certaines requêtes d'analyse appliquées aux 16 402 lignes de la table tampon, lorsqu'elles filtraient sur des champs profondément imbriqués, dépassaient le délai maximal autorisé. La parade a consisté à </w:t>
      </w:r>
      <w:r>
        <w:rPr>
          <w:b/>
        </w:rPr>
        <w:t>filtrer d'abord sur un critère simple et indexé, puis à trier ensuite</w:t>
      </w:r>
      <w:r>
        <w:t>, plutôt que de demander à la base un tri coûteux sur l'ensemble — un réflexe d'optimisation que l'on n'acquiert qu'au contact de vrais volumes.</w:t>
      </w:r>
    </w:p>
    <w:p w14:paraId="38002AB6" w14:textId="77777777" w:rsidR="0086253D" w:rsidRDefault="00E37A94">
      <w:pPr>
        <w:pStyle w:val="Heading2"/>
        <w:spacing w:before="280" w:after="120"/>
        <w:jc w:val="left"/>
      </w:pPr>
      <w:bookmarkStart w:id="24" w:name="_Toc232355560"/>
      <w:r>
        <w:rPr>
          <w:rFonts w:ascii="Calibri" w:hAnsi="Calibri"/>
          <w:color w:val="C0122F"/>
          <w:sz w:val="28"/>
        </w:rPr>
        <w:t>3.9 La conduite des migrations de schéma</w:t>
      </w:r>
      <w:bookmarkEnd w:id="24"/>
    </w:p>
    <w:p w14:paraId="79735105" w14:textId="77777777" w:rsidR="0086253D" w:rsidRDefault="00E37A94">
      <w:r>
        <w:t xml:space="preserve">Derrière les chantiers de données se trouvait un travail moins visible mais tout aussi structurant : faire </w:t>
      </w:r>
      <w:r>
        <w:rPr>
          <w:b/>
        </w:rPr>
        <w:t>évoluer le schéma</w:t>
      </w:r>
      <w:r>
        <w:t xml:space="preserve"> de bases de production sans interruption. Sur la durée du stage, l'ensemble du dépôt AQI a accumulé de l'ordre de </w:t>
      </w:r>
      <w:r>
        <w:rPr>
          <w:b/>
        </w:rPr>
        <w:t>161 fichiers de migration SQL</w:t>
      </w:r>
      <w:r>
        <w:t>, organisés en familles selon leur objet (évolutions du modèle, sécurité, synchronisation). Cette accumulation n'est pas anecdotique : elle traduit le rythme réel d'un produit vivant, où le modèle de données se transforme presque chaque jour.</w:t>
      </w:r>
    </w:p>
    <w:p w14:paraId="57F822E7" w14:textId="77777777" w:rsidR="0086253D" w:rsidRDefault="00E37A94">
      <w:r>
        <w:rPr>
          <w:b/>
        </w:rPr>
        <w:t>Le problème.</w:t>
      </w:r>
      <w:r>
        <w:t xml:space="preserve"> Modifier le schéma d'une base utilisée en temps réel est l'une des opérations les plus risquées qui soient : une colonne supprimée trop tôt, une contrainte ajoutée sur des données non conformes, et c'est tout le CRM qui tombe pour ses utilisateurs.</w:t>
      </w:r>
    </w:p>
    <w:p w14:paraId="655FDBF2" w14:textId="77777777" w:rsidR="0086253D" w:rsidRDefault="00E37A94">
      <w:r>
        <w:rPr>
          <w:b/>
        </w:rPr>
        <w:t>La méthode que j'ai appliquée.</w:t>
      </w:r>
      <w:r>
        <w:t xml:space="preserve"> J'ai systématisé une stratégie </w:t>
      </w:r>
      <w:r>
        <w:rPr>
          <w:b/>
        </w:rPr>
        <w:t>« prod-safe » en trois temps</w:t>
      </w:r>
      <w:r>
        <w:t>, qui est sans doute l'apprentissage technique le plus transférable de mon stage.</w:t>
      </w:r>
    </w:p>
    <w:p w14:paraId="2985BF90" w14:textId="77777777" w:rsidR="0086253D" w:rsidRDefault="00E37A94">
      <w:pPr>
        <w:pStyle w:val="ListNumber"/>
        <w:spacing w:after="40"/>
      </w:pPr>
      <w:r>
        <w:rPr>
          <w:b/>
        </w:rPr>
        <w:t>Additif d'abord.</w:t>
      </w:r>
      <w:r>
        <w:t xml:space="preserve"> Toute nouveauté est introduite de manière non destructive : une nouvelle colonne est créée nullable ou avec une valeur par défaut, sans toucher à l'existant. À ce stade, l'ancienne et la nouvelle structure coexistent et l'application continue de fonctionner.</w:t>
      </w:r>
    </w:p>
    <w:p w14:paraId="0B12B954" w14:textId="77777777" w:rsidR="0086253D" w:rsidRDefault="00E37A94">
      <w:pPr>
        <w:pStyle w:val="ListNumber"/>
        <w:spacing w:after="40"/>
      </w:pPr>
      <w:r>
        <w:rPr>
          <w:b/>
        </w:rPr>
        <w:t>Double écriture ensuite.</w:t>
      </w:r>
      <w:r>
        <w:t xml:space="preserve"> Pendant une phase transitoire, l'ancien et le nouveau champ sont alimentés en parallèle, le temps de vérifier que le nouveau dispositif se comporte correctement sur des données réelles.</w:t>
      </w:r>
    </w:p>
    <w:p w14:paraId="685C7FF7" w14:textId="77777777" w:rsidR="0086253D" w:rsidRDefault="00E37A94">
      <w:pPr>
        <w:pStyle w:val="ListNumber"/>
        <w:spacing w:after="40"/>
      </w:pPr>
      <w:r>
        <w:rPr>
          <w:b/>
        </w:rPr>
        <w:t>Nettoyage en dernier.</w:t>
      </w:r>
      <w:r>
        <w:t xml:space="preserve"> La suppression de l'ancien dispositif n'intervient qu'une fois la cohabitation validée, jamais avant.</w:t>
      </w:r>
    </w:p>
    <w:p w14:paraId="3FA60644" w14:textId="77777777" w:rsidR="0086253D" w:rsidRDefault="00E37A94">
      <w:r>
        <w:t xml:space="preserve">Chaque migration était précédée d'une </w:t>
      </w:r>
      <w:r>
        <w:rPr>
          <w:b/>
        </w:rPr>
        <w:t>sauvegarde</w:t>
      </w:r>
      <w:r>
        <w:t xml:space="preserve"> de la base concernée — et des deux bases lorsqu'un changement touchait à la fois AQI et E3S — puis </w:t>
      </w:r>
      <w:r>
        <w:rPr>
          <w:b/>
        </w:rPr>
        <w:t>jouée manuellement</w:t>
      </w:r>
      <w:r>
        <w:t xml:space="preserve"> dans l'éditeur SQL de production, après relecture. Ce caractère manuel est un choix assumé : il ralentit, mais il force la vigilance.</w:t>
      </w:r>
    </w:p>
    <w:p w14:paraId="5F4B28E1" w14:textId="77777777" w:rsidR="0086253D" w:rsidRDefault="00E37A94">
      <w:pPr>
        <w:spacing w:before="160"/>
        <w:jc w:val="center"/>
      </w:pPr>
      <w:r>
        <w:rPr>
          <w:noProof/>
        </w:rPr>
        <w:lastRenderedPageBreak/>
        <w:drawing>
          <wp:inline distT="0" distB="0" distL="0" distR="0" wp14:anchorId="2133D7D0" wp14:editId="5CEB0E1E">
            <wp:extent cx="5580000" cy="23065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3"/>
                    <a:stretch>
                      <a:fillRect/>
                    </a:stretch>
                  </pic:blipFill>
                  <pic:spPr>
                    <a:xfrm>
                      <a:off x="0" y="0"/>
                      <a:ext cx="5580000" cy="2306548"/>
                    </a:xfrm>
                    <a:prstGeom prst="rect">
                      <a:avLst/>
                    </a:prstGeom>
                  </pic:spPr>
                </pic:pic>
              </a:graphicData>
            </a:graphic>
          </wp:inline>
        </w:drawing>
      </w:r>
    </w:p>
    <w:p w14:paraId="616C3932" w14:textId="77777777" w:rsidR="0086253D" w:rsidRDefault="00E37A94">
      <w:pPr>
        <w:spacing w:after="200"/>
        <w:jc w:val="center"/>
      </w:pPr>
      <w:r>
        <w:rPr>
          <w:i/>
          <w:color w:val="666666"/>
          <w:sz w:val="19"/>
        </w:rPr>
        <w:t>Figure 5 — La stratégie « prod-safe » en trois temps : additif, double écriture, nettoyage.</w:t>
      </w:r>
    </w:p>
    <w:p w14:paraId="0FDB1DDD" w14:textId="77777777" w:rsidR="0086253D" w:rsidRDefault="00E37A94">
      <w:r>
        <w:rPr>
          <w:b/>
        </w:rPr>
        <w:t>Le bilan critique.</w:t>
      </w:r>
      <w:r>
        <w:t xml:space="preserve"> Cette discipline a évité les sinistres, mais elle a une limite que je dois reconnaître : appliquée manuellement, elle ne maintient pas d'</w:t>
      </w:r>
      <w:r>
        <w:rPr>
          <w:b/>
        </w:rPr>
        <w:t>état fiable</w:t>
      </w:r>
      <w:r>
        <w:t xml:space="preserve"> des migrations réellement passées en base. Sur certaines bases héritées, j'ai ainsi découvert des </w:t>
      </w:r>
      <w:r>
        <w:rPr>
          <w:b/>
        </w:rPr>
        <w:t>migrations partiellement appliquées</w:t>
      </w:r>
      <w:r>
        <w:t xml:space="preserve"> (la structure était passée, mais une donnée d'amorçage ou une contrainte avait été oubliée), produisant des bugs qui ressemblaient à des erreurs de code alors qu'ils venaient du schéma. J'en ai tiré un réflexe — </w:t>
      </w:r>
      <w:r>
        <w:rPr>
          <w:i/>
        </w:rPr>
        <w:t>inspecter le sch</w:t>
      </w:r>
      <w:r>
        <w:rPr>
          <w:i/>
        </w:rPr>
        <w:t>éma réel avant d'accuser le code</w:t>
      </w:r>
      <w:r>
        <w:t xml:space="preserve"> — et la conviction qu'un véritable </w:t>
      </w:r>
      <w:r>
        <w:rPr>
          <w:b/>
        </w:rPr>
        <w:t>gestionnaire de migrations versionné</w:t>
      </w:r>
      <w:r>
        <w:t xml:space="preserve"> est la première amélioration à apporter (voir chapitre 5).</w:t>
      </w:r>
    </w:p>
    <w:p w14:paraId="641573EF" w14:textId="77777777" w:rsidR="0086253D" w:rsidRDefault="00E37A94">
      <w:pPr>
        <w:pStyle w:val="Heading2"/>
        <w:spacing w:before="280" w:after="120"/>
        <w:jc w:val="left"/>
      </w:pPr>
      <w:bookmarkStart w:id="25" w:name="_Toc232355561"/>
      <w:r>
        <w:rPr>
          <w:rFonts w:ascii="Calibri" w:hAnsi="Calibri"/>
          <w:color w:val="C0122F"/>
          <w:sz w:val="28"/>
        </w:rPr>
        <w:t>3.10 La mise en production et la coordination bilatérale</w:t>
      </w:r>
      <w:bookmarkEnd w:id="25"/>
    </w:p>
    <w:p w14:paraId="260D910F" w14:textId="77777777" w:rsidR="0086253D" w:rsidRDefault="00E37A94">
      <w:r>
        <w:rPr>
          <w:b/>
        </w:rPr>
        <w:t>Deux bases vivantes en parallèle.</w:t>
      </w:r>
      <w:r>
        <w:t xml:space="preserve"> La particularité de ce chantier est qu'il ne s'agissait pas d'une mais de </w:t>
      </w:r>
      <w:r>
        <w:rPr>
          <w:b/>
        </w:rPr>
        <w:t>deux bases de production</w:t>
      </w:r>
      <w:r>
        <w:t xml:space="preserve"> (AQI et E3S), avec de vrais utilisateurs des deux côtés. Toute évolution touchant la synchronisation devait donc atterrir de façon </w:t>
      </w:r>
      <w:r>
        <w:rPr>
          <w:b/>
        </w:rPr>
        <w:t>cohérente et simultanée</w:t>
      </w:r>
      <w:r>
        <w:t xml:space="preserve"> sur les deux systèmes, faute de quoi le contrat d'échange se rompait.</w:t>
      </w:r>
    </w:p>
    <w:p w14:paraId="7182C23D" w14:textId="77777777" w:rsidR="0086253D" w:rsidRDefault="00E37A94">
      <w:r>
        <w:rPr>
          <w:b/>
        </w:rPr>
        <w:t>Le déploiement.</w:t>
      </w:r>
      <w:r>
        <w:t xml:space="preserve"> Le front était déployé par intégration continue depuis Git, mais les deux briques sensibles relevaient d'un déploiement séparé et manuel : les </w:t>
      </w:r>
      <w:r>
        <w:rPr>
          <w:b/>
        </w:rPr>
        <w:t>migrations de base de données</w:t>
      </w:r>
      <w:r>
        <w:t xml:space="preserve"> (section 3.9) et les </w:t>
      </w:r>
      <w:r>
        <w:rPr>
          <w:b/>
        </w:rPr>
        <w:t>fonctions serveur d'intégration</w:t>
      </w:r>
      <w:r>
        <w:t>. Ces dernières m'ont réservé un piège instructif : un simple envoi de code ne les met pas à jour, et un redéploiement effectué sans l'option désactivant la vérification du jeton réactivait une barrière d'authentification qui faisait échouer tous les appels par secret partagé. J'ai don</w:t>
      </w:r>
      <w:r>
        <w:t>c dû tenir une discipline de déploiement stricte et documenter ces pièges pour ne pas les reproduire.</w:t>
      </w:r>
    </w:p>
    <w:p w14:paraId="40629D8A" w14:textId="77777777" w:rsidR="0086253D" w:rsidRDefault="00E37A94">
      <w:r>
        <w:rPr>
          <w:b/>
        </w:rPr>
        <w:t>L'activation progressive.</w:t>
      </w:r>
      <w:r>
        <w:t xml:space="preserve"> Pour les changements les plus risqués, je n'ai jamais basculé tout le monde d'un coup. J'ai privilégié une </w:t>
      </w:r>
      <w:r>
        <w:rPr>
          <w:b/>
        </w:rPr>
        <w:t>activation progressive</w:t>
      </w:r>
      <w:r>
        <w:t xml:space="preserve"> — un utilisateur de test, puis une BU, puis l'ensemble — qui permet de détecter un problème sur un périmètre réduit avant qu'il ne touche les deux cents utilisateurs.</w:t>
      </w:r>
    </w:p>
    <w:p w14:paraId="224288E2" w14:textId="77777777" w:rsidR="0086253D" w:rsidRDefault="00E37A94">
      <w:r>
        <w:rPr>
          <w:b/>
        </w:rPr>
        <w:t>La coordination par contrats écrits.</w:t>
      </w:r>
      <w:r>
        <w:t xml:space="preserve"> Comme les changements devaient être synchronisés entre deux systèmes maintenus en parallèle, j'ai tenu une série de </w:t>
      </w:r>
      <w:r>
        <w:rPr>
          <w:b/>
        </w:rPr>
        <w:t>notes de coordination</w:t>
      </w:r>
      <w:r>
        <w:t xml:space="preserve"> servant de contrats d'interface partagés : quelle BU pré-créer de l'autre côté, quelle fiche autoriser, quel correctif de fonction redéployer et quand. Une trentaine de ces notes ont jalonné le chantier. Elles constituent, rétrospectivement, une forme légère mais efficace de </w:t>
      </w:r>
      <w:r>
        <w:rPr>
          <w:b/>
        </w:rPr>
        <w:t>gestion de configuration distribuée</w:t>
      </w:r>
      <w:r>
        <w:t xml:space="preserve"> entre deux bases.</w:t>
      </w:r>
    </w:p>
    <w:p w14:paraId="6D8A0018" w14:textId="77777777" w:rsidR="0086253D" w:rsidRDefault="00E37A94">
      <w:r>
        <w:rPr>
          <w:b/>
        </w:rPr>
        <w:lastRenderedPageBreak/>
        <w:t>Le monitoring.</w:t>
      </w:r>
      <w:r>
        <w:t xml:space="preserve"> Côté front, les erreurs étaient remontées par un outil de supervision. Côté données, en revanche, le suivi reposait surtout sur des </w:t>
      </w:r>
      <w:r>
        <w:rPr>
          <w:b/>
        </w:rPr>
        <w:t>contrôles manuels post-opération</w:t>
      </w:r>
      <w:r>
        <w:t xml:space="preserve"> (comptages, requêtes d'intégrité, comparaisons miroir) et sur le journal d'audit en base. C'est une limite que j'assume : il n'existait pas d'alerting automatique sur la cohérence des données, ce qui rendait la vigilance humaine indispensable.</w:t>
      </w:r>
    </w:p>
    <w:p w14:paraId="6232892F" w14:textId="77777777" w:rsidR="0086253D" w:rsidRDefault="00E37A94">
      <w:r>
        <w:br w:type="page"/>
      </w:r>
    </w:p>
    <w:p w14:paraId="47C5C2A4" w14:textId="77777777" w:rsidR="0086253D" w:rsidRDefault="00E37A94">
      <w:pPr>
        <w:pStyle w:val="Heading1"/>
        <w:pBdr>
          <w:bottom w:val="single" w:sz="6" w:space="4" w:color="C0122F"/>
        </w:pBdr>
        <w:spacing w:before="360" w:after="120"/>
        <w:jc w:val="left"/>
      </w:pPr>
      <w:bookmarkStart w:id="26" w:name="_Toc232355562"/>
      <w:r>
        <w:rPr>
          <w:rFonts w:ascii="Calibri" w:hAnsi="Calibri"/>
          <w:color w:val="C0122F"/>
          <w:sz w:val="36"/>
        </w:rPr>
        <w:lastRenderedPageBreak/>
        <w:t>4. Les missions en appui</w:t>
      </w:r>
      <w:bookmarkEnd w:id="26"/>
    </w:p>
    <w:p w14:paraId="08C8DD01" w14:textId="77777777" w:rsidR="0086253D" w:rsidRDefault="00E37A94">
      <w:r>
        <w:t>Si le couple AQI / E3S a constitué le cœur du stage, plusieurs missions parallèles ont élargi mon champ de compétences en administration des données. Je les présente plus brièvement, en gardant l'angle « données » et en distinguant ma contribution.</w:t>
      </w:r>
    </w:p>
    <w:p w14:paraId="1CD33786" w14:textId="77777777" w:rsidR="0086253D" w:rsidRDefault="00E37A94">
      <w:pPr>
        <w:pStyle w:val="Heading2"/>
        <w:spacing w:before="280" w:after="120"/>
        <w:jc w:val="left"/>
      </w:pPr>
      <w:bookmarkStart w:id="27" w:name="_Toc232355563"/>
      <w:r>
        <w:rPr>
          <w:rFonts w:ascii="Calibri" w:hAnsi="Calibri"/>
          <w:color w:val="C0122F"/>
          <w:sz w:val="28"/>
        </w:rPr>
        <w:t>4.1 alumnai : un pipeline de données pour la recherche sémantique</w:t>
      </w:r>
      <w:bookmarkEnd w:id="27"/>
    </w:p>
    <w:p w14:paraId="6E05C015" w14:textId="77777777" w:rsidR="0086253D" w:rsidRDefault="00E37A94">
      <w:r>
        <w:rPr>
          <w:b/>
        </w:rPr>
        <w:t>Le besoin.</w:t>
      </w:r>
      <w:r>
        <w:t xml:space="preserve"> Mon tout premier projet, en début de stage, fut alumnai, un moteur de </w:t>
      </w:r>
      <w:r>
        <w:rPr>
          <w:b/>
        </w:rPr>
        <w:t>recherche sémantique de profils professionnels</w:t>
      </w:r>
      <w:r>
        <w:t xml:space="preserve"> : à partir d'une question posée en langage naturel, le système devait retrouver les profils les plus pertinents au sein d'une grande base d'anciens élèves. C'est, par nature, un projet d'administration de données : la valeur ne vient pas de l'interface mais de la </w:t>
      </w:r>
      <w:r>
        <w:rPr>
          <w:b/>
        </w:rPr>
        <w:t>chaîne de traitement</w:t>
      </w:r>
      <w:r>
        <w:t xml:space="preserve"> qui transforme des profils bruts en données interrogeables.</w:t>
      </w:r>
    </w:p>
    <w:p w14:paraId="6DA6CC81" w14:textId="77777777" w:rsidR="0086253D" w:rsidRDefault="00E37A94">
      <w:r>
        <w:rPr>
          <w:b/>
        </w:rPr>
        <w:t>Ce que j'ai réalisé.</w:t>
      </w:r>
      <w:r>
        <w:t xml:space="preserve"> Le moteur préexistait à mon arrivée ; ma contribution a porté sur deux aspects que je sais data-centriques. D'une part, j'ai </w:t>
      </w:r>
      <w:r>
        <w:rPr>
          <w:b/>
        </w:rPr>
        <w:t>intégré une couche de persistance</w:t>
      </w:r>
      <w:r>
        <w:t xml:space="preserve"> pour stocker et recharger les jeux de données préparés, avec un mécanisme de cache. D'autre part, et c'est le plus formateur, j'ai mené un travail d'</w:t>
      </w:r>
      <w:r>
        <w:rPr>
          <w:b/>
        </w:rPr>
        <w:t>exploration et de qualité des données</w:t>
      </w:r>
      <w:r>
        <w:t xml:space="preserve"> : analyse statistique du jeu (répartition par pays, par secteur, taux de remplissage des champs, doublons, profils sans expérience exploitable) et production d'une d</w:t>
      </w:r>
      <w:r>
        <w:t>ocumentation technique. Ce travail a mis au jour les forces et les faiblesses du jeu de données, indispensable pour juger la pertinence du moteur.</w:t>
      </w:r>
    </w:p>
    <w:p w14:paraId="330059D7" w14:textId="77777777" w:rsidR="0086253D" w:rsidRDefault="00E37A94">
      <w:r>
        <w:t xml:space="preserve">Du point de vue de l'architecture des données, le pipeline est exemplaire de ce qu'est une chaîne moderne de traitement : </w:t>
      </w:r>
      <w:r>
        <w:rPr>
          <w:b/>
        </w:rPr>
        <w:t>collecte</w:t>
      </w:r>
      <w:r>
        <w:t xml:space="preserve"> depuis des sources externes, </w:t>
      </w:r>
      <w:r>
        <w:rPr>
          <w:b/>
        </w:rPr>
        <w:t>structuration</w:t>
      </w:r>
      <w:r>
        <w:t xml:space="preserve"> en tables exploitables, </w:t>
      </w:r>
      <w:r>
        <w:rPr>
          <w:b/>
        </w:rPr>
        <w:t>enrichissement</w:t>
      </w:r>
      <w:r>
        <w:t xml:space="preserve"> automatique de métadonnées, génération de </w:t>
      </w:r>
      <w:r>
        <w:rPr>
          <w:b/>
        </w:rPr>
        <w:t>représentations vectorielles</w:t>
      </w:r>
      <w:r>
        <w:t xml:space="preserve"> (embeddings) et </w:t>
      </w:r>
      <w:r>
        <w:rPr>
          <w:b/>
        </w:rPr>
        <w:t>indexation</w:t>
      </w:r>
      <w:r>
        <w:t xml:space="preserve"> dans une base vectorielle permettant une recherche par similarité plutôt que par mots-clés exacts. J'ai ainsi découvert concrètement les notions d'embedding, de base vectorielle et de recherche par intention, qui prolongent vers le « non structuré » les compétences classiques de gestion de données.</w:t>
      </w:r>
    </w:p>
    <w:p w14:paraId="2F835304" w14:textId="77777777" w:rsidR="0086253D" w:rsidRDefault="00E37A94">
      <w:r>
        <w:rPr>
          <w:b/>
        </w:rPr>
        <w:t>Le bilan.</w:t>
      </w:r>
      <w:r>
        <w:t xml:space="preserve"> Ma contribution y fut ciblée (intégration et analyse de qualité), ce que j'assume : c'était un projet de prise en main, en tout début de stage. Mais il a posé un cadre mental utile pour la suite — penser une donnée comme le produit d'un pipeline traçable — que j'ai retrouvé dans tous les chantiers ultérieurs.</w:t>
      </w:r>
    </w:p>
    <w:p w14:paraId="5C1485FC" w14:textId="77777777" w:rsidR="0086253D" w:rsidRDefault="00E37A94">
      <w:pPr>
        <w:pStyle w:val="Heading2"/>
        <w:spacing w:before="280" w:after="120"/>
        <w:jc w:val="left"/>
      </w:pPr>
      <w:bookmarkStart w:id="28" w:name="_Toc232355564"/>
      <w:r>
        <w:rPr>
          <w:rFonts w:ascii="Calibri" w:hAnsi="Calibri"/>
          <w:color w:val="C0122F"/>
          <w:sz w:val="28"/>
        </w:rPr>
        <w:t>4.2 ES-CRM : d'une application prototype à une architecture de données</w:t>
      </w:r>
      <w:bookmarkEnd w:id="28"/>
    </w:p>
    <w:p w14:paraId="1A6503F8" w14:textId="77777777" w:rsidR="0086253D" w:rsidRDefault="00E37A94">
      <w:r>
        <w:rPr>
          <w:b/>
        </w:rPr>
        <w:t>Le besoin.</w:t>
      </w:r>
      <w:r>
        <w:t xml:space="preserve"> ES-CRM sert le montage de dossiers CEE pour un opérateur de rénovation. Avant mon intervention, il existait sous la forme d'une </w:t>
      </w:r>
      <w:r>
        <w:rPr>
          <w:b/>
        </w:rPr>
        <w:t>application prototype monolithique</w:t>
      </w:r>
      <w:r>
        <w:t xml:space="preserve"> (construite avec Streamlit), efficace pour un traitement ponctuel mais inadaptée à un usage multi-utilisateurs : pas d'authentification, pas de rôles, pas de persistance des dossiers, pas de collaboration.</w:t>
      </w:r>
    </w:p>
    <w:p w14:paraId="3055F864" w14:textId="77777777" w:rsidR="0086253D" w:rsidRDefault="00E37A94">
      <w:r>
        <w:rPr>
          <w:b/>
        </w:rPr>
        <w:t>Ce que j'ai réalisé.</w:t>
      </w:r>
      <w:r>
        <w:t xml:space="preserve"> J'ai mené la </w:t>
      </w:r>
      <w:r>
        <w:rPr>
          <w:b/>
        </w:rPr>
        <w:t>migration de cette application vers une architecture web complète</w:t>
      </w:r>
      <w:r>
        <w:t xml:space="preserve"> : une interface React et une base de données Supabase, tout en </w:t>
      </w:r>
      <w:r>
        <w:rPr>
          <w:b/>
        </w:rPr>
        <w:t>conservant le cœur métier</w:t>
      </w:r>
      <w:r>
        <w:t xml:space="preserve"> Python existant (extraction documentaire, génération de pièces) que j'ai encapsulé derrière une API. Du point de vue des données, j'ai conçu le modèle Supabase (clients, dossiers, documents, événements, notifications), mis en place le stockage des fichiers entrants et sortants, et défini la sécurité par RLS. Le cœur métier que j'ai intégré c</w:t>
      </w:r>
      <w:r>
        <w:t xml:space="preserve">omporte un </w:t>
      </w:r>
      <w:r>
        <w:rPr>
          <w:b/>
        </w:rPr>
        <w:t>pipeline d'extraction</w:t>
      </w:r>
      <w:r>
        <w:t xml:space="preserve"> intéressant : il lit des certificats énergétiques et des factures, en extrait des données structurées au moyen de modèles de langage avec une stratégie de </w:t>
      </w:r>
      <w:r>
        <w:rPr>
          <w:b/>
        </w:rPr>
        <w:t>repli en cascade</w:t>
      </w:r>
      <w:r>
        <w:t xml:space="preserve"> entre plusieurs fournisseurs (si l'un échoue, un autre prend le </w:t>
      </w:r>
      <w:r>
        <w:lastRenderedPageBreak/>
        <w:t xml:space="preserve">relais), puis calcule des grandeurs techniques et </w:t>
      </w:r>
      <w:r>
        <w:rPr>
          <w:b/>
        </w:rPr>
        <w:t>génère automatiquement les pièces administratives</w:t>
      </w:r>
      <w:r>
        <w:t xml:space="preserve"> du dossier.</w:t>
      </w:r>
    </w:p>
    <w:p w14:paraId="6D26F01D" w14:textId="77777777" w:rsidR="0086253D" w:rsidRDefault="00E37A94">
      <w:r>
        <w:t xml:space="preserve">Le pipeline d'extraction lui-même mérite d'être décrit, car il est un bon exemple de transformation de données hétérogènes en information structurée. À partir de documents d'entrée variés (certificats énergétiques avant et après travaux, captures d'un logiciel de calcul thermique, factures, pièces d'identité, photos de chantier), il produit automatiquement les </w:t>
      </w:r>
      <w:r>
        <w:rPr>
          <w:b/>
        </w:rPr>
        <w:t>pièces administratives normalisées</w:t>
      </w:r>
      <w:r>
        <w:t xml:space="preserve"> du dossier de financement, organisées en une arborescence de dossiers standardisée et exportées prêtes à l'emploi. Entre l'entrée et la sortie, il calcule des grandeurs techniques (surfaces, transmittances thermiques, énergie économisée, coordonnées géographiques par géocodage de l'adresse) et adapte les pièces produites au délégataire concerné, chacun ayant ses propres modèles. C'est, à petite échelle, une chaîne complète d'</w:t>
      </w:r>
      <w:r>
        <w:rPr>
          <w:b/>
        </w:rPr>
        <w:t>extraction, transformation et restitution</w:t>
      </w:r>
      <w:r>
        <w:t xml:space="preserve"> de don</w:t>
      </w:r>
      <w:r>
        <w:t>nées.</w:t>
      </w:r>
    </w:p>
    <w:p w14:paraId="09D675EF" w14:textId="77777777" w:rsidR="0086253D" w:rsidRDefault="00E37A94">
      <w:r>
        <w:rPr>
          <w:b/>
        </w:rPr>
        <w:t>Le bilan.</w:t>
      </w:r>
      <w:r>
        <w:t xml:space="preserve"> Cette mission illustre une compétence clé du parcours : faire passer une donnée d'un état « prototype » (fichiers locaux, traitement jetable) à un état « produit » (base relationnelle, stockage cloud, sécurité, historique). La principale difficulté a été la </w:t>
      </w:r>
      <w:r>
        <w:rPr>
          <w:b/>
        </w:rPr>
        <w:t>cohabitation</w:t>
      </w:r>
      <w:r>
        <w:t xml:space="preserve"> entre un code pensé pour des fichiers locaux et un flux passant désormais par un stockage distant, ainsi que la gestion des </w:t>
      </w:r>
      <w:r>
        <w:rPr>
          <w:b/>
        </w:rPr>
        <w:t>caractères accentués</w:t>
      </w:r>
      <w:r>
        <w:t xml:space="preserve"> dans les noms de fichiers, source d'erreurs côté stockage. La robustesse de l'extraction reposa</w:t>
      </w:r>
      <w:r>
        <w:t xml:space="preserve">it par ailleurs sur une stratégie de </w:t>
      </w:r>
      <w:r>
        <w:rPr>
          <w:b/>
        </w:rPr>
        <w:t>repli en cascade</w:t>
      </w:r>
      <w:r>
        <w:t xml:space="preserve"> entre plusieurs modèles : aucun n'étant fiable à 100 % sur la lecture de documents, l'échec de l'un déclenchait le recours à un autre, ce qui améliorait sensiblement le taux de réussite global.</w:t>
      </w:r>
    </w:p>
    <w:p w14:paraId="03770CCC" w14:textId="77777777" w:rsidR="0086253D" w:rsidRDefault="00E37A94">
      <w:pPr>
        <w:pStyle w:val="Heading2"/>
        <w:spacing w:before="280" w:after="120"/>
        <w:jc w:val="left"/>
      </w:pPr>
      <w:bookmarkStart w:id="29" w:name="_Toc232355565"/>
      <w:r>
        <w:rPr>
          <w:rFonts w:ascii="Calibri" w:hAnsi="Calibri"/>
          <w:color w:val="C0122F"/>
          <w:sz w:val="28"/>
        </w:rPr>
        <w:t>4.3 Audio-extractor : transformer un appel en données exploitables</w:t>
      </w:r>
      <w:bookmarkEnd w:id="29"/>
    </w:p>
    <w:p w14:paraId="09329FB7" w14:textId="77777777" w:rsidR="0086253D" w:rsidRDefault="00E37A94">
      <w:r>
        <w:rPr>
          <w:b/>
        </w:rPr>
        <w:t>Le besoin.</w:t>
      </w:r>
      <w:r>
        <w:t xml:space="preserve"> À partir d'enregistrements d'appels commerciaux, il s'agissait de produire des </w:t>
      </w:r>
      <w:r>
        <w:rPr>
          <w:b/>
        </w:rPr>
        <w:t>informations structurées</w:t>
      </w:r>
      <w:r>
        <w:t xml:space="preserve"> réutilisables dans un CRM (objet de l'appel, objection, prochaine étape, etc.). C'est un cas typique de transformation d'une donnée non structurée (l'audio) en données exploitables.</w:t>
      </w:r>
    </w:p>
    <w:p w14:paraId="7625EC65" w14:textId="77777777" w:rsidR="0086253D" w:rsidRDefault="00E37A94">
      <w:r>
        <w:rPr>
          <w:b/>
        </w:rPr>
        <w:t>Ce que j'ai réalisé.</w:t>
      </w:r>
      <w:r>
        <w:t xml:space="preserve"> Au-delà de la transcription, j'ai développé un mode d'</w:t>
      </w:r>
      <w:r>
        <w:rPr>
          <w:b/>
        </w:rPr>
        <w:t>extraction « intelligent »</w:t>
      </w:r>
      <w:r>
        <w:t xml:space="preserve"> : l'utilisateur décrit en langage naturel ce qu'il souhaite obtenir, et le système génère lui-même la liste des champs à extraire avant de la remplir. J'ai également intégré la </w:t>
      </w:r>
      <w:r>
        <w:rPr>
          <w:b/>
        </w:rPr>
        <w:t>persistance en base</w:t>
      </w:r>
      <w:r>
        <w:t xml:space="preserve"> des extractions (avec un choix de confidentialité : ne stocker que le nom du fichier audio, pas son contenu) et une interface de test. Le bilan honnête est qu'il s'agit d'un </w:t>
      </w:r>
      <w:r>
        <w:rPr>
          <w:b/>
        </w:rPr>
        <w:t>prototype</w:t>
      </w:r>
      <w:r>
        <w:t xml:space="preserve"> : la gestion des traitements longs restait en mém</w:t>
      </w:r>
      <w:r>
        <w:t>oire, et les temps de traitement (de l'ordre d'une minute par appel) le réservaient à une validation de concept.</w:t>
      </w:r>
    </w:p>
    <w:p w14:paraId="27EAD262" w14:textId="77777777" w:rsidR="0086253D" w:rsidRDefault="00E37A94">
      <w:pPr>
        <w:pStyle w:val="Heading2"/>
        <w:spacing w:before="280" w:after="120"/>
        <w:jc w:val="left"/>
      </w:pPr>
      <w:bookmarkStart w:id="30" w:name="_Toc232355566"/>
      <w:r>
        <w:rPr>
          <w:rFonts w:ascii="Calibri" w:hAnsi="Calibri"/>
          <w:color w:val="C0122F"/>
          <w:sz w:val="28"/>
        </w:rPr>
        <w:t>4.4 Les bots WhatsApp : modéliser et sécuriser des données comptables</w:t>
      </w:r>
      <w:bookmarkEnd w:id="30"/>
    </w:p>
    <w:p w14:paraId="7695BE75" w14:textId="77777777" w:rsidR="0086253D" w:rsidRDefault="00E37A94">
      <w:r>
        <w:rPr>
          <w:b/>
        </w:rPr>
        <w:t>Le besoin.</w:t>
      </w:r>
      <w:r>
        <w:t xml:space="preserve"> Deux bots conversationnels sur WhatsApp ont été développés pour des indépendants : le premier pour </w:t>
      </w:r>
      <w:r>
        <w:rPr>
          <w:b/>
        </w:rPr>
        <w:t>émettre des factures</w:t>
      </w:r>
      <w:r>
        <w:t xml:space="preserve">, le second, qui lui a succédé, pour </w:t>
      </w:r>
      <w:r>
        <w:rPr>
          <w:b/>
        </w:rPr>
        <w:t>numériser des tickets et factures de dépenses</w:t>
      </w:r>
      <w:r>
        <w:t xml:space="preserve"> (l'utilisateur photographie un justificatif, le bot en extrait les données et les classe).</w:t>
      </w:r>
    </w:p>
    <w:p w14:paraId="69B88BEF" w14:textId="77777777" w:rsidR="0086253D" w:rsidRDefault="00E37A94">
      <w:r>
        <w:rPr>
          <w:b/>
        </w:rPr>
        <w:t>Ce que j'ai réalisé.</w:t>
      </w:r>
      <w:r>
        <w:t xml:space="preserve"> Mon apport, du point de vue données, a porté sur la </w:t>
      </w:r>
      <w:r>
        <w:rPr>
          <w:b/>
        </w:rPr>
        <w:t>modélisation Supabase</w:t>
      </w:r>
      <w:r>
        <w:t xml:space="preserve"> (profils, fournisseurs, dépenses, liens de partage), la </w:t>
      </w:r>
      <w:r>
        <w:rPr>
          <w:b/>
        </w:rPr>
        <w:t>sécurité</w:t>
      </w:r>
      <w:r>
        <w:t xml:space="preserve"> (RLS par utilisateur, politiques de stockage, limites de taille et de type de fichier), et la </w:t>
      </w:r>
      <w:r>
        <w:rPr>
          <w:b/>
        </w:rPr>
        <w:t>mise en production</w:t>
      </w:r>
      <w:r>
        <w:t xml:space="preserve"> sur Railway. J'ai aussi structuré l'extraction documentaire et la classification automatique des dépenses par catégorie. Ces projets, plus modestes, m'ont surtout exercé à concevoir un </w:t>
      </w:r>
      <w:r>
        <w:rPr>
          <w:b/>
        </w:rPr>
        <w:t>schéma relationnel propre</w:t>
      </w:r>
      <w:r>
        <w:t xml:space="preserve"> et une </w:t>
      </w:r>
      <w:r>
        <w:rPr>
          <w:b/>
        </w:rPr>
        <w:t>sécurité d'accès</w:t>
      </w:r>
      <w:r>
        <w:t xml:space="preserve"> dès la conception, sur u</w:t>
      </w:r>
      <w:r>
        <w:t>n périmètre que je maîtrisais de bout en bout.</w:t>
      </w:r>
    </w:p>
    <w:p w14:paraId="67DD2C5C" w14:textId="77777777" w:rsidR="0086253D" w:rsidRDefault="00E37A94">
      <w:pPr>
        <w:pStyle w:val="Heading2"/>
        <w:spacing w:before="280" w:after="120"/>
        <w:jc w:val="left"/>
      </w:pPr>
      <w:bookmarkStart w:id="31" w:name="_Toc232355567"/>
      <w:r>
        <w:rPr>
          <w:rFonts w:ascii="Calibri" w:hAnsi="Calibri"/>
          <w:color w:val="C0122F"/>
          <w:sz w:val="28"/>
        </w:rPr>
        <w:lastRenderedPageBreak/>
        <w:t>4.5 RDE et Régie : audit de sécurité et données foncières</w:t>
      </w:r>
      <w:bookmarkEnd w:id="31"/>
    </w:p>
    <w:p w14:paraId="2AFBABC7" w14:textId="77777777" w:rsidR="0086253D" w:rsidRDefault="00E37A94">
      <w:r>
        <w:rPr>
          <w:b/>
        </w:rPr>
        <w:t>Le besoin.</w:t>
      </w:r>
      <w:r>
        <w:t xml:space="preserve"> Ces deux CRM commerciaux, apparentés à AQI, m'ont donné l'occasion de travailler la donnée sous deux angles complémentaires. Le CRM </w:t>
      </w:r>
      <w:r>
        <w:rPr>
          <w:b/>
        </w:rPr>
        <w:t>Régie</w:t>
      </w:r>
      <w:r>
        <w:t xml:space="preserve"> est un véritable </w:t>
      </w:r>
      <w:r>
        <w:rPr>
          <w:b/>
        </w:rPr>
        <w:t>petit entrepôt de données foncières</w:t>
      </w:r>
      <w:r>
        <w:t xml:space="preserve"> : il enrichit des prospects à partir de sept sources publiques (registres d'entreprises, cadastre, base nationale des bâtiments, données de valeurs foncières) pour estimer un potentiel de travaux. Le CRM </w:t>
      </w:r>
      <w:r>
        <w:rPr>
          <w:b/>
        </w:rPr>
        <w:t>RDE</w:t>
      </w:r>
      <w:r>
        <w:t xml:space="preserve"> couvre, lui, tout le cycle commercial (clients, affaires, devis, factures) avec une modélisation très riche du b</w:t>
      </w:r>
      <w:r>
        <w:t>ien et de son éligibilité CEE.</w:t>
      </w:r>
    </w:p>
    <w:p w14:paraId="13F9A96B" w14:textId="77777777" w:rsidR="0086253D" w:rsidRDefault="00E37A94">
      <w:r>
        <w:rPr>
          <w:b/>
        </w:rPr>
        <w:t>Ce que j'ai réalisé.</w:t>
      </w:r>
      <w:r>
        <w:t xml:space="preserve"> Sur Régie, ma contribution principale a été un </w:t>
      </w:r>
      <w:r>
        <w:rPr>
          <w:b/>
        </w:rPr>
        <w:t>audit de sécurité des données</w:t>
      </w:r>
      <w:r>
        <w:t xml:space="preserve"> : j'ai analysé le modèle et constaté que les politiques RLS n'étaient pas versionnées et qu'une table de prospects ne portait pas d'identifiant de propriétaire, créant un risque de fuite entre utilisateurs ; j'ai produit une matrice de recommandations pour y remédier. Ce travail d'audit a aussi servi de </w:t>
      </w:r>
      <w:r>
        <w:rPr>
          <w:b/>
        </w:rPr>
        <w:t>source de bonnes pratiques</w:t>
      </w:r>
      <w:r>
        <w:t xml:space="preserve"> réutilisées ensuite sur AQI. Sur RDE, j'ai livré des évolutions plus directement fonctionnelles pilotées par les retours du client, dont un </w:t>
      </w:r>
      <w:r>
        <w:rPr>
          <w:b/>
        </w:rPr>
        <w:t>moteur de règles d'éligibilité CEE</w:t>
      </w:r>
      <w:r>
        <w:t>, une</w:t>
      </w:r>
      <w:r>
        <w:t xml:space="preserve"> modélisation du bien distinguant </w:t>
      </w:r>
      <w:r>
        <w:rPr>
          <w:b/>
        </w:rPr>
        <w:t>état actuel et état projeté</w:t>
      </w:r>
      <w:r>
        <w:t xml:space="preserve"> après travaux, et la correction d'un </w:t>
      </w:r>
      <w:r>
        <w:rPr>
          <w:b/>
        </w:rPr>
        <w:t>bug de calcul de marge</w:t>
      </w:r>
      <w:r>
        <w:t xml:space="preserve"> dont la définition différait dans plusieurs parties du code — un cas typique d'</w:t>
      </w:r>
      <w:r>
        <w:rPr>
          <w:b/>
        </w:rPr>
        <w:t>incohérence de données</w:t>
      </w:r>
      <w:r>
        <w:t xml:space="preserve"> à réconcilier.</w:t>
      </w:r>
    </w:p>
    <w:p w14:paraId="6BE52338" w14:textId="77777777" w:rsidR="0086253D" w:rsidRDefault="00E37A94">
      <w:r>
        <w:t xml:space="preserve">Deux réalisations sur RDE méritent un mot de plus, car elles sont représentatives d'un travail de fond sur la donnée. La modélisation </w:t>
      </w:r>
      <w:r>
        <w:rPr>
          <w:b/>
        </w:rPr>
        <w:t>état actuel / état projeté</w:t>
      </w:r>
      <w:r>
        <w:t xml:space="preserve"> du bien consiste à stocker, pour un même bâtiment, ses caractéristiques avant travaux et leur projection après travaux : c'est indispensable pour calculer un gain énergétique, mais cela double le nombre de champs et impose une discipline pour ne pas confondre les deux états. Le </w:t>
      </w:r>
      <w:r>
        <w:rPr>
          <w:b/>
        </w:rPr>
        <w:t>moteur de règles d'éligibilité</w:t>
      </w:r>
      <w:r>
        <w:t>, lui, traduit en code une partie de la réglementation CEE : une série de conditions techniques détermine si un bien est éligible à une fiche donnée, avec un mode « souple » où</w:t>
      </w:r>
      <w:r>
        <w:t xml:space="preserve"> un critère non renseigné produit un avertissement plutôt qu'un blocage — un compromis pragmatique entre rigueur réglementaire et réalité d'une saisie incomplète.</w:t>
      </w:r>
    </w:p>
    <w:p w14:paraId="508501C5" w14:textId="77777777" w:rsidR="0086253D" w:rsidRDefault="00E37A94">
      <w:r>
        <w:t xml:space="preserve">Quant au </w:t>
      </w:r>
      <w:r>
        <w:rPr>
          <w:b/>
        </w:rPr>
        <w:t>bug de calcul de marge</w:t>
      </w:r>
      <w:r>
        <w:t xml:space="preserve">, il est exemplaire d'un problème d'administration des données plus que de programmation : la même grandeur métier (la marge d'une affaire) était définie de trois façons différentes dans trois parties du code. Le corriger n'a pas seulement consisté à réparer une formule, mais à </w:t>
      </w:r>
      <w:r>
        <w:rPr>
          <w:b/>
        </w:rPr>
        <w:t>réconcilier une définition unique</w:t>
      </w:r>
      <w:r>
        <w:t xml:space="preserve"> et à la rendre cohérente partout — exactement le type de travail qui garantit que les chiffres affichés à l'utilisateur veulent dire la même chose d'un écran à l'autre.</w:t>
      </w:r>
    </w:p>
    <w:p w14:paraId="19A1C819" w14:textId="77777777" w:rsidR="0086253D" w:rsidRDefault="00E37A94">
      <w:r>
        <w:rPr>
          <w:b/>
        </w:rPr>
        <w:t>Le bilan.</w:t>
      </w:r>
      <w:r>
        <w:t xml:space="preserve"> Ces missions montrent que l'administration des données ne se limite pas à migrer : elle inclut </w:t>
      </w:r>
      <w:r>
        <w:rPr>
          <w:b/>
        </w:rPr>
        <w:t>auditer</w:t>
      </w:r>
      <w:r>
        <w:t xml:space="preserve"> la sécurité d'un système existant, </w:t>
      </w:r>
      <w:r>
        <w:rPr>
          <w:b/>
        </w:rPr>
        <w:t>modéliser</w:t>
      </w:r>
      <w:r>
        <w:t xml:space="preserve"> des données externes hétérogènes, et </w:t>
      </w:r>
      <w:r>
        <w:rPr>
          <w:b/>
        </w:rPr>
        <w:t>garantir la cohérence</w:t>
      </w:r>
      <w:r>
        <w:t xml:space="preserve"> des règles de calcul. Elles ont aussi mis en évidence un atout de l'écosystème : la </w:t>
      </w:r>
      <w:r>
        <w:rPr>
          <w:b/>
        </w:rPr>
        <w:t>réutilisation</w:t>
      </w:r>
      <w:r>
        <w:t xml:space="preserve"> d'un projet à l'autre, qui permet de capitaliser les bonnes pratiques mais demande de la rigueur pour ne pas propager les mêmes faiblesses.</w:t>
      </w:r>
    </w:p>
    <w:p w14:paraId="6E861F47" w14:textId="77777777" w:rsidR="0086253D" w:rsidRDefault="00E37A94">
      <w:pPr>
        <w:pStyle w:val="Heading2"/>
        <w:spacing w:before="280" w:after="120"/>
        <w:jc w:val="left"/>
      </w:pPr>
      <w:bookmarkStart w:id="32" w:name="_Toc232355568"/>
      <w:r>
        <w:rPr>
          <w:rFonts w:ascii="Calibri" w:hAnsi="Calibri"/>
          <w:color w:val="C0122F"/>
          <w:sz w:val="28"/>
        </w:rPr>
        <w:t>4.6 Un enseignement commun : la donnée comme fil conducteur</w:t>
      </w:r>
      <w:bookmarkEnd w:id="32"/>
    </w:p>
    <w:p w14:paraId="2A6AC97A" w14:textId="77777777" w:rsidR="0086253D" w:rsidRDefault="00E37A94">
      <w:r>
        <w:t xml:space="preserve">Prises ensemble, ces missions secondaires dessinent une cohérence que je n'avais pas perçue sur le moment. Qu'il s'agisse d'indexer des profils, d'extraire des informations d'un appel ou d'un ticket, de modéliser des dépenses ou d'auditer un cloisonnement, </w:t>
      </w:r>
      <w:r>
        <w:rPr>
          <w:b/>
        </w:rPr>
        <w:t>le fil conducteur a toujours été la donnée</w:t>
      </w:r>
      <w:r>
        <w:t xml:space="preserve"> : la collecter, la structurer, en garantir la qualité et en maîtriser l'accès. Cette diversité de contextes — recherche sémantique, extraction documentaire, comptabilité, prospection foncière — m'a fait toucher du doigt que les compétences d'administration des données sont </w:t>
      </w:r>
      <w:r>
        <w:rPr>
          <w:b/>
        </w:rPr>
        <w:t>transversales</w:t>
      </w:r>
      <w:r>
        <w:t xml:space="preserve"> : les mêmes </w:t>
      </w:r>
      <w:r>
        <w:lastRenderedPageBreak/>
        <w:t>réflexes (modéliser proprement, sécuriser dès la conception, vérifier l'intégrité) s'appliquent quel que soit le domaine métier. C'est peut-être l'apport le plus durable</w:t>
      </w:r>
      <w:r>
        <w:t xml:space="preserve"> de cette variété de petits projets, au-delà du projet phare.</w:t>
      </w:r>
    </w:p>
    <w:p w14:paraId="5DC00956" w14:textId="77777777" w:rsidR="0086253D" w:rsidRDefault="00E37A94">
      <w:r>
        <w:br w:type="page"/>
      </w:r>
    </w:p>
    <w:p w14:paraId="2B33150A" w14:textId="77777777" w:rsidR="0086253D" w:rsidRDefault="00E37A94">
      <w:pPr>
        <w:pStyle w:val="Heading1"/>
        <w:pBdr>
          <w:bottom w:val="single" w:sz="6" w:space="4" w:color="C0122F"/>
        </w:pBdr>
        <w:spacing w:before="360" w:after="120"/>
        <w:jc w:val="left"/>
      </w:pPr>
      <w:bookmarkStart w:id="33" w:name="_Toc232355569"/>
      <w:r>
        <w:rPr>
          <w:rFonts w:ascii="Calibri" w:hAnsi="Calibri"/>
          <w:color w:val="C0122F"/>
          <w:sz w:val="36"/>
        </w:rPr>
        <w:lastRenderedPageBreak/>
        <w:t>5. Analyse critique</w:t>
      </w:r>
      <w:bookmarkEnd w:id="33"/>
    </w:p>
    <w:p w14:paraId="61BAF094" w14:textId="77777777" w:rsidR="0086253D" w:rsidRDefault="00E37A94">
      <w:pPr>
        <w:pStyle w:val="Heading2"/>
        <w:spacing w:before="280" w:after="120"/>
        <w:jc w:val="left"/>
      </w:pPr>
      <w:bookmarkStart w:id="34" w:name="_Toc232355570"/>
      <w:r>
        <w:rPr>
          <w:rFonts w:ascii="Calibri" w:hAnsi="Calibri"/>
          <w:color w:val="C0122F"/>
          <w:sz w:val="28"/>
        </w:rPr>
        <w:t>5.1 Les limites de ce qui a été réalisé</w:t>
      </w:r>
      <w:bookmarkEnd w:id="34"/>
    </w:p>
    <w:p w14:paraId="5BAC56B3" w14:textId="77777777" w:rsidR="0086253D" w:rsidRDefault="00E37A94">
      <w:r>
        <w:t>Le recul critique fait partie intégrante de l'évaluation d'un travail d'ingénierie. Plusieurs limites doivent être assumées.</w:t>
      </w:r>
    </w:p>
    <w:p w14:paraId="7D86F14F" w14:textId="77777777" w:rsidR="0086253D" w:rsidRDefault="00E37A94">
      <w:pPr>
        <w:pStyle w:val="ListBullet"/>
        <w:spacing w:after="40"/>
        <w:ind w:left="340"/>
      </w:pPr>
      <w:r>
        <w:rPr>
          <w:b/>
        </w:rPr>
        <w:t>Une industrialisation incomplète.</w:t>
      </w:r>
      <w:r>
        <w:t xml:space="preserve"> Les migrations de schéma étaient appliquées </w:t>
      </w:r>
      <w:r>
        <w:rPr>
          <w:b/>
        </w:rPr>
        <w:t>manuellement</w:t>
      </w:r>
      <w:r>
        <w:t xml:space="preserve"> dans l'éditeur de production. Ce choix, sûr car il force la relecture, a un revers : il a laissé subsister un historique de </w:t>
      </w:r>
      <w:r>
        <w:rPr>
          <w:b/>
        </w:rPr>
        <w:t>migrations partiellement appliquées</w:t>
      </w:r>
      <w:r>
        <w:t xml:space="preserve"> sur certaines bases (le code de structure passait, mais des données d'amorçage ou des contraintes étaient parfois oubliées), source de bugs trompeurs. Une version 2 devrait adopter un </w:t>
      </w:r>
      <w:r>
        <w:rPr>
          <w:b/>
        </w:rPr>
        <w:t>gestionnaire de migrations</w:t>
      </w:r>
      <w:r>
        <w:t xml:space="preserve"> maintenant un état fiable en base.</w:t>
      </w:r>
    </w:p>
    <w:p w14:paraId="3CE44D33" w14:textId="77777777" w:rsidR="0086253D" w:rsidRDefault="00E37A94">
      <w:pPr>
        <w:pStyle w:val="ListBullet"/>
        <w:spacing w:after="40"/>
        <w:ind w:left="340"/>
      </w:pPr>
      <w:r>
        <w:rPr>
          <w:b/>
        </w:rPr>
        <w:t>L'absence de tests automatisés et d'intégration continue.</w:t>
      </w:r>
      <w:r>
        <w:t xml:space="preserve"> La recette restait manuelle. Les opérations les plus critiques — politiques de sécurité, fonctions d'intégration — n'étaient pas couvertes par des tests automatiques, ce qui les rendait vulnérables à une régression silencieuse, exactement le type d'incident décrit en 3.7.</w:t>
      </w:r>
    </w:p>
    <w:p w14:paraId="1D726DC7" w14:textId="77777777" w:rsidR="0086253D" w:rsidRDefault="00E37A94">
      <w:pPr>
        <w:pStyle w:val="ListBullet"/>
        <w:spacing w:after="40"/>
        <w:ind w:left="340"/>
      </w:pPr>
      <w:r>
        <w:rPr>
          <w:b/>
        </w:rPr>
        <w:t>Une intégration entre CRM construite incrémentalement.</w:t>
      </w:r>
      <w:r>
        <w:t xml:space="preserve"> La synchronisation AQI ↔ E3S fonctionne, mais son contrat d'interface s'est constitué au fil des besoins plutôt que sur une spécification formelle. Certaines informations transmises ne sont pas exploitées, et l'appariement par position des biens est fragile. Un </w:t>
      </w:r>
      <w:r>
        <w:rPr>
          <w:b/>
        </w:rPr>
        <w:t>contrat d'API documenté et versionné</w:t>
      </w:r>
      <w:r>
        <w:t xml:space="preserve"> serait la première amélioration à apporter.</w:t>
      </w:r>
    </w:p>
    <w:p w14:paraId="49EA3360" w14:textId="77777777" w:rsidR="0086253D" w:rsidRDefault="00E37A94">
      <w:pPr>
        <w:pStyle w:val="ListBullet"/>
        <w:spacing w:after="40"/>
        <w:ind w:left="340"/>
      </w:pPr>
      <w:r>
        <w:rPr>
          <w:b/>
        </w:rPr>
        <w:t>Une protection des données personnelles perfectible.</w:t>
      </w:r>
      <w:r>
        <w:t xml:space="preserve"> Les bases contiennent des données personnelles réelles de clients finaux, sans </w:t>
      </w:r>
      <w:r>
        <w:rPr>
          <w:b/>
        </w:rPr>
        <w:t>anonymisation</w:t>
      </w:r>
      <w:r>
        <w:t xml:space="preserve"> systématique. Au regard du RGPD, c'est un point qui mériterait un traitement dédié (minimisation, anonymisation des environnements de test, gestion des durées de conservation).</w:t>
      </w:r>
    </w:p>
    <w:p w14:paraId="38C1B9AD" w14:textId="77777777" w:rsidR="0086253D" w:rsidRDefault="00E37A94">
      <w:pPr>
        <w:pStyle w:val="ListBullet"/>
        <w:spacing w:after="40"/>
        <w:ind w:left="340"/>
      </w:pPr>
      <w:r>
        <w:rPr>
          <w:b/>
        </w:rPr>
        <w:t>Un nettoyage de données non terminé.</w:t>
      </w:r>
      <w:r>
        <w:t xml:space="preserve"> La déduplication a traité automatiquement les cas sûrs, mais a laissé un reliquat de cas ambigus à l'arbitrage humain. Ce reste est assumé : automatiser une fusion incertaine aurait été plus dangereux que de la laisser en attente.</w:t>
      </w:r>
    </w:p>
    <w:p w14:paraId="7AFCE67B" w14:textId="77777777" w:rsidR="0086253D" w:rsidRDefault="00E37A94">
      <w:pPr>
        <w:pStyle w:val="Heading2"/>
        <w:spacing w:before="280" w:after="120"/>
        <w:jc w:val="left"/>
      </w:pPr>
      <w:bookmarkStart w:id="35" w:name="_Toc232355571"/>
      <w:r>
        <w:rPr>
          <w:rFonts w:ascii="Calibri" w:hAnsi="Calibri"/>
          <w:color w:val="C0122F"/>
          <w:sz w:val="28"/>
        </w:rPr>
        <w:t>5.2 Les difficultés transverses et ce qu'elles m'ont appris</w:t>
      </w:r>
      <w:bookmarkEnd w:id="35"/>
    </w:p>
    <w:p w14:paraId="5322E535" w14:textId="77777777" w:rsidR="0086253D" w:rsidRDefault="00E37A94">
      <w:r>
        <w:t>Plusieurs difficultés se sont répétées d'un projet à l'autre et constituent, rétrospectivement, le véritable apprentissage du stage.</w:t>
      </w:r>
    </w:p>
    <w:p w14:paraId="7CC00B13" w14:textId="77777777" w:rsidR="0086253D" w:rsidRDefault="00E37A94">
      <w:r>
        <w:t xml:space="preserve">D'abord, </w:t>
      </w:r>
      <w:r>
        <w:rPr>
          <w:b/>
        </w:rPr>
        <w:t>travailler sur des systèmes vivants change tout</w:t>
      </w:r>
      <w:r>
        <w:t>. On ne peut pas « tout reprendre proprement » : il faut composer avec l'existant, des données imparfaites et des utilisateurs en attente. La prudence (sauvegardes, étapes additives, idempotence) n'est pas une précaution facultative mais la condition même de l'action.</w:t>
      </w:r>
    </w:p>
    <w:p w14:paraId="6E75DC86" w14:textId="77777777" w:rsidR="0086253D" w:rsidRDefault="00E37A94">
      <w:r>
        <w:t xml:space="preserve">Ensuite, </w:t>
      </w:r>
      <w:r>
        <w:rPr>
          <w:b/>
        </w:rPr>
        <w:t>la donnée ment moins que le code, mais il faut savoir l'interroger</w:t>
      </w:r>
      <w:r>
        <w:t>. Plusieurs incidents (régies aveugles, faux négatif de lecture) m'ont appris à diagnostiquer d'abord la donnée réelle plutôt qu'à supposer un bug logique. Inspecter un enregistrement, compter, comparer, sont des gestes plus fiables que les hypothèses.</w:t>
      </w:r>
    </w:p>
    <w:p w14:paraId="3A99EE00" w14:textId="77777777" w:rsidR="0086253D" w:rsidRDefault="00E37A94">
      <w:r>
        <w:t xml:space="preserve">Enfin, </w:t>
      </w:r>
      <w:r>
        <w:rPr>
          <w:b/>
        </w:rPr>
        <w:t>la sécurité se joue dans les détails d'implémentation</w:t>
      </w:r>
      <w:r>
        <w:t>. Une option oubliée sur une vue suffit à ouvrir une fuite. D'où la conviction, acquise sur le terrain, qu'un changement structurel doit toujours être suivi d'un contrôle de ses effets de bord.</w:t>
      </w:r>
    </w:p>
    <w:p w14:paraId="3E4C5070" w14:textId="77777777" w:rsidR="0086253D" w:rsidRDefault="00E37A94">
      <w:pPr>
        <w:pStyle w:val="Heading2"/>
        <w:spacing w:before="280" w:after="120"/>
        <w:jc w:val="left"/>
      </w:pPr>
      <w:bookmarkStart w:id="36" w:name="_Toc232355572"/>
      <w:r>
        <w:rPr>
          <w:rFonts w:ascii="Calibri" w:hAnsi="Calibri"/>
          <w:color w:val="C0122F"/>
          <w:sz w:val="28"/>
        </w:rPr>
        <w:lastRenderedPageBreak/>
        <w:t>5.3 Réflexion sur la qualité, la sécurité et la maintenabilité</w:t>
      </w:r>
      <w:bookmarkEnd w:id="36"/>
    </w:p>
    <w:p w14:paraId="10B6BBBF" w14:textId="77777777" w:rsidR="0086253D" w:rsidRDefault="00E37A94">
      <w:r>
        <w:t xml:space="preserve">Le chantier AQI / E3S était techniquement réussi sur le plan fonctionnel, mais il révèle une tension classique entre </w:t>
      </w:r>
      <w:r>
        <w:rPr>
          <w:b/>
        </w:rPr>
        <w:t>vitesse de livraison</w:t>
      </w:r>
      <w:r>
        <w:t xml:space="preserve"> et </w:t>
      </w:r>
      <w:r>
        <w:rPr>
          <w:b/>
        </w:rPr>
        <w:t>dette technique</w:t>
      </w:r>
      <w:r>
        <w:t xml:space="preserve">. Répondre vite aux besoins du client et opérer en production a parfois conduit à des solutions pragmatiques (procédures recopiées, contrats implicites) qui pèsent ensuite sur la maintenabilité. La </w:t>
      </w:r>
      <w:r>
        <w:rPr>
          <w:b/>
        </w:rPr>
        <w:t>qualité</w:t>
      </w:r>
      <w:r>
        <w:t xml:space="preserve"> des données, elle, a été correctement traitée (idempotence, contrôles, déduplication non destructive), mais reposait largement sur des </w:t>
      </w:r>
      <w:r>
        <w:rPr>
          <w:b/>
        </w:rPr>
        <w:t>vérifications manuelles</w:t>
      </w:r>
      <w:r>
        <w:t xml:space="preserve"> que seul un dispositif de tests automatisés pourrait pérenniser. Quant à la </w:t>
      </w:r>
      <w:r>
        <w:rPr>
          <w:b/>
        </w:rPr>
        <w:t>sécurité</w:t>
      </w:r>
      <w:r>
        <w:t>, le modèle RLS est soli</w:t>
      </w:r>
      <w:r>
        <w:t>de dans son principe, mais sa robustesse dépend de la discipline appliquée à chaque migration — ce qui plaide, là encore, pour de l'outillage automatique.</w:t>
      </w:r>
    </w:p>
    <w:p w14:paraId="4D4D46CF" w14:textId="77777777" w:rsidR="0086253D" w:rsidRDefault="00E37A94">
      <w:pPr>
        <w:pStyle w:val="Heading2"/>
        <w:spacing w:before="280" w:after="120"/>
        <w:jc w:val="left"/>
      </w:pPr>
      <w:bookmarkStart w:id="37" w:name="_Toc232355573"/>
      <w:r>
        <w:rPr>
          <w:rFonts w:ascii="Calibri" w:hAnsi="Calibri"/>
          <w:color w:val="C0122F"/>
          <w:sz w:val="28"/>
        </w:rPr>
        <w:t>5.4 Perspectives</w:t>
      </w:r>
      <w:bookmarkEnd w:id="37"/>
    </w:p>
    <w:p w14:paraId="28A2446C" w14:textId="77777777" w:rsidR="0086253D" w:rsidRDefault="00E37A94">
      <w:r>
        <w:t xml:space="preserve">Si le travail devait se poursuivre, je hiérarchiserais ainsi les chantiers : d'abord, </w:t>
      </w:r>
      <w:r>
        <w:rPr>
          <w:b/>
        </w:rPr>
        <w:t>automatiser et fiabiliser les migrations</w:t>
      </w:r>
      <w:r>
        <w:t xml:space="preserve"> (gestionnaire d'état, tests sur la sécurité et les fonctions d'intégration) ; ensuite, </w:t>
      </w:r>
      <w:r>
        <w:rPr>
          <w:b/>
        </w:rPr>
        <w:t>formaliser le contrat d'API</w:t>
      </w:r>
      <w:r>
        <w:t xml:space="preserve"> entre AQI et E3S et fiabiliser l'appariement des entités par identifiant stable ; enfin, </w:t>
      </w:r>
      <w:r>
        <w:rPr>
          <w:b/>
        </w:rPr>
        <w:t>traiter la dimension RGPD</w:t>
      </w:r>
      <w:r>
        <w:t xml:space="preserve"> (anonymisation des environnements non productifs, politique de conservation). Ces perspectives sont réalistes : elles ne remettent pas en cause l'architecture, mais consolident ce qui a été construit dans l'urgence opérationnelle.</w:t>
      </w:r>
    </w:p>
    <w:p w14:paraId="7427B92D" w14:textId="77777777" w:rsidR="0086253D" w:rsidRDefault="00E37A94">
      <w:pPr>
        <w:pStyle w:val="Heading2"/>
        <w:spacing w:before="280" w:after="120"/>
        <w:jc w:val="left"/>
      </w:pPr>
      <w:bookmarkStart w:id="38" w:name="_Toc232355574"/>
      <w:r>
        <w:rPr>
          <w:rFonts w:ascii="Calibri" w:hAnsi="Calibri"/>
          <w:color w:val="C0122F"/>
          <w:sz w:val="28"/>
        </w:rPr>
        <w:t>5.5 Les compétences que j'ai développées</w:t>
      </w:r>
      <w:bookmarkEnd w:id="38"/>
    </w:p>
    <w:p w14:paraId="32F7DA4D" w14:textId="77777777" w:rsidR="0086253D" w:rsidRDefault="00E37A94">
      <w:r>
        <w:t>Au-delà du résultat technique, ce stage a fait progresser un ensemble de compétences que je peux maintenant nommer et illustrer.</w:t>
      </w:r>
    </w:p>
    <w:p w14:paraId="697E85A0" w14:textId="77777777" w:rsidR="0086253D" w:rsidRDefault="00E37A94">
      <w:pPr>
        <w:pStyle w:val="ListBullet"/>
        <w:spacing w:after="40"/>
        <w:ind w:left="340"/>
      </w:pPr>
      <w:r>
        <w:rPr>
          <w:b/>
        </w:rPr>
        <w:t>Concevoir et exploiter une base de données.</w:t>
      </w:r>
      <w:r>
        <w:t xml:space="preserve"> J'ai travaillé un modèle relationnel riche (de l'ordre de 45 tables), conçu des vues, des index de recherche, et écrit un grand nombre de migrations et de requêtes d'analyse sur des volumes réels. J'ai appris à raisonner en termes de performance (éviter un tri coûteux, indexer le bon champ) et d'intégrité (clés stables, contraintes, idempotence).</w:t>
      </w:r>
    </w:p>
    <w:p w14:paraId="35D93A2B" w14:textId="77777777" w:rsidR="0086253D" w:rsidRDefault="00E37A94">
      <w:pPr>
        <w:pStyle w:val="ListBullet"/>
        <w:spacing w:after="40"/>
        <w:ind w:left="340"/>
      </w:pPr>
      <w:r>
        <w:rPr>
          <w:b/>
        </w:rPr>
        <w:t>Administrer la donnée dans la durée.</w:t>
      </w:r>
      <w:r>
        <w:t xml:space="preserve"> Migrer un historique, dédoublonner sans perte, réconcilier des données de référence, contrôler une intégrité bilatérale : ce sont des gestes d'administration de données que je n'avais abordés qu'en exercice et que j'ai ici pratiqués en production.</w:t>
      </w:r>
    </w:p>
    <w:p w14:paraId="699964CD" w14:textId="77777777" w:rsidR="0086253D" w:rsidRDefault="00E37A94">
      <w:pPr>
        <w:pStyle w:val="ListBullet"/>
        <w:spacing w:after="40"/>
        <w:ind w:left="340"/>
      </w:pPr>
      <w:r>
        <w:rPr>
          <w:b/>
        </w:rPr>
        <w:t>Sécuriser l'accès à l'information.</w:t>
      </w:r>
      <w:r>
        <w:t xml:space="preserve"> La mise en œuvre d'un cloisonnement multi-tenant par RLS, la gestion des rôles transverses et la résolution d'un incident de fuite m'ont donné une compréhension concrète de la sécurité au niveau de la base, et du fait qu'elle se joue dans les détails.</w:t>
      </w:r>
    </w:p>
    <w:p w14:paraId="3CBCFCDE" w14:textId="77777777" w:rsidR="0086253D" w:rsidRDefault="00E37A94">
      <w:pPr>
        <w:pStyle w:val="ListBullet"/>
        <w:spacing w:after="40"/>
        <w:ind w:left="340"/>
      </w:pPr>
      <w:r>
        <w:rPr>
          <w:b/>
        </w:rPr>
        <w:t>Travailler en environnement professionnel contraint.</w:t>
      </w:r>
      <w:r>
        <w:t xml:space="preserve"> J'ai appris à opérer sur des systèmes vivants, à coordonner des changements entre deux équipes/systèmes, à documenter mes décisions, et à composer avec un existant imparfait. La </w:t>
      </w:r>
      <w:r>
        <w:rPr>
          <w:b/>
        </w:rPr>
        <w:t>responsabilité</w:t>
      </w:r>
      <w:r>
        <w:t xml:space="preserve"> d'agir sur des données dont dépendaient quotidiennement deux cents personnes a sans doute été l'apprentissage humain le plus marquant.</w:t>
      </w:r>
    </w:p>
    <w:p w14:paraId="393D95CF" w14:textId="77777777" w:rsidR="0086253D" w:rsidRDefault="00E37A94">
      <w:pPr>
        <w:pStyle w:val="ListBullet"/>
        <w:spacing w:after="40"/>
        <w:ind w:left="340"/>
      </w:pPr>
      <w:r>
        <w:rPr>
          <w:b/>
        </w:rPr>
        <w:t>Diagnostiquer méthodiquement.</w:t>
      </w:r>
      <w:r>
        <w:t xml:space="preserve"> Chaque incident m'a appris un réflexe de diagnostic réutilisable (vérifier la donnée avant le code, inspecter un enregistrement réel, suspecter l'effet de bord d'une opération structurelle). Cette capacité à isoler une cause sur un système complexe est, à mes yeux, la compétence la plus précieuse acquise pendant ces trois mois.</w:t>
      </w:r>
    </w:p>
    <w:p w14:paraId="0AA8F2C8" w14:textId="77777777" w:rsidR="0086253D" w:rsidRDefault="00E37A94">
      <w:r>
        <w:t>Ces compétences recoupent directement les attendus du parcours « Administration des données » et constitueront le socle de ma soutenance de portfolio.</w:t>
      </w:r>
    </w:p>
    <w:p w14:paraId="0E768833" w14:textId="77777777" w:rsidR="0086253D" w:rsidRDefault="00E37A94">
      <w:r>
        <w:lastRenderedPageBreak/>
        <w:br w:type="page"/>
      </w:r>
    </w:p>
    <w:p w14:paraId="7453C013" w14:textId="77777777" w:rsidR="0086253D" w:rsidRDefault="00E37A94">
      <w:pPr>
        <w:pStyle w:val="Heading1"/>
        <w:pBdr>
          <w:bottom w:val="single" w:sz="6" w:space="4" w:color="C0122F"/>
        </w:pBdr>
        <w:spacing w:before="360" w:after="120"/>
        <w:jc w:val="left"/>
      </w:pPr>
      <w:bookmarkStart w:id="39" w:name="_Toc232355575"/>
      <w:r>
        <w:rPr>
          <w:rFonts w:ascii="Calibri" w:hAnsi="Calibri"/>
          <w:color w:val="C0122F"/>
          <w:sz w:val="36"/>
        </w:rPr>
        <w:lastRenderedPageBreak/>
        <w:t>Conclusion</w:t>
      </w:r>
      <w:bookmarkEnd w:id="39"/>
    </w:p>
    <w:p w14:paraId="4BFC97E8" w14:textId="77777777" w:rsidR="0086253D" w:rsidRDefault="00E37A94">
      <w:r>
        <w:t xml:space="preserve">Ce stage de fin d'études m'a confronté à un objectif concret et exigeant : </w:t>
      </w:r>
      <w:r>
        <w:rPr>
          <w:b/>
        </w:rPr>
        <w:t>administrer les données d'un écosystème de CRM métier en production</w:t>
      </w:r>
      <w:r>
        <w:t>, c'est-à-dire les migrer depuis un ancien système, les faire circuler entre deux applications, et en garantir la qualité comme la sécurité, sans jamais interrompre le service.</w:t>
      </w:r>
    </w:p>
    <w:p w14:paraId="345C74A0" w14:textId="77777777" w:rsidR="0086253D" w:rsidRDefault="00E37A94">
      <w:r>
        <w:t xml:space="preserve">Les </w:t>
      </w:r>
      <w:r>
        <w:rPr>
          <w:b/>
        </w:rPr>
        <w:t>objectifs initiaux ont été atteints</w:t>
      </w:r>
      <w:r>
        <w:t xml:space="preserve"> : l'historique a été importé dans AQI (plus de 16 000 enregistrements et une centaine de gigaoctets de documents) de façon idempotente et tolérante aux données imparfaites ; un lot tertiaire critique, dont la source avait disparu, a été migré sans aucune perte ; une synchronisation bidirectionnelle entre AQI et E3S a été mise en service ; la qualité des données a été améliorée par une déduplication non destructive et des contrôles d'intégrité bilatéraux ; et la sécurité d</w:t>
      </w:r>
      <w:r>
        <w:t>'accès a été assurée par un modèle de cloisonnement multi-tenant, jusqu'à la détection et la correction d'une fuite critique.</w:t>
      </w:r>
    </w:p>
    <w:p w14:paraId="59F2F3B1" w14:textId="77777777" w:rsidR="0086253D" w:rsidRDefault="00E37A94">
      <w:r>
        <w:t xml:space="preserve">Sur le plan </w:t>
      </w:r>
      <w:r>
        <w:rPr>
          <w:b/>
        </w:rPr>
        <w:t>professionnel</w:t>
      </w:r>
      <w:r>
        <w:t xml:space="preserve">, ce stage m'a appris ce que signifie réellement la </w:t>
      </w:r>
      <w:r>
        <w:rPr>
          <w:b/>
        </w:rPr>
        <w:t>responsabilité</w:t>
      </w:r>
      <w:r>
        <w:t xml:space="preserve"> : opérer sur des bases dont dépendaient quotidiennement de l'ordre de deux cents utilisateurs change le rapport au risque et impose une rigueur de méthode — sauvegarder, rendre rejouable, prouver. J'ai gagné en autonomie sur la conduite de chantiers de données de bout en bout, de la modélisation à l'exécution en production, en passant par le diagnostic d'incidents. Sur le plan </w:t>
      </w:r>
      <w:r>
        <w:rPr>
          <w:b/>
        </w:rPr>
        <w:t>personnel</w:t>
      </w:r>
      <w:r>
        <w:t>, j'ai mesuré l'écart entre un exercice sco</w:t>
      </w:r>
      <w:r>
        <w:t>laire et un système vivant, et la satisfaction particulière qu'il y a à mener à bien une opération irréversible avec la preuve qu'elle est juste.</w:t>
      </w:r>
    </w:p>
    <w:p w14:paraId="587BB7C6" w14:textId="77777777" w:rsidR="0086253D" w:rsidRDefault="00E37A94">
      <w:r>
        <w:t xml:space="preserve">Enfin, ce stage s'inscrit pleinement dans la </w:t>
      </w:r>
      <w:r>
        <w:rPr>
          <w:b/>
        </w:rPr>
        <w:t>logique du parcours « Administration des données »</w:t>
      </w:r>
      <w:r>
        <w:t xml:space="preserve"> : migration, modélisation, qualité, sécurité et exploitation y ont été mobilisées sur des cas réels et significatifs. Il confirme mon intérêt pour ces métiers de la donnée, à l'intersection de la technique et de la responsabilité opérationnelle, et constitue une base solide pour la poursuite de mon projet professionnel.</w:t>
      </w:r>
    </w:p>
    <w:p w14:paraId="1D46050B" w14:textId="77777777" w:rsidR="0086253D" w:rsidRDefault="00E37A94">
      <w:r>
        <w:br w:type="page"/>
      </w:r>
    </w:p>
    <w:p w14:paraId="223C2FDE" w14:textId="77777777" w:rsidR="0086253D" w:rsidRDefault="00E37A94">
      <w:pPr>
        <w:pStyle w:val="Heading1"/>
        <w:pBdr>
          <w:bottom w:val="single" w:sz="6" w:space="4" w:color="C0122F"/>
        </w:pBdr>
        <w:spacing w:before="360" w:after="120"/>
        <w:jc w:val="left"/>
      </w:pPr>
      <w:bookmarkStart w:id="40" w:name="_Toc232355576"/>
      <w:r>
        <w:rPr>
          <w:rFonts w:ascii="Calibri" w:hAnsi="Calibri"/>
          <w:color w:val="C0122F"/>
          <w:sz w:val="36"/>
        </w:rPr>
        <w:lastRenderedPageBreak/>
        <w:t>Glossaire</w:t>
      </w:r>
      <w:bookmarkEnd w:id="40"/>
    </w:p>
    <w:tbl>
      <w:tblPr>
        <w:tblStyle w:val="TableGrid"/>
        <w:tblW w:w="0" w:type="auto"/>
        <w:tblLook w:val="04A0" w:firstRow="1" w:lastRow="0" w:firstColumn="1" w:lastColumn="0" w:noHBand="0" w:noVBand="1"/>
      </w:tblPr>
      <w:tblGrid>
        <w:gridCol w:w="4536"/>
        <w:gridCol w:w="4536"/>
      </w:tblGrid>
      <w:tr w:rsidR="0086253D" w14:paraId="1DBA26A4" w14:textId="77777777">
        <w:tc>
          <w:tcPr>
            <w:tcW w:w="4536" w:type="dxa"/>
            <w:shd w:val="clear" w:color="auto" w:fill="C0122F"/>
          </w:tcPr>
          <w:p w14:paraId="7A052C50" w14:textId="77777777" w:rsidR="0086253D" w:rsidRDefault="00E37A94">
            <w:r>
              <w:rPr>
                <w:b/>
                <w:color w:val="FFFFFF"/>
                <w:sz w:val="20"/>
              </w:rPr>
              <w:t>Terme</w:t>
            </w:r>
          </w:p>
        </w:tc>
        <w:tc>
          <w:tcPr>
            <w:tcW w:w="4536" w:type="dxa"/>
            <w:shd w:val="clear" w:color="auto" w:fill="C0122F"/>
          </w:tcPr>
          <w:p w14:paraId="33820302" w14:textId="77777777" w:rsidR="0086253D" w:rsidRDefault="00E37A94">
            <w:r>
              <w:rPr>
                <w:b/>
                <w:color w:val="FFFFFF"/>
                <w:sz w:val="20"/>
              </w:rPr>
              <w:t>Définition</w:t>
            </w:r>
          </w:p>
        </w:tc>
      </w:tr>
      <w:tr w:rsidR="0086253D" w14:paraId="0434D964" w14:textId="77777777">
        <w:tc>
          <w:tcPr>
            <w:tcW w:w="4536" w:type="dxa"/>
          </w:tcPr>
          <w:p w14:paraId="09691CED" w14:textId="77777777" w:rsidR="0086253D" w:rsidRDefault="00E37A94">
            <w:r>
              <w:rPr>
                <w:b/>
                <w:sz w:val="20"/>
              </w:rPr>
              <w:t>CRM</w:t>
            </w:r>
          </w:p>
        </w:tc>
        <w:tc>
          <w:tcPr>
            <w:tcW w:w="4536" w:type="dxa"/>
          </w:tcPr>
          <w:p w14:paraId="20875E2E" w14:textId="77777777" w:rsidR="0086253D" w:rsidRDefault="00E37A94">
            <w:r>
              <w:rPr>
                <w:sz w:val="20"/>
              </w:rPr>
              <w:t>Customer Relationship Management — logiciel de gestion de la relation client et des dossiers métier.</w:t>
            </w:r>
          </w:p>
        </w:tc>
      </w:tr>
      <w:tr w:rsidR="0086253D" w14:paraId="4E902C24" w14:textId="77777777">
        <w:tc>
          <w:tcPr>
            <w:tcW w:w="4536" w:type="dxa"/>
          </w:tcPr>
          <w:p w14:paraId="7A847A29" w14:textId="77777777" w:rsidR="0086253D" w:rsidRDefault="00E37A94">
            <w:r>
              <w:rPr>
                <w:b/>
                <w:sz w:val="20"/>
              </w:rPr>
              <w:t>CEE</w:t>
            </w:r>
          </w:p>
        </w:tc>
        <w:tc>
          <w:tcPr>
            <w:tcW w:w="4536" w:type="dxa"/>
          </w:tcPr>
          <w:p w14:paraId="474F76DF" w14:textId="77777777" w:rsidR="0086253D" w:rsidRDefault="00E37A94">
            <w:r>
              <w:rPr>
                <w:sz w:val="20"/>
              </w:rPr>
              <w:t>Certificats d'Économie d'Énergie — dispositif réglementaire finançant les travaux d'économie d'énergie.</w:t>
            </w:r>
          </w:p>
        </w:tc>
      </w:tr>
      <w:tr w:rsidR="0086253D" w14:paraId="04DD1301" w14:textId="77777777">
        <w:tc>
          <w:tcPr>
            <w:tcW w:w="4536" w:type="dxa"/>
          </w:tcPr>
          <w:p w14:paraId="0BFA46D6" w14:textId="77777777" w:rsidR="0086253D" w:rsidRDefault="00E37A94">
            <w:r>
              <w:rPr>
                <w:b/>
                <w:sz w:val="20"/>
              </w:rPr>
              <w:t>Fiche standardisée (BAR-TH, BAT-TH…)</w:t>
            </w:r>
          </w:p>
        </w:tc>
        <w:tc>
          <w:tcPr>
            <w:tcW w:w="4536" w:type="dxa"/>
          </w:tcPr>
          <w:p w14:paraId="1B7C267C" w14:textId="77777777" w:rsidR="0086253D" w:rsidRDefault="00E37A94">
            <w:r>
              <w:rPr>
                <w:sz w:val="20"/>
              </w:rPr>
              <w:t>Modèle réglementaire définissant les critères d'éligibilité d'une opération CEE.</w:t>
            </w:r>
          </w:p>
        </w:tc>
      </w:tr>
      <w:tr w:rsidR="0086253D" w14:paraId="6586A2AF" w14:textId="77777777">
        <w:tc>
          <w:tcPr>
            <w:tcW w:w="4536" w:type="dxa"/>
          </w:tcPr>
          <w:p w14:paraId="302ECA6E" w14:textId="77777777" w:rsidR="0086253D" w:rsidRDefault="00E37A94">
            <w:r>
              <w:rPr>
                <w:b/>
                <w:sz w:val="20"/>
              </w:rPr>
              <w:t>Cumac</w:t>
            </w:r>
          </w:p>
        </w:tc>
        <w:tc>
          <w:tcPr>
            <w:tcW w:w="4536" w:type="dxa"/>
          </w:tcPr>
          <w:p w14:paraId="0E18B93A" w14:textId="77777777" w:rsidR="0086253D" w:rsidRDefault="00E37A94">
            <w:r>
              <w:rPr>
                <w:sz w:val="20"/>
              </w:rPr>
              <w:t>Unité de mesure des économies d'énergie d'une opération CEE (kWh cumulés actualisés).</w:t>
            </w:r>
          </w:p>
        </w:tc>
      </w:tr>
      <w:tr w:rsidR="0086253D" w14:paraId="2A85D426" w14:textId="77777777">
        <w:tc>
          <w:tcPr>
            <w:tcW w:w="4536" w:type="dxa"/>
          </w:tcPr>
          <w:p w14:paraId="791C11C0" w14:textId="77777777" w:rsidR="0086253D" w:rsidRDefault="00E37A94">
            <w:r>
              <w:rPr>
                <w:b/>
                <w:sz w:val="20"/>
              </w:rPr>
              <w:t>Business Unit (BU)</w:t>
            </w:r>
          </w:p>
        </w:tc>
        <w:tc>
          <w:tcPr>
            <w:tcW w:w="4536" w:type="dxa"/>
          </w:tcPr>
          <w:p w14:paraId="44E1EE75" w14:textId="77777777" w:rsidR="0086253D" w:rsidRDefault="00E37A94">
            <w:r>
              <w:rPr>
                <w:sz w:val="20"/>
              </w:rPr>
              <w:t>Entité organisationnelle (régie, agence) servant d'axe de cloisonnement des données.</w:t>
            </w:r>
          </w:p>
        </w:tc>
      </w:tr>
      <w:tr w:rsidR="0086253D" w14:paraId="73A5AA09" w14:textId="77777777">
        <w:tc>
          <w:tcPr>
            <w:tcW w:w="4536" w:type="dxa"/>
          </w:tcPr>
          <w:p w14:paraId="6B2880E1" w14:textId="77777777" w:rsidR="0086253D" w:rsidRDefault="00E37A94">
            <w:r>
              <w:rPr>
                <w:b/>
                <w:sz w:val="20"/>
              </w:rPr>
              <w:t>Multi-tenant</w:t>
            </w:r>
          </w:p>
        </w:tc>
        <w:tc>
          <w:tcPr>
            <w:tcW w:w="4536" w:type="dxa"/>
          </w:tcPr>
          <w:p w14:paraId="0BE53818" w14:textId="77777777" w:rsidR="0086253D" w:rsidRDefault="00E37A94">
            <w:r>
              <w:rPr>
                <w:sz w:val="20"/>
              </w:rPr>
              <w:t>Architecture où plusieurs clients/entités partagent une application tout en ayant des données cloisonnées.</w:t>
            </w:r>
          </w:p>
        </w:tc>
      </w:tr>
      <w:tr w:rsidR="0086253D" w14:paraId="2F26F065" w14:textId="77777777">
        <w:tc>
          <w:tcPr>
            <w:tcW w:w="4536" w:type="dxa"/>
          </w:tcPr>
          <w:p w14:paraId="357919C0" w14:textId="77777777" w:rsidR="0086253D" w:rsidRDefault="00E37A94">
            <w:r>
              <w:rPr>
                <w:b/>
                <w:sz w:val="20"/>
              </w:rPr>
              <w:t>Supabase</w:t>
            </w:r>
          </w:p>
        </w:tc>
        <w:tc>
          <w:tcPr>
            <w:tcW w:w="4536" w:type="dxa"/>
          </w:tcPr>
          <w:p w14:paraId="01DDA59C" w14:textId="77777777" w:rsidR="0086253D" w:rsidRDefault="00E37A94">
            <w:r>
              <w:rPr>
                <w:sz w:val="20"/>
              </w:rPr>
              <w:t>Plateforme fournissant base PostgreSQL, authentification, stockage et fonctions serveur.</w:t>
            </w:r>
          </w:p>
        </w:tc>
      </w:tr>
      <w:tr w:rsidR="0086253D" w14:paraId="3627B579" w14:textId="77777777">
        <w:tc>
          <w:tcPr>
            <w:tcW w:w="4536" w:type="dxa"/>
          </w:tcPr>
          <w:p w14:paraId="03E1184E" w14:textId="77777777" w:rsidR="0086253D" w:rsidRDefault="00E37A94">
            <w:r>
              <w:rPr>
                <w:b/>
                <w:sz w:val="20"/>
              </w:rPr>
              <w:t>PostgreSQL</w:t>
            </w:r>
          </w:p>
        </w:tc>
        <w:tc>
          <w:tcPr>
            <w:tcW w:w="4536" w:type="dxa"/>
          </w:tcPr>
          <w:p w14:paraId="6D6E28FF" w14:textId="77777777" w:rsidR="0086253D" w:rsidRDefault="00E37A94">
            <w:r>
              <w:rPr>
                <w:sz w:val="20"/>
              </w:rPr>
              <w:t>Système de gestion de base de données relationnelle utilisé par les CRM.</w:t>
            </w:r>
          </w:p>
        </w:tc>
      </w:tr>
      <w:tr w:rsidR="0086253D" w14:paraId="118A983D" w14:textId="77777777">
        <w:tc>
          <w:tcPr>
            <w:tcW w:w="4536" w:type="dxa"/>
          </w:tcPr>
          <w:p w14:paraId="2C69C018" w14:textId="77777777" w:rsidR="0086253D" w:rsidRDefault="00E37A94">
            <w:r>
              <w:rPr>
                <w:b/>
                <w:sz w:val="20"/>
              </w:rPr>
              <w:t>RLS (Row-Level Security)</w:t>
            </w:r>
          </w:p>
        </w:tc>
        <w:tc>
          <w:tcPr>
            <w:tcW w:w="4536" w:type="dxa"/>
          </w:tcPr>
          <w:p w14:paraId="6FFB2A17" w14:textId="77777777" w:rsidR="0086253D" w:rsidRDefault="00E37A94">
            <w:r>
              <w:rPr>
                <w:sz w:val="20"/>
              </w:rPr>
              <w:t>Sécurité au niveau de la ligne : politiques d'accès appliquées directement par la base.</w:t>
            </w:r>
          </w:p>
        </w:tc>
      </w:tr>
      <w:tr w:rsidR="0086253D" w14:paraId="206777A4" w14:textId="77777777">
        <w:tc>
          <w:tcPr>
            <w:tcW w:w="4536" w:type="dxa"/>
          </w:tcPr>
          <w:p w14:paraId="0CFF1496" w14:textId="77777777" w:rsidR="0086253D" w:rsidRDefault="00E37A94">
            <w:r>
              <w:rPr>
                <w:b/>
                <w:sz w:val="20"/>
              </w:rPr>
              <w:t>RBAC</w:t>
            </w:r>
          </w:p>
        </w:tc>
        <w:tc>
          <w:tcPr>
            <w:tcW w:w="4536" w:type="dxa"/>
          </w:tcPr>
          <w:p w14:paraId="30C5695A" w14:textId="77777777" w:rsidR="0086253D" w:rsidRDefault="00E37A94">
            <w:r>
              <w:rPr>
                <w:sz w:val="20"/>
              </w:rPr>
              <w:t>Role-Based Access Control — gestion des droits par rôle.</w:t>
            </w:r>
          </w:p>
        </w:tc>
      </w:tr>
      <w:tr w:rsidR="0086253D" w14:paraId="632062BB" w14:textId="77777777">
        <w:tc>
          <w:tcPr>
            <w:tcW w:w="4536" w:type="dxa"/>
          </w:tcPr>
          <w:p w14:paraId="3C658F2B" w14:textId="77777777" w:rsidR="0086253D" w:rsidRDefault="00E37A94">
            <w:r>
              <w:rPr>
                <w:b/>
                <w:sz w:val="20"/>
              </w:rPr>
              <w:t>Edge Function</w:t>
            </w:r>
          </w:p>
        </w:tc>
        <w:tc>
          <w:tcPr>
            <w:tcW w:w="4536" w:type="dxa"/>
          </w:tcPr>
          <w:p w14:paraId="1F322E21" w14:textId="77777777" w:rsidR="0086253D" w:rsidRDefault="00E37A94">
            <w:r>
              <w:rPr>
                <w:sz w:val="20"/>
              </w:rPr>
              <w:t>Fonction serveur sans serveur dédié, exécutée à la demande (ici sous Deno).</w:t>
            </w:r>
          </w:p>
        </w:tc>
      </w:tr>
      <w:tr w:rsidR="0086253D" w14:paraId="444360BE" w14:textId="77777777">
        <w:tc>
          <w:tcPr>
            <w:tcW w:w="4536" w:type="dxa"/>
          </w:tcPr>
          <w:p w14:paraId="6C78895B" w14:textId="77777777" w:rsidR="0086253D" w:rsidRDefault="00E37A94">
            <w:r>
              <w:rPr>
                <w:b/>
                <w:sz w:val="20"/>
              </w:rPr>
              <w:t>Idempotence</w:t>
            </w:r>
          </w:p>
        </w:tc>
        <w:tc>
          <w:tcPr>
            <w:tcW w:w="4536" w:type="dxa"/>
          </w:tcPr>
          <w:p w14:paraId="673A57B3" w14:textId="77777777" w:rsidR="0086253D" w:rsidRDefault="00E37A94">
            <w:r>
              <w:rPr>
                <w:sz w:val="20"/>
              </w:rPr>
              <w:t>Propriété d'une opération qui, rejouée, produit le même résultat sans effet indésirable (pas de doublon).</w:t>
            </w:r>
          </w:p>
        </w:tc>
      </w:tr>
      <w:tr w:rsidR="0086253D" w14:paraId="26951642" w14:textId="77777777">
        <w:tc>
          <w:tcPr>
            <w:tcW w:w="4536" w:type="dxa"/>
          </w:tcPr>
          <w:p w14:paraId="67E33662" w14:textId="77777777" w:rsidR="0086253D" w:rsidRDefault="00E37A94">
            <w:r>
              <w:rPr>
                <w:b/>
                <w:sz w:val="20"/>
              </w:rPr>
              <w:t>Upsert</w:t>
            </w:r>
          </w:p>
        </w:tc>
        <w:tc>
          <w:tcPr>
            <w:tcW w:w="4536" w:type="dxa"/>
          </w:tcPr>
          <w:p w14:paraId="12AA33E2" w14:textId="77777777" w:rsidR="0086253D" w:rsidRDefault="00E37A94">
            <w:r>
              <w:rPr>
                <w:sz w:val="20"/>
              </w:rPr>
              <w:t>Opération « insérer ou mettre à jour » selon qu'un enregistrement existe déjà.</w:t>
            </w:r>
          </w:p>
        </w:tc>
      </w:tr>
      <w:tr w:rsidR="0086253D" w14:paraId="5E08A034" w14:textId="77777777">
        <w:tc>
          <w:tcPr>
            <w:tcW w:w="4536" w:type="dxa"/>
          </w:tcPr>
          <w:p w14:paraId="40839B72" w14:textId="77777777" w:rsidR="0086253D" w:rsidRDefault="00E37A94">
            <w:r>
              <w:rPr>
                <w:b/>
                <w:sz w:val="20"/>
              </w:rPr>
              <w:t>Payload</w:t>
            </w:r>
          </w:p>
        </w:tc>
        <w:tc>
          <w:tcPr>
            <w:tcW w:w="4536" w:type="dxa"/>
          </w:tcPr>
          <w:p w14:paraId="13EF4A78" w14:textId="77777777" w:rsidR="0086253D" w:rsidRDefault="00E37A94">
            <w:r>
              <w:rPr>
                <w:sz w:val="20"/>
              </w:rPr>
              <w:t>Données transmises dans un échange réseau entre deux systèmes.</w:t>
            </w:r>
          </w:p>
        </w:tc>
      </w:tr>
      <w:tr w:rsidR="0086253D" w14:paraId="61BB69E9" w14:textId="77777777">
        <w:tc>
          <w:tcPr>
            <w:tcW w:w="4536" w:type="dxa"/>
          </w:tcPr>
          <w:p w14:paraId="0BF6D717" w14:textId="77777777" w:rsidR="0086253D" w:rsidRDefault="00E37A94">
            <w:r>
              <w:rPr>
                <w:b/>
                <w:sz w:val="20"/>
              </w:rPr>
              <w:t>Vue enrichie</w:t>
            </w:r>
          </w:p>
        </w:tc>
        <w:tc>
          <w:tcPr>
            <w:tcW w:w="4536" w:type="dxa"/>
          </w:tcPr>
          <w:p w14:paraId="17A64BEC" w14:textId="77777777" w:rsidR="0086253D" w:rsidRDefault="00E37A94">
            <w:r>
              <w:rPr>
                <w:sz w:val="20"/>
              </w:rPr>
              <w:t>Vue SQL pré-joignant plusieurs tables pour simplifier les lectures côté application.</w:t>
            </w:r>
          </w:p>
        </w:tc>
      </w:tr>
      <w:tr w:rsidR="0086253D" w14:paraId="25417235" w14:textId="77777777">
        <w:tc>
          <w:tcPr>
            <w:tcW w:w="4536" w:type="dxa"/>
          </w:tcPr>
          <w:p w14:paraId="6DDAECEE" w14:textId="77777777" w:rsidR="0086253D" w:rsidRDefault="00E37A94">
            <w:r>
              <w:rPr>
                <w:b/>
                <w:sz w:val="20"/>
              </w:rPr>
              <w:t>security_invoker</w:t>
            </w:r>
          </w:p>
        </w:tc>
        <w:tc>
          <w:tcPr>
            <w:tcW w:w="4536" w:type="dxa"/>
          </w:tcPr>
          <w:p w14:paraId="02C045C6" w14:textId="77777777" w:rsidR="0086253D" w:rsidRDefault="00E37A94">
            <w:r>
              <w:rPr>
                <w:sz w:val="20"/>
              </w:rPr>
              <w:t>Option d'une vue PostgreSQL la faisant s'exécuter avec les droits de l'appelant (clé pour la RLS).</w:t>
            </w:r>
          </w:p>
        </w:tc>
      </w:tr>
      <w:tr w:rsidR="0086253D" w14:paraId="0897AACC" w14:textId="77777777">
        <w:tc>
          <w:tcPr>
            <w:tcW w:w="4536" w:type="dxa"/>
          </w:tcPr>
          <w:p w14:paraId="5AC7145A" w14:textId="77777777" w:rsidR="0086253D" w:rsidRDefault="00E37A94">
            <w:r>
              <w:rPr>
                <w:b/>
                <w:sz w:val="20"/>
              </w:rPr>
              <w:t>pg_trgm / index trigram</w:t>
            </w:r>
          </w:p>
        </w:tc>
        <w:tc>
          <w:tcPr>
            <w:tcW w:w="4536" w:type="dxa"/>
          </w:tcPr>
          <w:p w14:paraId="22649AE9" w14:textId="77777777" w:rsidR="0086253D" w:rsidRDefault="00E37A94">
            <w:r>
              <w:rPr>
                <w:sz w:val="20"/>
              </w:rPr>
              <w:t>Extension PostgreSQL permettant la recherche floue sur du texte.</w:t>
            </w:r>
          </w:p>
        </w:tc>
      </w:tr>
      <w:tr w:rsidR="0086253D" w14:paraId="3D67CC64" w14:textId="77777777">
        <w:tc>
          <w:tcPr>
            <w:tcW w:w="4536" w:type="dxa"/>
          </w:tcPr>
          <w:p w14:paraId="3D8018E5" w14:textId="77777777" w:rsidR="0086253D" w:rsidRDefault="00E37A94">
            <w:r>
              <w:rPr>
                <w:b/>
                <w:sz w:val="20"/>
              </w:rPr>
              <w:t>DPE</w:t>
            </w:r>
          </w:p>
        </w:tc>
        <w:tc>
          <w:tcPr>
            <w:tcW w:w="4536" w:type="dxa"/>
          </w:tcPr>
          <w:p w14:paraId="7647D949" w14:textId="77777777" w:rsidR="0086253D" w:rsidRDefault="00E37A94">
            <w:r>
              <w:rPr>
                <w:sz w:val="20"/>
              </w:rPr>
              <w:t>Diagnostic de Performance Énergétique d'un bien.</w:t>
            </w:r>
          </w:p>
        </w:tc>
      </w:tr>
      <w:tr w:rsidR="0086253D" w14:paraId="64AF8242" w14:textId="77777777">
        <w:tc>
          <w:tcPr>
            <w:tcW w:w="4536" w:type="dxa"/>
          </w:tcPr>
          <w:p w14:paraId="5218F05E" w14:textId="77777777" w:rsidR="0086253D" w:rsidRDefault="00E37A94">
            <w:r>
              <w:rPr>
                <w:b/>
                <w:sz w:val="20"/>
              </w:rPr>
              <w:t>PAC</w:t>
            </w:r>
          </w:p>
        </w:tc>
        <w:tc>
          <w:tcPr>
            <w:tcW w:w="4536" w:type="dxa"/>
          </w:tcPr>
          <w:p w14:paraId="21CA3066" w14:textId="77777777" w:rsidR="0086253D" w:rsidRDefault="00E37A94">
            <w:r>
              <w:rPr>
                <w:sz w:val="20"/>
              </w:rPr>
              <w:t>Pompe à chaleur.</w:t>
            </w:r>
          </w:p>
        </w:tc>
      </w:tr>
      <w:tr w:rsidR="0086253D" w14:paraId="6AEF750E" w14:textId="77777777">
        <w:tc>
          <w:tcPr>
            <w:tcW w:w="4536" w:type="dxa"/>
          </w:tcPr>
          <w:p w14:paraId="3C250993" w14:textId="77777777" w:rsidR="0086253D" w:rsidRDefault="00E37A94">
            <w:r>
              <w:rPr>
                <w:b/>
                <w:sz w:val="20"/>
              </w:rPr>
              <w:lastRenderedPageBreak/>
              <w:t>LLM</w:t>
            </w:r>
          </w:p>
        </w:tc>
        <w:tc>
          <w:tcPr>
            <w:tcW w:w="4536" w:type="dxa"/>
          </w:tcPr>
          <w:p w14:paraId="73ED1FF2" w14:textId="77777777" w:rsidR="0086253D" w:rsidRDefault="00E37A94">
            <w:r>
              <w:rPr>
                <w:sz w:val="20"/>
              </w:rPr>
              <w:t>Large Language Model — modèle de langage utilisé ici pour l'extraction de données non structurées.</w:t>
            </w:r>
          </w:p>
        </w:tc>
      </w:tr>
      <w:tr w:rsidR="0086253D" w14:paraId="15DC820D" w14:textId="77777777">
        <w:tc>
          <w:tcPr>
            <w:tcW w:w="4536" w:type="dxa"/>
          </w:tcPr>
          <w:p w14:paraId="7F6A9AE2" w14:textId="77777777" w:rsidR="0086253D" w:rsidRDefault="00E37A94">
            <w:r>
              <w:rPr>
                <w:b/>
                <w:sz w:val="20"/>
              </w:rPr>
              <w:t>RGPD</w:t>
            </w:r>
          </w:p>
        </w:tc>
        <w:tc>
          <w:tcPr>
            <w:tcW w:w="4536" w:type="dxa"/>
          </w:tcPr>
          <w:p w14:paraId="37C4D999" w14:textId="77777777" w:rsidR="0086253D" w:rsidRDefault="00E37A94">
            <w:r>
              <w:rPr>
                <w:sz w:val="20"/>
              </w:rPr>
              <w:t>Règlement Général sur la Protection des Données.</w:t>
            </w:r>
          </w:p>
        </w:tc>
      </w:tr>
    </w:tbl>
    <w:p w14:paraId="4775DA6E" w14:textId="77777777" w:rsidR="0086253D" w:rsidRDefault="0086253D">
      <w:pPr>
        <w:spacing w:after="40"/>
      </w:pPr>
    </w:p>
    <w:p w14:paraId="0F498029" w14:textId="77777777" w:rsidR="0086253D" w:rsidRDefault="00E37A94">
      <w:pPr>
        <w:pStyle w:val="Heading1"/>
        <w:pBdr>
          <w:bottom w:val="single" w:sz="6" w:space="4" w:color="C0122F"/>
        </w:pBdr>
        <w:spacing w:before="360" w:after="120"/>
        <w:jc w:val="left"/>
      </w:pPr>
      <w:bookmarkStart w:id="41" w:name="_Toc232355577"/>
      <w:r>
        <w:rPr>
          <w:rFonts w:ascii="Calibri" w:hAnsi="Calibri"/>
          <w:color w:val="C0122F"/>
          <w:sz w:val="36"/>
        </w:rPr>
        <w:t>Bibliographie et sitographie</w:t>
      </w:r>
      <w:bookmarkEnd w:id="41"/>
    </w:p>
    <w:p w14:paraId="11C66257" w14:textId="77777777" w:rsidR="0086253D" w:rsidRDefault="00E37A94">
      <w:r>
        <w:t xml:space="preserve">Les références suivantes ont été utilisées pour les choix techniques et la compréhension du cadre réglementaire. Faute d'un format académique unique imposé, j'ai retenu un format « Auteur/Organisme, </w:t>
      </w:r>
      <w:r>
        <w:rPr>
          <w:i/>
        </w:rPr>
        <w:t>Titre</w:t>
      </w:r>
      <w:r>
        <w:t>, type, date, URL » homogène.</w:t>
      </w:r>
    </w:p>
    <w:p w14:paraId="02B754FD" w14:textId="77777777" w:rsidR="0086253D" w:rsidRDefault="00E37A94">
      <w:pPr>
        <w:pStyle w:val="ListNumber"/>
        <w:spacing w:after="40"/>
      </w:pPr>
      <w:r>
        <w:t xml:space="preserve">Supabase Inc., </w:t>
      </w:r>
      <w:r>
        <w:rPr>
          <w:i/>
        </w:rPr>
        <w:t>Supabase Documentation — Database, Auth, Storage, Edge Functions</w:t>
      </w:r>
      <w:r>
        <w:t>, documentation technique, consultée en 2026. https://supabase.com/docs</w:t>
      </w:r>
    </w:p>
    <w:p w14:paraId="4E4415EC" w14:textId="77777777" w:rsidR="0086253D" w:rsidRDefault="00E37A94">
      <w:pPr>
        <w:pStyle w:val="ListNumber"/>
        <w:spacing w:after="40"/>
      </w:pPr>
      <w:r>
        <w:t xml:space="preserve">The PostgreSQL Global Development Group, </w:t>
      </w:r>
      <w:r>
        <w:rPr>
          <w:i/>
        </w:rPr>
        <w:t>PostgreSQL Documentation — Row Security Policies (Chapter 5.9)</w:t>
      </w:r>
      <w:r>
        <w:t>, documentation technique, version 15, 2026. https://www.postgresql.org/docs/current/ddl-rowsecurity.html</w:t>
      </w:r>
    </w:p>
    <w:p w14:paraId="2509D86E" w14:textId="77777777" w:rsidR="0086253D" w:rsidRDefault="00E37A94">
      <w:pPr>
        <w:pStyle w:val="ListNumber"/>
        <w:spacing w:after="40"/>
      </w:pPr>
      <w:r>
        <w:t xml:space="preserve">The PostgreSQL Global Development Group, </w:t>
      </w:r>
      <w:r>
        <w:rPr>
          <w:i/>
        </w:rPr>
        <w:t>PostgreSQL Documentation — pg_trgm</w:t>
      </w:r>
      <w:r>
        <w:t>, documentation technique, 2026. https://www.postgresql.org/docs/current/pgtrgm.html</w:t>
      </w:r>
    </w:p>
    <w:p w14:paraId="05C0A857" w14:textId="77777777" w:rsidR="0086253D" w:rsidRDefault="00E37A94">
      <w:pPr>
        <w:pStyle w:val="ListNumber"/>
        <w:spacing w:after="40"/>
      </w:pPr>
      <w:r>
        <w:t xml:space="preserve">Meta Open Source, </w:t>
      </w:r>
      <w:r>
        <w:rPr>
          <w:i/>
        </w:rPr>
        <w:t>React Documentation</w:t>
      </w:r>
      <w:r>
        <w:t>, documentation technique, 2026. https://react.dev</w:t>
      </w:r>
    </w:p>
    <w:p w14:paraId="4B06C3CF" w14:textId="77777777" w:rsidR="0086253D" w:rsidRDefault="00E37A94">
      <w:pPr>
        <w:pStyle w:val="ListNumber"/>
        <w:spacing w:after="40"/>
      </w:pPr>
      <w:r>
        <w:t xml:space="preserve">Tanstack, </w:t>
      </w:r>
      <w:r>
        <w:rPr>
          <w:i/>
        </w:rPr>
        <w:t>TanStack Query v5 — Overview</w:t>
      </w:r>
      <w:r>
        <w:t>, documentation technique, 2026. https://tanstack.com/query/latest</w:t>
      </w:r>
    </w:p>
    <w:p w14:paraId="5D92AA7F" w14:textId="77777777" w:rsidR="0086253D" w:rsidRDefault="00E37A94">
      <w:pPr>
        <w:pStyle w:val="ListNumber"/>
        <w:spacing w:after="40"/>
      </w:pPr>
      <w:r>
        <w:t xml:space="preserve">Vite, </w:t>
      </w:r>
      <w:r>
        <w:rPr>
          <w:i/>
        </w:rPr>
        <w:t>Vite Guide</w:t>
      </w:r>
      <w:r>
        <w:t>, documentation technique, 2026. https://vitejs.dev/guide/</w:t>
      </w:r>
    </w:p>
    <w:p w14:paraId="5EA3C338" w14:textId="77777777" w:rsidR="0086253D" w:rsidRDefault="00E37A94">
      <w:pPr>
        <w:pStyle w:val="ListNumber"/>
        <w:spacing w:after="40"/>
      </w:pPr>
      <w:r>
        <w:t xml:space="preserve">Deno Land Inc., </w:t>
      </w:r>
      <w:r>
        <w:rPr>
          <w:i/>
        </w:rPr>
        <w:t>Deno Runtime Manual</w:t>
      </w:r>
      <w:r>
        <w:t>, documentation technique, 2026. https://docs.deno.com</w:t>
      </w:r>
    </w:p>
    <w:p w14:paraId="4B852990" w14:textId="77777777" w:rsidR="0086253D" w:rsidRDefault="00E37A94">
      <w:pPr>
        <w:pStyle w:val="ListNumber"/>
        <w:spacing w:after="40"/>
      </w:pPr>
      <w:r>
        <w:t xml:space="preserve">Ministère de la Transition écologique / ADEME, </w:t>
      </w:r>
      <w:r>
        <w:rPr>
          <w:i/>
        </w:rPr>
        <w:t>Les fiches d'opérations standardisées CEE</w:t>
      </w:r>
      <w:r>
        <w:t>, cadre réglementaire, consulté en 2026. https://www.ecologie.gouv.fr/certificats-deconomies-denergie</w:t>
      </w:r>
    </w:p>
    <w:p w14:paraId="4E985A92" w14:textId="77777777" w:rsidR="0086253D" w:rsidRDefault="00E37A94">
      <w:pPr>
        <w:pStyle w:val="ListNumber"/>
        <w:spacing w:after="40"/>
      </w:pPr>
      <w:r>
        <w:t xml:space="preserve">CNIL, </w:t>
      </w:r>
      <w:r>
        <w:rPr>
          <w:i/>
        </w:rPr>
        <w:t>RGPD : se préparer en 6 étapes</w:t>
      </w:r>
      <w:r>
        <w:t>, guide pratique, consulté en 2026. https://www.cnil.fr/fr/rgpd-se-preparer-en-6-etapes</w:t>
      </w:r>
    </w:p>
    <w:p w14:paraId="45D76409" w14:textId="77777777" w:rsidR="0086253D" w:rsidRDefault="00E37A94">
      <w:pPr>
        <w:pStyle w:val="Heading1"/>
        <w:pBdr>
          <w:bottom w:val="single" w:sz="6" w:space="4" w:color="C0122F"/>
        </w:pBdr>
        <w:spacing w:before="360" w:after="120"/>
        <w:jc w:val="left"/>
      </w:pPr>
      <w:bookmarkStart w:id="42" w:name="_Toc232355578"/>
      <w:r>
        <w:rPr>
          <w:rFonts w:ascii="Calibri" w:hAnsi="Calibri"/>
          <w:color w:val="C0122F"/>
          <w:sz w:val="36"/>
        </w:rPr>
        <w:t>Annexes</w:t>
      </w:r>
      <w:bookmarkEnd w:id="42"/>
    </w:p>
    <w:p w14:paraId="732594AB" w14:textId="77777777" w:rsidR="0086253D" w:rsidRDefault="00E37A94">
      <w:r>
        <w:t>Les annexes regroupent des éléments trop détaillés pour le corps du texte. Elles sont appelées depuis les sections correspondantes et ne s'y substituent pas.</w:t>
      </w:r>
    </w:p>
    <w:p w14:paraId="03C55771" w14:textId="77777777" w:rsidR="0086253D" w:rsidRDefault="00E37A94">
      <w:pPr>
        <w:pStyle w:val="Heading2"/>
        <w:spacing w:before="280" w:after="120"/>
        <w:jc w:val="left"/>
      </w:pPr>
      <w:bookmarkStart w:id="43" w:name="_Toc232355579"/>
      <w:r>
        <w:rPr>
          <w:rFonts w:ascii="Calibri" w:hAnsi="Calibri"/>
          <w:color w:val="C0122F"/>
          <w:sz w:val="28"/>
        </w:rPr>
        <w:t>Annexe A — Tableau récapitulatif des volumes traités (projet phare)</w:t>
      </w:r>
      <w:bookmarkEnd w:id="43"/>
    </w:p>
    <w:p w14:paraId="44B82C25" w14:textId="77777777" w:rsidR="0086253D" w:rsidRDefault="00E37A94">
      <w:r>
        <w:t>Référencée en sections 3.3, 3.4 et 3.6.</w:t>
      </w:r>
    </w:p>
    <w:tbl>
      <w:tblPr>
        <w:tblStyle w:val="TableGrid"/>
        <w:tblW w:w="0" w:type="auto"/>
        <w:tblLook w:val="04A0" w:firstRow="1" w:lastRow="0" w:firstColumn="1" w:lastColumn="0" w:noHBand="0" w:noVBand="1"/>
      </w:tblPr>
      <w:tblGrid>
        <w:gridCol w:w="3024"/>
        <w:gridCol w:w="3024"/>
        <w:gridCol w:w="3024"/>
      </w:tblGrid>
      <w:tr w:rsidR="0086253D" w14:paraId="761CAD4D" w14:textId="77777777">
        <w:tc>
          <w:tcPr>
            <w:tcW w:w="3024" w:type="dxa"/>
            <w:shd w:val="clear" w:color="auto" w:fill="C0122F"/>
          </w:tcPr>
          <w:p w14:paraId="688253B7" w14:textId="77777777" w:rsidR="0086253D" w:rsidRDefault="00E37A94">
            <w:r>
              <w:rPr>
                <w:b/>
                <w:color w:val="FFFFFF"/>
                <w:sz w:val="20"/>
              </w:rPr>
              <w:t>Périmètre</w:t>
            </w:r>
          </w:p>
        </w:tc>
        <w:tc>
          <w:tcPr>
            <w:tcW w:w="3024" w:type="dxa"/>
            <w:shd w:val="clear" w:color="auto" w:fill="C0122F"/>
          </w:tcPr>
          <w:p w14:paraId="6AD2903C" w14:textId="77777777" w:rsidR="0086253D" w:rsidRDefault="00E37A94">
            <w:r>
              <w:rPr>
                <w:b/>
                <w:color w:val="FFFFFF"/>
                <w:sz w:val="20"/>
              </w:rPr>
              <w:t>Volume vérifié</w:t>
            </w:r>
          </w:p>
        </w:tc>
        <w:tc>
          <w:tcPr>
            <w:tcW w:w="3024" w:type="dxa"/>
            <w:shd w:val="clear" w:color="auto" w:fill="C0122F"/>
          </w:tcPr>
          <w:p w14:paraId="2AF43832" w14:textId="77777777" w:rsidR="0086253D" w:rsidRDefault="00E37A94">
            <w:r>
              <w:rPr>
                <w:b/>
                <w:color w:val="FFFFFF"/>
                <w:sz w:val="20"/>
              </w:rPr>
              <w:t>Résultat</w:t>
            </w:r>
          </w:p>
        </w:tc>
      </w:tr>
      <w:tr w:rsidR="0086253D" w14:paraId="1F1EF104" w14:textId="77777777">
        <w:tc>
          <w:tcPr>
            <w:tcW w:w="3024" w:type="dxa"/>
          </w:tcPr>
          <w:p w14:paraId="45316CB1" w14:textId="77777777" w:rsidR="0086253D" w:rsidRDefault="00E37A94">
            <w:r>
              <w:rPr>
                <w:sz w:val="20"/>
              </w:rPr>
              <w:t>Enregistrements legacy résidentiels ingérés (AQI)</w:t>
            </w:r>
          </w:p>
        </w:tc>
        <w:tc>
          <w:tcPr>
            <w:tcW w:w="3024" w:type="dxa"/>
          </w:tcPr>
          <w:p w14:paraId="142396BF" w14:textId="77777777" w:rsidR="0086253D" w:rsidRDefault="00E37A94">
            <w:r>
              <w:rPr>
                <w:sz w:val="20"/>
              </w:rPr>
              <w:t>16 402</w:t>
            </w:r>
          </w:p>
        </w:tc>
        <w:tc>
          <w:tcPr>
            <w:tcW w:w="3024" w:type="dxa"/>
          </w:tcPr>
          <w:p w14:paraId="345AEC10" w14:textId="77777777" w:rsidR="0086253D" w:rsidRDefault="00E37A94">
            <w:r>
              <w:rPr>
                <w:sz w:val="20"/>
              </w:rPr>
              <w:t>Idempotent, données nettoyées</w:t>
            </w:r>
          </w:p>
        </w:tc>
      </w:tr>
      <w:tr w:rsidR="0086253D" w14:paraId="4308882E" w14:textId="77777777">
        <w:tc>
          <w:tcPr>
            <w:tcW w:w="3024" w:type="dxa"/>
          </w:tcPr>
          <w:p w14:paraId="0110D9B5" w14:textId="77777777" w:rsidR="0086253D" w:rsidRDefault="00E37A94">
            <w:r>
              <w:rPr>
                <w:sz w:val="20"/>
              </w:rPr>
              <w:t>Archives de documents importées</w:t>
            </w:r>
          </w:p>
        </w:tc>
        <w:tc>
          <w:tcPr>
            <w:tcW w:w="3024" w:type="dxa"/>
          </w:tcPr>
          <w:p w14:paraId="7E7CB184" w14:textId="77777777" w:rsidR="0086253D" w:rsidRDefault="00E37A94">
            <w:r>
              <w:rPr>
                <w:sz w:val="20"/>
              </w:rPr>
              <w:t>12 185 (≈ 103 Go)</w:t>
            </w:r>
          </w:p>
        </w:tc>
        <w:tc>
          <w:tcPr>
            <w:tcW w:w="3024" w:type="dxa"/>
          </w:tcPr>
          <w:p w14:paraId="10B32113" w14:textId="77777777" w:rsidR="0086253D" w:rsidRDefault="00E37A94">
            <w:r>
              <w:rPr>
                <w:sz w:val="20"/>
              </w:rPr>
              <w:t>Rattachées aux dossiers</w:t>
            </w:r>
          </w:p>
        </w:tc>
      </w:tr>
      <w:tr w:rsidR="0086253D" w14:paraId="542507FC" w14:textId="77777777">
        <w:tc>
          <w:tcPr>
            <w:tcW w:w="3024" w:type="dxa"/>
          </w:tcPr>
          <w:p w14:paraId="395D21FB" w14:textId="77777777" w:rsidR="0086253D" w:rsidRDefault="00E37A94">
            <w:r>
              <w:rPr>
                <w:sz w:val="20"/>
              </w:rPr>
              <w:t>Lot tertiaire poussé vers E3S</w:t>
            </w:r>
          </w:p>
        </w:tc>
        <w:tc>
          <w:tcPr>
            <w:tcW w:w="3024" w:type="dxa"/>
          </w:tcPr>
          <w:p w14:paraId="44ED68C9" w14:textId="77777777" w:rsidR="0086253D" w:rsidRDefault="00E37A94">
            <w:r>
              <w:rPr>
                <w:sz w:val="20"/>
              </w:rPr>
              <w:t>308</w:t>
            </w:r>
          </w:p>
        </w:tc>
        <w:tc>
          <w:tcPr>
            <w:tcW w:w="3024" w:type="dxa"/>
          </w:tcPr>
          <w:p w14:paraId="62D9AF40" w14:textId="77777777" w:rsidR="0086253D" w:rsidRDefault="00E37A94">
            <w:r>
              <w:rPr>
                <w:sz w:val="20"/>
              </w:rPr>
              <w:t>0 échec</w:t>
            </w:r>
          </w:p>
        </w:tc>
      </w:tr>
      <w:tr w:rsidR="0086253D" w14:paraId="463DA5AA" w14:textId="77777777">
        <w:tc>
          <w:tcPr>
            <w:tcW w:w="3024" w:type="dxa"/>
          </w:tcPr>
          <w:p w14:paraId="2BB0314E" w14:textId="77777777" w:rsidR="0086253D" w:rsidRDefault="00E37A94">
            <w:r>
              <w:rPr>
                <w:sz w:val="20"/>
              </w:rPr>
              <w:t>Dossiers tertiaires créés dans AQI</w:t>
            </w:r>
          </w:p>
        </w:tc>
        <w:tc>
          <w:tcPr>
            <w:tcW w:w="3024" w:type="dxa"/>
          </w:tcPr>
          <w:p w14:paraId="21604040" w14:textId="77777777" w:rsidR="0086253D" w:rsidRDefault="00E37A94">
            <w:r>
              <w:rPr>
                <w:sz w:val="20"/>
              </w:rPr>
              <w:t>136</w:t>
            </w:r>
          </w:p>
        </w:tc>
        <w:tc>
          <w:tcPr>
            <w:tcW w:w="3024" w:type="dxa"/>
          </w:tcPr>
          <w:p w14:paraId="048D9299" w14:textId="77777777" w:rsidR="0086253D" w:rsidRDefault="00E37A94">
            <w:r>
              <w:rPr>
                <w:sz w:val="20"/>
              </w:rPr>
              <w:t>Vérifiés des deux côtés</w:t>
            </w:r>
          </w:p>
        </w:tc>
      </w:tr>
      <w:tr w:rsidR="0086253D" w14:paraId="3CA36C60" w14:textId="77777777">
        <w:tc>
          <w:tcPr>
            <w:tcW w:w="3024" w:type="dxa"/>
          </w:tcPr>
          <w:p w14:paraId="4609396F" w14:textId="77777777" w:rsidR="0086253D" w:rsidRDefault="00E37A94">
            <w:r>
              <w:rPr>
                <w:sz w:val="20"/>
              </w:rPr>
              <w:t>Lot « installation » poussé AQI → E3S</w:t>
            </w:r>
          </w:p>
        </w:tc>
        <w:tc>
          <w:tcPr>
            <w:tcW w:w="3024" w:type="dxa"/>
          </w:tcPr>
          <w:p w14:paraId="6AED2685" w14:textId="77777777" w:rsidR="0086253D" w:rsidRDefault="00E37A94">
            <w:r>
              <w:rPr>
                <w:sz w:val="20"/>
              </w:rPr>
              <w:t>204</w:t>
            </w:r>
          </w:p>
        </w:tc>
        <w:tc>
          <w:tcPr>
            <w:tcW w:w="3024" w:type="dxa"/>
          </w:tcPr>
          <w:p w14:paraId="26EBBC4C" w14:textId="77777777" w:rsidR="0086253D" w:rsidRDefault="00E37A94">
            <w:r>
              <w:rPr>
                <w:sz w:val="20"/>
              </w:rPr>
              <w:t>0 doublon</w:t>
            </w:r>
          </w:p>
        </w:tc>
      </w:tr>
      <w:tr w:rsidR="0086253D" w14:paraId="123E5F6B" w14:textId="77777777">
        <w:tc>
          <w:tcPr>
            <w:tcW w:w="3024" w:type="dxa"/>
          </w:tcPr>
          <w:p w14:paraId="648184A0" w14:textId="77777777" w:rsidR="0086253D" w:rsidRDefault="00E37A94">
            <w:r>
              <w:rPr>
                <w:sz w:val="20"/>
              </w:rPr>
              <w:lastRenderedPageBreak/>
              <w:t>Dossiers contrôlés en miroir côté E3S</w:t>
            </w:r>
          </w:p>
        </w:tc>
        <w:tc>
          <w:tcPr>
            <w:tcW w:w="3024" w:type="dxa"/>
          </w:tcPr>
          <w:p w14:paraId="57C9E197" w14:textId="77777777" w:rsidR="0086253D" w:rsidRDefault="00E37A94">
            <w:r>
              <w:rPr>
                <w:sz w:val="20"/>
              </w:rPr>
              <w:t>≈ 770</w:t>
            </w:r>
          </w:p>
        </w:tc>
        <w:tc>
          <w:tcPr>
            <w:tcW w:w="3024" w:type="dxa"/>
          </w:tcPr>
          <w:p w14:paraId="76E0342B" w14:textId="77777777" w:rsidR="0086253D" w:rsidRDefault="00E37A94">
            <w:r>
              <w:rPr>
                <w:sz w:val="20"/>
              </w:rPr>
              <w:t>0 perte connue</w:t>
            </w:r>
          </w:p>
        </w:tc>
      </w:tr>
      <w:tr w:rsidR="0086253D" w14:paraId="595E0435" w14:textId="77777777">
        <w:tc>
          <w:tcPr>
            <w:tcW w:w="3024" w:type="dxa"/>
          </w:tcPr>
          <w:p w14:paraId="7DDF40D8" w14:textId="77777777" w:rsidR="0086253D" w:rsidRDefault="00E37A94">
            <w:r>
              <w:rPr>
                <w:sz w:val="20"/>
              </w:rPr>
              <w:t>Fiches clients dédoublonnées (AQI)</w:t>
            </w:r>
          </w:p>
        </w:tc>
        <w:tc>
          <w:tcPr>
            <w:tcW w:w="3024" w:type="dxa"/>
          </w:tcPr>
          <w:p w14:paraId="78C7886A" w14:textId="77777777" w:rsidR="0086253D" w:rsidRDefault="00E37A94">
            <w:r>
              <w:rPr>
                <w:sz w:val="20"/>
              </w:rPr>
              <w:t>104</w:t>
            </w:r>
          </w:p>
        </w:tc>
        <w:tc>
          <w:tcPr>
            <w:tcW w:w="3024" w:type="dxa"/>
          </w:tcPr>
          <w:p w14:paraId="19C944B8" w14:textId="77777777" w:rsidR="0086253D" w:rsidRDefault="00E37A94">
            <w:r>
              <w:rPr>
                <w:sz w:val="20"/>
              </w:rPr>
              <w:t>0 orphelin</w:t>
            </w:r>
          </w:p>
        </w:tc>
      </w:tr>
      <w:tr w:rsidR="0086253D" w14:paraId="73F3B659" w14:textId="77777777">
        <w:tc>
          <w:tcPr>
            <w:tcW w:w="3024" w:type="dxa"/>
          </w:tcPr>
          <w:p w14:paraId="06D45C65" w14:textId="77777777" w:rsidR="0086253D" w:rsidRDefault="00E37A94">
            <w:r>
              <w:rPr>
                <w:sz w:val="20"/>
              </w:rPr>
              <w:t>Fiches clients dédoublonnées (E3S)</w:t>
            </w:r>
          </w:p>
        </w:tc>
        <w:tc>
          <w:tcPr>
            <w:tcW w:w="3024" w:type="dxa"/>
          </w:tcPr>
          <w:p w14:paraId="1BE93AD4" w14:textId="77777777" w:rsidR="0086253D" w:rsidRDefault="00E37A94">
            <w:r>
              <w:rPr>
                <w:sz w:val="20"/>
              </w:rPr>
              <w:t>224</w:t>
            </w:r>
          </w:p>
        </w:tc>
        <w:tc>
          <w:tcPr>
            <w:tcW w:w="3024" w:type="dxa"/>
          </w:tcPr>
          <w:p w14:paraId="5D8289F7" w14:textId="77777777" w:rsidR="0086253D" w:rsidRDefault="00E37A94">
            <w:r>
              <w:rPr>
                <w:sz w:val="20"/>
              </w:rPr>
              <w:t>Sans perte</w:t>
            </w:r>
          </w:p>
        </w:tc>
      </w:tr>
      <w:tr w:rsidR="0086253D" w14:paraId="4E4FB317" w14:textId="77777777">
        <w:tc>
          <w:tcPr>
            <w:tcW w:w="3024" w:type="dxa"/>
          </w:tcPr>
          <w:p w14:paraId="67A76A91" w14:textId="77777777" w:rsidR="0086253D" w:rsidRDefault="00E37A94">
            <w:r>
              <w:rPr>
                <w:sz w:val="20"/>
              </w:rPr>
              <w:t>Comptes utilisateurs réconciliés avec leur BU</w:t>
            </w:r>
          </w:p>
        </w:tc>
        <w:tc>
          <w:tcPr>
            <w:tcW w:w="3024" w:type="dxa"/>
          </w:tcPr>
          <w:p w14:paraId="1CB02ECB" w14:textId="77777777" w:rsidR="0086253D" w:rsidRDefault="00E37A94">
            <w:r>
              <w:rPr>
                <w:sz w:val="20"/>
              </w:rPr>
              <w:t>38</w:t>
            </w:r>
          </w:p>
        </w:tc>
        <w:tc>
          <w:tcPr>
            <w:tcW w:w="3024" w:type="dxa"/>
          </w:tcPr>
          <w:p w14:paraId="2DFFEDBA" w14:textId="77777777" w:rsidR="0086253D" w:rsidRDefault="00E37A94">
            <w:r>
              <w:rPr>
                <w:sz w:val="20"/>
              </w:rPr>
              <w:t>Visibilité rétablie</w:t>
            </w:r>
          </w:p>
        </w:tc>
      </w:tr>
    </w:tbl>
    <w:p w14:paraId="62964DDF" w14:textId="77777777" w:rsidR="0086253D" w:rsidRDefault="0086253D">
      <w:pPr>
        <w:spacing w:after="40"/>
      </w:pPr>
    </w:p>
    <w:p w14:paraId="3B366005" w14:textId="77777777" w:rsidR="0086253D" w:rsidRDefault="00E37A94">
      <w:pPr>
        <w:pStyle w:val="Heading2"/>
        <w:spacing w:before="280" w:after="120"/>
        <w:jc w:val="left"/>
      </w:pPr>
      <w:bookmarkStart w:id="44" w:name="_Toc232355580"/>
      <w:r>
        <w:rPr>
          <w:rFonts w:ascii="Calibri" w:hAnsi="Calibri"/>
          <w:color w:val="C0122F"/>
          <w:sz w:val="28"/>
        </w:rPr>
        <w:t>Annexe B — Principe d'une politique de sécurité au niveau ligne (illustration)</w:t>
      </w:r>
      <w:bookmarkEnd w:id="44"/>
    </w:p>
    <w:p w14:paraId="300E6AE5" w14:textId="77777777" w:rsidR="0086253D" w:rsidRDefault="00E37A94">
      <w:r>
        <w:t>Référencée en section 3.7. Extrait schématique (anonymisé) illustrant le principe d'une politique RLS de cloisonnement par BU avec dérogation pour rôle transverse ; les noms réels d'objets ont été remplacés.</w:t>
      </w:r>
    </w:p>
    <w:p w14:paraId="3427AD2E" w14:textId="77777777" w:rsidR="0086253D" w:rsidRDefault="00E37A94">
      <w:pPr>
        <w:shd w:val="clear" w:color="auto" w:fill="F2F2F2"/>
        <w:spacing w:before="80" w:after="160"/>
        <w:ind w:left="170"/>
      </w:pPr>
      <w:r>
        <w:rPr>
          <w:rFonts w:ascii="Consolas" w:hAnsi="Consolas"/>
          <w:sz w:val="19"/>
        </w:rPr>
        <w:t>-- Un utilisateur ne voit un dossier que si :</w:t>
      </w:r>
      <w:r>
        <w:rPr>
          <w:rFonts w:ascii="Consolas" w:hAnsi="Consolas"/>
          <w:sz w:val="19"/>
        </w:rPr>
        <w:br/>
        <w:t>--   le dossier appartient à sa Business Unit</w:t>
      </w:r>
      <w:r>
        <w:rPr>
          <w:rFonts w:ascii="Consolas" w:hAnsi="Consolas"/>
          <w:sz w:val="19"/>
        </w:rPr>
        <w:br/>
        <w:t>--   OU il occupe un rôle transverse (planificateur, inspecteur…)</w:t>
      </w:r>
      <w:r>
        <w:rPr>
          <w:rFonts w:ascii="Consolas" w:hAnsi="Consolas"/>
          <w:sz w:val="19"/>
        </w:rPr>
        <w:br/>
        <w:t>--   OU il est personnellement assigné au dossier</w:t>
      </w:r>
      <w:r>
        <w:rPr>
          <w:rFonts w:ascii="Consolas" w:hAnsi="Consolas"/>
          <w:sz w:val="19"/>
        </w:rPr>
        <w:br/>
        <w:t>CREATE POLICY dossiers_select ON dossiers</w:t>
      </w:r>
      <w:r>
        <w:rPr>
          <w:rFonts w:ascii="Consolas" w:hAnsi="Consolas"/>
          <w:sz w:val="19"/>
        </w:rPr>
        <w:br/>
        <w:t xml:space="preserve">  FOR SELECT USING (</w:t>
      </w:r>
      <w:r>
        <w:rPr>
          <w:rFonts w:ascii="Consolas" w:hAnsi="Consolas"/>
          <w:sz w:val="19"/>
        </w:rPr>
        <w:br/>
        <w:t xml:space="preserve">        business_unit_id = current_user_bu()</w:t>
      </w:r>
      <w:r>
        <w:rPr>
          <w:rFonts w:ascii="Consolas" w:hAnsi="Consolas"/>
          <w:sz w:val="19"/>
        </w:rPr>
        <w:br/>
        <w:t xml:space="preserve">     OR current_user_is_transverse()</w:t>
      </w:r>
      <w:r>
        <w:rPr>
          <w:rFonts w:ascii="Consolas" w:hAnsi="Consolas"/>
          <w:sz w:val="19"/>
        </w:rPr>
        <w:br/>
        <w:t xml:space="preserve">     OR dossier_assigned_to_me(id)</w:t>
      </w:r>
      <w:r>
        <w:rPr>
          <w:rFonts w:ascii="Consolas" w:hAnsi="Consolas"/>
          <w:sz w:val="19"/>
        </w:rPr>
        <w:br/>
        <w:t xml:space="preserve">  );</w:t>
      </w:r>
    </w:p>
    <w:p w14:paraId="712B9D51" w14:textId="77777777" w:rsidR="0086253D" w:rsidRDefault="00E37A94">
      <w:pPr>
        <w:pStyle w:val="Heading2"/>
        <w:spacing w:before="280" w:after="120"/>
        <w:jc w:val="left"/>
      </w:pPr>
      <w:bookmarkStart w:id="45" w:name="_Toc232355581"/>
      <w:r>
        <w:rPr>
          <w:rFonts w:ascii="Calibri" w:hAnsi="Calibri"/>
          <w:color w:val="C0122F"/>
          <w:sz w:val="28"/>
        </w:rPr>
        <w:t>Annexe C — Table des figures</w:t>
      </w:r>
      <w:bookmarkEnd w:id="45"/>
    </w:p>
    <w:p w14:paraId="313F23F0" w14:textId="77777777" w:rsidR="0086253D" w:rsidRDefault="00E37A94">
      <w:pPr>
        <w:pStyle w:val="ListBullet"/>
        <w:spacing w:after="40"/>
        <w:ind w:left="340"/>
      </w:pPr>
      <w:r>
        <w:t>Figure 1 — Modèle de données simplifié d'AQI.</w:t>
      </w:r>
    </w:p>
    <w:p w14:paraId="5E527D3C" w14:textId="77777777" w:rsidR="0086253D" w:rsidRDefault="00E37A94">
      <w:pPr>
        <w:pStyle w:val="ListBullet"/>
        <w:spacing w:after="40"/>
        <w:ind w:left="340"/>
      </w:pPr>
      <w:r>
        <w:t>Figure 2 — Pipeline d'ingestion de la migration legacy.</w:t>
      </w:r>
    </w:p>
    <w:p w14:paraId="1D9B58D7" w14:textId="77777777" w:rsidR="0086253D" w:rsidRDefault="00E37A94">
      <w:pPr>
        <w:pStyle w:val="ListBullet"/>
        <w:spacing w:after="40"/>
        <w:ind w:left="340"/>
      </w:pPr>
      <w:r>
        <w:t>Figure 3 — Passerelle de synchronisation AQI ↔ E3S.</w:t>
      </w:r>
    </w:p>
    <w:p w14:paraId="6BABF51D" w14:textId="77777777" w:rsidR="0086253D" w:rsidRDefault="00E37A94">
      <w:pPr>
        <w:pStyle w:val="ListBullet"/>
        <w:spacing w:after="40"/>
        <w:ind w:left="340"/>
      </w:pPr>
      <w:r>
        <w:t>Figure 4 — Cycle de vie d'un dossier (machine à états).</w:t>
      </w:r>
    </w:p>
    <w:p w14:paraId="3EE73E8A" w14:textId="77777777" w:rsidR="0086253D" w:rsidRDefault="00E37A94">
      <w:pPr>
        <w:pStyle w:val="ListBullet"/>
        <w:spacing w:after="40"/>
        <w:ind w:left="340"/>
      </w:pPr>
      <w:r>
        <w:t>Figure 5 — Stratégie « prod-safe » de migration en trois temps.</w:t>
      </w:r>
    </w:p>
    <w:sectPr w:rsidR="0086253D" w:rsidSect="00034616">
      <w:footerReference w:type="default" r:id="rId14"/>
      <w:pgSz w:w="11906" w:h="16838"/>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30B82" w14:textId="77777777" w:rsidR="00E37A94" w:rsidRDefault="00E37A94">
      <w:pPr>
        <w:spacing w:after="0" w:line="240" w:lineRule="auto"/>
      </w:pPr>
      <w:r>
        <w:separator/>
      </w:r>
    </w:p>
  </w:endnote>
  <w:endnote w:type="continuationSeparator" w:id="0">
    <w:p w14:paraId="2B0B70CB" w14:textId="77777777" w:rsidR="00E37A94" w:rsidRDefault="00E37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C8496" w14:textId="77777777" w:rsidR="0086253D" w:rsidRDefault="00E37A94">
    <w:pPr>
      <w:pStyle w:val="Footer"/>
      <w:jc w:val="center"/>
    </w:pPr>
    <w:r>
      <w:fldChar w:fldCharType="begin"/>
    </w:r>
    <w:r>
      <w:instrText>PAGE</w:instrText>
    </w:r>
    <w:r>
      <w:fldChar w:fldCharType="separate"/>
    </w:r>
    <w:r w:rsidR="004B7B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45A82" w14:textId="77777777" w:rsidR="00E37A94" w:rsidRDefault="00E37A94">
      <w:pPr>
        <w:spacing w:after="0" w:line="240" w:lineRule="auto"/>
      </w:pPr>
      <w:r>
        <w:separator/>
      </w:r>
    </w:p>
  </w:footnote>
  <w:footnote w:type="continuationSeparator" w:id="0">
    <w:p w14:paraId="724E5191" w14:textId="77777777" w:rsidR="00E37A94" w:rsidRDefault="00E37A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9572488">
    <w:abstractNumId w:val="8"/>
  </w:num>
  <w:num w:numId="2" w16cid:durableId="728193670">
    <w:abstractNumId w:val="6"/>
  </w:num>
  <w:num w:numId="3" w16cid:durableId="1929390020">
    <w:abstractNumId w:val="5"/>
  </w:num>
  <w:num w:numId="4" w16cid:durableId="2112780385">
    <w:abstractNumId w:val="4"/>
  </w:num>
  <w:num w:numId="5" w16cid:durableId="1972515459">
    <w:abstractNumId w:val="7"/>
  </w:num>
  <w:num w:numId="6" w16cid:durableId="1022365344">
    <w:abstractNumId w:val="3"/>
  </w:num>
  <w:num w:numId="7" w16cid:durableId="1128476580">
    <w:abstractNumId w:val="2"/>
  </w:num>
  <w:num w:numId="8" w16cid:durableId="1121070205">
    <w:abstractNumId w:val="1"/>
  </w:num>
  <w:num w:numId="9" w16cid:durableId="86320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395"/>
    <w:rsid w:val="00326F90"/>
    <w:rsid w:val="004B7BF3"/>
    <w:rsid w:val="0086253D"/>
    <w:rsid w:val="00AA1D8D"/>
    <w:rsid w:val="00B47730"/>
    <w:rsid w:val="00CB0664"/>
    <w:rsid w:val="00E37A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81AB54"/>
  <w14:defaultImageDpi w14:val="300"/>
  <w15:docId w15:val="{33873FAE-02DD-4B60-A12B-916A009B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B7BF3"/>
    <w:pPr>
      <w:spacing w:after="100"/>
    </w:pPr>
  </w:style>
  <w:style w:type="paragraph" w:styleId="TOC2">
    <w:name w:val="toc 2"/>
    <w:basedOn w:val="Normal"/>
    <w:next w:val="Normal"/>
    <w:autoRedefine/>
    <w:uiPriority w:val="39"/>
    <w:unhideWhenUsed/>
    <w:rsid w:val="004B7BF3"/>
    <w:pPr>
      <w:spacing w:after="100"/>
      <w:ind w:left="220"/>
    </w:pPr>
  </w:style>
  <w:style w:type="paragraph" w:styleId="TOC3">
    <w:name w:val="toc 3"/>
    <w:basedOn w:val="Normal"/>
    <w:next w:val="Normal"/>
    <w:autoRedefine/>
    <w:uiPriority w:val="39"/>
    <w:unhideWhenUsed/>
    <w:rsid w:val="004B7BF3"/>
    <w:pPr>
      <w:spacing w:after="100"/>
      <w:ind w:left="440"/>
    </w:pPr>
  </w:style>
  <w:style w:type="character" w:styleId="Hyperlink">
    <w:name w:val="Hyperlink"/>
    <w:basedOn w:val="DefaultParagraphFont"/>
    <w:uiPriority w:val="99"/>
    <w:unhideWhenUsed/>
    <w:rsid w:val="004B7B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11325</Words>
  <Characters>62678</Characters>
  <Application>Microsoft Office Word</Application>
  <DocSecurity>0</DocSecurity>
  <Lines>1088</Lines>
  <Paragraphs>417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Angelos LEMIRE</cp:lastModifiedBy>
  <cp:revision>2</cp:revision>
  <dcterms:created xsi:type="dcterms:W3CDTF">2013-12-23T23:15:00Z</dcterms:created>
  <dcterms:modified xsi:type="dcterms:W3CDTF">2026-06-14T16:51:00Z</dcterms:modified>
  <cp:category/>
</cp:coreProperties>
</file>