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pBdr>
        <w:spacing w:line="240" w:lineRule="auto"/>
        <w:ind w:left="1280" w:right="1220" w:firstLine="0"/>
        <w:jc w:val="center"/>
        <w:rPr>
          <w:b w:val="1"/>
          <w:sz w:val="28"/>
          <w:szCs w:val="28"/>
        </w:rPr>
      </w:pPr>
      <w:r w:rsidDel="00000000" w:rsidR="00000000" w:rsidRPr="00000000">
        <w:rPr>
          <w:b w:val="1"/>
          <w:sz w:val="28"/>
          <w:szCs w:val="28"/>
          <w:rtl w:val="0"/>
        </w:rPr>
        <w:t xml:space="preserve">HERVEN PONTANAR</w:t>
      </w:r>
    </w:p>
    <w:p w:rsidR="00000000" w:rsidDel="00000000" w:rsidP="00000000" w:rsidRDefault="00000000" w:rsidRPr="00000000" w14:paraId="00000002">
      <w:pPr>
        <w:pBdr>
          <w:top w:color="auto" w:space="0" w:sz="0" w:val="none"/>
          <w:bottom w:color="auto" w:space="0" w:sz="0" w:val="none"/>
        </w:pBdr>
        <w:spacing w:line="240" w:lineRule="auto"/>
        <w:rPr>
          <w:b w:val="1"/>
          <w:sz w:val="28"/>
          <w:szCs w:val="28"/>
        </w:rPr>
      </w:pPr>
      <w:r w:rsidDel="00000000" w:rsidR="00000000" w:rsidRPr="00000000">
        <w:rPr>
          <w:b w:val="1"/>
          <w:sz w:val="28"/>
          <w:szCs w:val="28"/>
        </w:rPr>
        <w:drawing>
          <wp:inline distB="114300" distT="114300" distL="114300" distR="114300">
            <wp:extent cx="5232400" cy="1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24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pBdr>
        <w:spacing w:line="240" w:lineRule="auto"/>
        <w:ind w:left="1280" w:right="1220" w:firstLine="0"/>
        <w:jc w:val="center"/>
        <w:rPr>
          <w:b w:val="1"/>
          <w:sz w:val="28"/>
          <w:szCs w:val="28"/>
        </w:rPr>
      </w:pPr>
      <w:r w:rsidDel="00000000" w:rsidR="00000000" w:rsidRPr="00000000">
        <w:rPr>
          <w:b w:val="1"/>
          <w:sz w:val="28"/>
          <w:szCs w:val="28"/>
          <w:rtl w:val="0"/>
        </w:rPr>
        <w:t xml:space="preserve">SUPERVISOR</w:t>
      </w:r>
    </w:p>
    <w:p w:rsidR="00000000" w:rsidDel="00000000" w:rsidP="00000000" w:rsidRDefault="00000000" w:rsidRPr="00000000" w14:paraId="00000004">
      <w:pPr>
        <w:pStyle w:val="Heading1"/>
        <w:keepNext w:val="0"/>
        <w:keepLines w:val="0"/>
        <w:pBdr>
          <w:top w:color="auto" w:space="4" w:sz="0" w:val="none"/>
          <w:bottom w:color="auto" w:space="0" w:sz="0" w:val="none"/>
        </w:pBdr>
        <w:spacing w:before="480" w:line="240" w:lineRule="auto"/>
        <w:ind w:left="1280" w:right="1220" w:firstLine="0"/>
        <w:jc w:val="center"/>
        <w:rPr>
          <w:b w:val="1"/>
          <w:sz w:val="36"/>
          <w:szCs w:val="36"/>
        </w:rPr>
      </w:pPr>
      <w:bookmarkStart w:colFirst="0" w:colLast="0" w:name="_n9gnxegvlfi5" w:id="0"/>
      <w:bookmarkEnd w:id="0"/>
      <w:r w:rsidDel="00000000" w:rsidR="00000000" w:rsidRPr="00000000">
        <w:rPr>
          <w:b w:val="1"/>
          <w:sz w:val="36"/>
          <w:szCs w:val="36"/>
          <w:rtl w:val="0"/>
        </w:rPr>
        <w:t xml:space="preserve">INTRODUCTION</w:t>
      </w:r>
    </w:p>
    <w:p w:rsidR="00000000" w:rsidDel="00000000" w:rsidP="00000000" w:rsidRDefault="00000000" w:rsidRPr="00000000" w14:paraId="00000005">
      <w:pPr>
        <w:pBdr>
          <w:top w:color="auto" w:space="0" w:sz="0" w:val="none"/>
          <w:bottom w:color="auto" w:space="0" w:sz="0" w:val="none"/>
          <w:between w:color="auto" w:space="0" w:sz="0" w:val="none"/>
        </w:pBdr>
        <w:spacing w:line="480" w:lineRule="auto"/>
        <w:ind w:left="100" w:right="640" w:firstLine="720"/>
        <w:jc w:val="both"/>
        <w:rPr>
          <w:sz w:val="24"/>
          <w:szCs w:val="24"/>
        </w:rPr>
      </w:pPr>
      <w:r w:rsidDel="00000000" w:rsidR="00000000" w:rsidRPr="00000000">
        <w:rPr>
          <w:sz w:val="24"/>
          <w:szCs w:val="24"/>
          <w:rtl w:val="0"/>
        </w:rPr>
        <w:t xml:space="preserve">I am Kevin John A. Juntilla. I started my training in Teradyne on September 13, 2023, assigned in PBT-Ateops Team. Expected to end on September 13, 2024.</w:t>
      </w:r>
    </w:p>
    <w:p w:rsidR="00000000" w:rsidDel="00000000" w:rsidP="00000000" w:rsidRDefault="00000000" w:rsidRPr="00000000" w14:paraId="00000006">
      <w:pPr>
        <w:pBdr>
          <w:top w:color="auto" w:space="8" w:sz="0" w:val="none"/>
          <w:bottom w:color="auto" w:space="0" w:sz="0" w:val="none"/>
        </w:pBdr>
        <w:spacing w:line="480" w:lineRule="auto"/>
        <w:ind w:left="100" w:right="260" w:firstLine="60"/>
        <w:jc w:val="both"/>
        <w:rPr>
          <w:sz w:val="24"/>
          <w:szCs w:val="24"/>
        </w:rPr>
      </w:pPr>
      <w:r w:rsidDel="00000000" w:rsidR="00000000" w:rsidRPr="00000000">
        <w:rPr>
          <w:sz w:val="24"/>
          <w:szCs w:val="24"/>
          <w:rtl w:val="0"/>
        </w:rPr>
        <w:t xml:space="preserve">The Teradyne automate two manufacturing's most critical elements: repetitive manual task and electronic test. Task automation is a robotic that automates tasks, deliver fast and free people to reach their potential.</w:t>
      </w:r>
    </w:p>
    <w:p w:rsidR="00000000" w:rsidDel="00000000" w:rsidP="00000000" w:rsidRDefault="00000000" w:rsidRPr="00000000" w14:paraId="00000007">
      <w:pPr>
        <w:pBdr>
          <w:top w:color="auto" w:space="8" w:sz="0" w:val="none"/>
          <w:bottom w:color="auto" w:space="0" w:sz="0" w:val="none"/>
        </w:pBdr>
        <w:spacing w:line="480" w:lineRule="auto"/>
        <w:ind w:left="100" w:firstLine="0"/>
        <w:jc w:val="both"/>
        <w:rPr>
          <w:sz w:val="24"/>
          <w:szCs w:val="24"/>
        </w:rPr>
      </w:pPr>
      <w:r w:rsidDel="00000000" w:rsidR="00000000" w:rsidRPr="00000000">
        <w:rPr>
          <w:sz w:val="24"/>
          <w:szCs w:val="24"/>
          <w:rtl w:val="0"/>
        </w:rPr>
        <w:t xml:space="preserve">Electronic test is automated test equipment (ATE) speeds time-to-market for new electronics, in markets where reliability and performance are critical.</w:t>
      </w:r>
    </w:p>
    <w:p w:rsidR="00000000" w:rsidDel="00000000" w:rsidP="00000000" w:rsidRDefault="00000000" w:rsidRPr="00000000" w14:paraId="00000008">
      <w:pPr>
        <w:pBdr>
          <w:top w:color="auto" w:space="8" w:sz="0" w:val="none"/>
          <w:bottom w:color="auto" w:space="0" w:sz="0" w:val="none"/>
        </w:pBdr>
        <w:spacing w:line="480" w:lineRule="auto"/>
        <w:ind w:left="100" w:firstLine="0"/>
        <w:jc w:val="both"/>
        <w:rPr>
          <w:sz w:val="24"/>
          <w:szCs w:val="24"/>
        </w:rPr>
      </w:pPr>
      <w:r w:rsidDel="00000000" w:rsidR="00000000" w:rsidRPr="00000000">
        <w:rPr>
          <w:sz w:val="24"/>
          <w:szCs w:val="24"/>
          <w:rtl w:val="0"/>
        </w:rPr>
        <w:t xml:space="preserve">All of Teradyne's creations and investments are focused on assisting businesses in producing their best-in-class goods as soon as possible and at the most profitable economics. The unwavering curiosity of the staff promotes teamwork that solves issues and raises level of competitiveness. Businesses of all sizes operating in a variety of markets make up Teradyne's customers, and they rely on Teradyne to guarantee that their products function exactly as intended.</w:t>
      </w:r>
    </w:p>
    <w:p w:rsidR="00000000" w:rsidDel="00000000" w:rsidP="00000000" w:rsidRDefault="00000000" w:rsidRPr="00000000" w14:paraId="00000009">
      <w:pPr>
        <w:pBdr>
          <w:top w:color="auto" w:space="8" w:sz="0" w:val="none"/>
          <w:bottom w:color="auto" w:space="0" w:sz="0" w:val="none"/>
        </w:pBdr>
        <w:spacing w:line="484.0008" w:lineRule="auto"/>
        <w:ind w:left="100" w:firstLine="0"/>
        <w:jc w:val="both"/>
        <w:rPr>
          <w:sz w:val="24"/>
          <w:szCs w:val="24"/>
        </w:rPr>
      </w:pPr>
      <w:r w:rsidDel="00000000" w:rsidR="00000000" w:rsidRPr="00000000">
        <w:rPr>
          <w:sz w:val="24"/>
          <w:szCs w:val="24"/>
          <w:rtl w:val="0"/>
        </w:rPr>
        <w:t xml:space="preserve">Teradyne's unwavering dedication to advanced testing and automation means that, with Teradyne's customers, they're improving how the world lives, works and innovates.</w:t>
      </w:r>
    </w:p>
    <w:p w:rsidR="00000000" w:rsidDel="00000000" w:rsidP="00000000" w:rsidRDefault="00000000" w:rsidRPr="00000000" w14:paraId="0000000A">
      <w:pPr>
        <w:numPr>
          <w:ilvl w:val="0"/>
          <w:numId w:val="1"/>
        </w:numPr>
        <w:pBdr>
          <w:top w:color="auto" w:space="8" w:sz="0" w:val="none"/>
          <w:bottom w:color="auto" w:space="0" w:sz="0" w:val="none"/>
        </w:pBdr>
        <w:spacing w:line="240" w:lineRule="auto"/>
        <w:ind w:left="1540" w:hanging="360"/>
        <w:jc w:val="both"/>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