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7877D">
      <w:pPr>
        <w:rPr>
          <w:b/>
          <w:color w:val="FF0000"/>
          <w:sz w:val="30"/>
          <w:szCs w:val="30"/>
        </w:rPr>
      </w:pPr>
      <w:bookmarkStart w:id="1" w:name="_GoBack"/>
      <w:bookmarkEnd w:id="1"/>
      <w:r>
        <w:rPr>
          <w:b/>
          <w:color w:val="FF0000"/>
          <w:sz w:val="30"/>
          <w:szCs w:val="30"/>
        </w:rPr>
        <mc:AlternateContent>
          <mc:Choice Requires="wps">
            <w:drawing>
              <wp:anchor distT="0" distB="0" distL="114300" distR="114300" simplePos="0" relativeHeight="251659264" behindDoc="0" locked="0" layoutInCell="1" allowOverlap="1">
                <wp:simplePos x="0" y="0"/>
                <wp:positionH relativeFrom="column">
                  <wp:posOffset>3490595</wp:posOffset>
                </wp:positionH>
                <wp:positionV relativeFrom="paragraph">
                  <wp:posOffset>9525</wp:posOffset>
                </wp:positionV>
                <wp:extent cx="2190750" cy="476250"/>
                <wp:effectExtent l="9525" t="9525" r="9525" b="9525"/>
                <wp:wrapNone/>
                <wp:docPr id="1" name="文本框 1"/>
                <wp:cNvGraphicFramePr/>
                <a:graphic xmlns:a="http://schemas.openxmlformats.org/drawingml/2006/main">
                  <a:graphicData uri="http://schemas.microsoft.com/office/word/2010/wordprocessingShape">
                    <wps:wsp>
                      <wps:cNvSpPr txBox="1"/>
                      <wps:spPr>
                        <a:xfrm>
                          <a:off x="0" y="0"/>
                          <a:ext cx="2190750" cy="476250"/>
                        </a:xfrm>
                        <a:prstGeom prst="rect">
                          <a:avLst/>
                        </a:prstGeom>
                        <a:solidFill>
                          <a:srgbClr val="FFFFFF"/>
                        </a:solidFill>
                        <a:ln w="19050" cap="flat" cmpd="sng">
                          <a:solidFill>
                            <a:srgbClr val="000000"/>
                          </a:solidFill>
                          <a:prstDash val="solid"/>
                          <a:miter/>
                          <a:headEnd type="none" w="med" len="med"/>
                          <a:tailEnd type="none" w="med" len="med"/>
                        </a:ln>
                      </wps:spPr>
                      <wps:txbx>
                        <w:txbxContent>
                          <w:p w14:paraId="49F4D42C">
                            <w:pPr>
                              <w:rPr>
                                <w:b/>
                                <w:bCs/>
                                <w:sz w:val="28"/>
                                <w:szCs w:val="28"/>
                              </w:rPr>
                            </w:pPr>
                            <w:r>
                              <w:rPr>
                                <w:rFonts w:hint="eastAsia" w:cs="宋体"/>
                                <w:b/>
                                <w:bCs/>
                                <w:sz w:val="28"/>
                                <w:szCs w:val="28"/>
                              </w:rPr>
                              <w:t>成绩：</w:t>
                            </w:r>
                          </w:p>
                        </w:txbxContent>
                      </wps:txbx>
                      <wps:bodyPr upright="1"/>
                    </wps:wsp>
                  </a:graphicData>
                </a:graphic>
              </wp:anchor>
            </w:drawing>
          </mc:Choice>
          <mc:Fallback>
            <w:pict>
              <v:shape id="_x0000_s1026" o:spid="_x0000_s1026" o:spt="202" type="#_x0000_t202" style="position:absolute;left:0pt;margin-left:274.85pt;margin-top:0.75pt;height:37.5pt;width:172.5pt;z-index:251659264;mso-width-relative:page;mso-height-relative:page;" fillcolor="#FFFFFF" filled="t" stroked="t" coordsize="21600,21600" o:gfxdata="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OC+F2NQAAAAIAQAADwAAAAAAAAABACAAAAAiAAAAZHJz&#10;L2Rvd25yZXYueG1sUEsBAhQAFAAAAAgAh07iQHb8joQIAgAANwQAAA4AAAAAAAAAAQAgAAAAIwEA&#10;AGRycy9lMm9Eb2MueG1sUEsFBgAAAAAGAAYAWQEAAJ0FAAAAAA==&#10;">
                <v:fill on="t" focussize="0,0"/>
                <v:stroke weight="1.5pt" color="#000000" joinstyle="miter"/>
                <v:imagedata o:title=""/>
                <o:lock v:ext="edit" aspectratio="f"/>
                <v:textbox>
                  <w:txbxContent>
                    <w:p w14:paraId="49F4D42C">
                      <w:pPr>
                        <w:rPr>
                          <w:b/>
                          <w:bCs/>
                          <w:sz w:val="28"/>
                          <w:szCs w:val="28"/>
                        </w:rPr>
                      </w:pPr>
                      <w:r>
                        <w:rPr>
                          <w:rFonts w:hint="eastAsia" w:cs="宋体"/>
                          <w:b/>
                          <w:bCs/>
                          <w:sz w:val="28"/>
                          <w:szCs w:val="28"/>
                        </w:rPr>
                        <w:t>成绩：</w:t>
                      </w:r>
                    </w:p>
                  </w:txbxContent>
                </v:textbox>
              </v:shape>
            </w:pict>
          </mc:Fallback>
        </mc:AlternateContent>
      </w:r>
    </w:p>
    <w:p w14:paraId="78C86D7E">
      <w:pPr>
        <w:rPr>
          <w:b/>
          <w:color w:val="FF0000"/>
          <w:sz w:val="28"/>
          <w:szCs w:val="28"/>
        </w:rPr>
      </w:pPr>
    </w:p>
    <w:p w14:paraId="73F054F6"/>
    <w:p w14:paraId="44762DA0"/>
    <w:p w14:paraId="14A32141"/>
    <w:p w14:paraId="7CE6B466">
      <w:pPr>
        <w:jc w:val="center"/>
        <w:rPr>
          <w:rFonts w:ascii="华文行楷" w:eastAsia="华文行楷"/>
          <w:sz w:val="44"/>
          <w:szCs w:val="44"/>
        </w:rPr>
      </w:pPr>
      <w:r>
        <w:rPr>
          <w:rFonts w:hint="eastAsia" w:ascii="华文行楷" w:eastAsia="华文行楷"/>
          <w:sz w:val="44"/>
          <w:szCs w:val="44"/>
        </w:rPr>
        <w:t>西南科技大学</w:t>
      </w:r>
      <w:r>
        <w:rPr>
          <w:rFonts w:hint="eastAsia" w:ascii="华文行楷" w:eastAsia="华文行楷"/>
          <w:sz w:val="44"/>
          <w:szCs w:val="44"/>
          <w:lang w:val="en-US" w:eastAsia="zh-CN"/>
        </w:rPr>
        <w:t>医</w:t>
      </w:r>
      <w:r>
        <w:rPr>
          <w:rFonts w:hint="eastAsia" w:ascii="华文行楷" w:eastAsia="华文行楷"/>
          <w:sz w:val="44"/>
          <w:szCs w:val="44"/>
        </w:rPr>
        <w:t>学院</w:t>
      </w:r>
      <w:r>
        <w:rPr>
          <w:rFonts w:hint="eastAsia" w:ascii="华文行楷" w:eastAsia="华文行楷"/>
          <w:sz w:val="44"/>
          <w:szCs w:val="44"/>
          <w:lang w:val="en-US" w:eastAsia="zh-CN"/>
        </w:rPr>
        <w:t>生物医学</w:t>
      </w:r>
      <w:r>
        <w:rPr>
          <w:rFonts w:hint="eastAsia" w:ascii="华文行楷" w:eastAsia="华文行楷"/>
          <w:sz w:val="44"/>
          <w:szCs w:val="44"/>
        </w:rPr>
        <w:t>工程系</w:t>
      </w:r>
    </w:p>
    <w:p w14:paraId="05B7D563">
      <w:pPr>
        <w:jc w:val="center"/>
        <w:rPr>
          <w:rFonts w:ascii="黑体" w:hAnsi="黑体" w:eastAsia="黑体"/>
          <w:sz w:val="52"/>
          <w:szCs w:val="52"/>
        </w:rPr>
      </w:pPr>
      <w:r>
        <w:rPr>
          <w:rFonts w:hint="eastAsia" w:ascii="黑体" w:hAnsi="黑体" w:eastAsia="黑体" w:cs="宋体"/>
          <w:sz w:val="52"/>
          <w:szCs w:val="52"/>
        </w:rPr>
        <w:t>综合设计报告</w:t>
      </w:r>
    </w:p>
    <w:p w14:paraId="2E43D080">
      <w:pPr>
        <w:jc w:val="center"/>
        <w:rPr>
          <w:rFonts w:ascii="宋体"/>
          <w:sz w:val="84"/>
          <w:szCs w:val="84"/>
        </w:rPr>
      </w:pPr>
    </w:p>
    <w:p w14:paraId="6FDF7586">
      <w:pPr>
        <w:jc w:val="center"/>
        <w:rPr>
          <w:rFonts w:ascii="宋体"/>
          <w:sz w:val="24"/>
          <w:szCs w:val="24"/>
        </w:rPr>
      </w:pPr>
    </w:p>
    <w:p w14:paraId="1C1E1268">
      <w:pPr>
        <w:jc w:val="center"/>
        <w:rPr>
          <w:rFonts w:ascii="宋体"/>
          <w:sz w:val="24"/>
          <w:szCs w:val="24"/>
        </w:rPr>
      </w:pPr>
    </w:p>
    <w:p w14:paraId="6180A335">
      <w:pPr>
        <w:jc w:val="center"/>
        <w:rPr>
          <w:rFonts w:ascii="宋体"/>
          <w:sz w:val="24"/>
          <w:szCs w:val="24"/>
        </w:rPr>
      </w:pPr>
    </w:p>
    <w:p w14:paraId="03102E43">
      <w:pPr>
        <w:spacing w:before="156" w:beforeLines="50" w:after="156" w:afterLines="50"/>
        <w:ind w:left="840" w:firstLine="420"/>
        <w:rPr>
          <w:rFonts w:ascii="宋体"/>
          <w:b/>
          <w:bCs/>
          <w:sz w:val="30"/>
          <w:szCs w:val="30"/>
          <w:u w:val="single"/>
        </w:rPr>
      </w:pPr>
      <w:r>
        <w:rPr>
          <w:rFonts w:hint="eastAsia" w:ascii="宋体" w:hAnsi="宋体" w:cs="宋体"/>
          <w:b/>
          <w:bCs/>
          <w:sz w:val="30"/>
          <w:szCs w:val="30"/>
        </w:rPr>
        <w:t>设计题目：</w:t>
      </w:r>
      <w:r>
        <w:rPr>
          <w:rFonts w:ascii="Times New Roman" w:hAnsi="Times New Roman" w:eastAsia="宋体"/>
          <w:sz w:val="28"/>
        </w:rPr>
        <w:t>CT肺部三切片病灶自动检测与可视化</w:t>
      </w:r>
    </w:p>
    <w:p w14:paraId="3EA4F8EA">
      <w:pPr>
        <w:spacing w:before="156" w:beforeLines="50" w:after="156" w:afterLines="50"/>
        <w:ind w:left="840" w:firstLine="420"/>
        <w:rPr>
          <w:rFonts w:ascii="宋体"/>
          <w:b/>
          <w:bCs/>
          <w:sz w:val="30"/>
          <w:szCs w:val="30"/>
        </w:rPr>
      </w:pPr>
      <w:r>
        <w:rPr>
          <w:rFonts w:hint="eastAsia" w:ascii="宋体" w:hAnsi="宋体" w:cs="宋体"/>
          <w:b/>
          <w:bCs/>
          <w:sz w:val="30"/>
          <w:szCs w:val="30"/>
        </w:rPr>
        <w:t>专业班级：</w:t>
      </w:r>
    </w:p>
    <w:p w14:paraId="22801F85">
      <w:pPr>
        <w:spacing w:before="156" w:beforeLines="50" w:after="156" w:afterLines="50"/>
        <w:ind w:left="840" w:firstLine="420"/>
        <w:rPr>
          <w:rFonts w:ascii="宋体"/>
          <w:b/>
          <w:bCs/>
          <w:sz w:val="30"/>
          <w:szCs w:val="30"/>
        </w:rPr>
      </w:pPr>
      <w:r>
        <w:rPr>
          <w:rFonts w:hint="eastAsia" w:ascii="宋体" w:hAnsi="宋体" w:cs="宋体"/>
          <w:b/>
          <w:bCs/>
          <w:sz w:val="30"/>
          <w:szCs w:val="30"/>
        </w:rPr>
        <w:t>学生姓名</w:t>
      </w:r>
      <w:bookmarkStart w:id="0" w:name="OLE_LINK1"/>
      <w:r>
        <w:rPr>
          <w:rFonts w:hint="eastAsia" w:ascii="宋体" w:hAnsi="宋体" w:cs="宋体"/>
          <w:b/>
          <w:bCs/>
          <w:sz w:val="30"/>
          <w:szCs w:val="30"/>
        </w:rPr>
        <w:t>：</w:t>
      </w:r>
      <w:bookmarkEnd w:id="0"/>
    </w:p>
    <w:p w14:paraId="25C1050B">
      <w:pPr>
        <w:spacing w:before="156" w:beforeLines="50" w:after="156" w:afterLines="50"/>
        <w:ind w:left="840" w:firstLine="420"/>
        <w:rPr>
          <w:rFonts w:ascii="宋体"/>
          <w:b/>
          <w:bCs/>
          <w:sz w:val="30"/>
          <w:szCs w:val="30"/>
          <w:u w:val="single"/>
        </w:rPr>
      </w:pPr>
      <w:r>
        <w:rPr>
          <w:rFonts w:hint="eastAsia" w:ascii="宋体" w:hAnsi="宋体" w:cs="宋体"/>
          <w:b/>
          <w:bCs/>
          <w:sz w:val="30"/>
          <w:szCs w:val="30"/>
        </w:rPr>
        <w:t>学生学号：</w:t>
      </w:r>
    </w:p>
    <w:p w14:paraId="426CEB57">
      <w:pPr>
        <w:spacing w:before="156" w:beforeLines="50" w:after="156" w:afterLines="50"/>
        <w:ind w:left="840" w:firstLine="420"/>
        <w:rPr>
          <w:rFonts w:ascii="宋体"/>
          <w:b/>
          <w:bCs/>
          <w:sz w:val="30"/>
          <w:szCs w:val="30"/>
          <w:u w:val="single"/>
        </w:rPr>
      </w:pPr>
      <w:r>
        <w:rPr>
          <w:rFonts w:hint="eastAsia" w:ascii="宋体" w:hAnsi="宋体" w:cs="宋体"/>
          <w:b/>
          <w:bCs/>
          <w:sz w:val="30"/>
          <w:szCs w:val="30"/>
        </w:rPr>
        <w:t>指导教师：</w:t>
      </w:r>
    </w:p>
    <w:p w14:paraId="60D9B6F6">
      <w:pPr>
        <w:spacing w:before="156" w:beforeLines="50" w:after="156" w:afterLines="50"/>
        <w:ind w:left="840" w:firstLine="420"/>
        <w:rPr>
          <w:rFonts w:ascii="宋体"/>
          <w:b/>
          <w:bCs/>
          <w:sz w:val="28"/>
          <w:szCs w:val="28"/>
          <w:u w:val="single"/>
        </w:rPr>
      </w:pPr>
      <w:r>
        <w:rPr>
          <w:rFonts w:hint="eastAsia" w:ascii="宋体" w:hAnsi="宋体" w:cs="宋体"/>
          <w:b/>
          <w:bCs/>
          <w:sz w:val="30"/>
          <w:szCs w:val="30"/>
        </w:rPr>
        <w:t>起止日期：</w:t>
      </w:r>
    </w:p>
    <w:p w14:paraId="0F825A4E">
      <w:pPr>
        <w:spacing w:before="156" w:beforeLines="50" w:after="156" w:afterLines="50"/>
        <w:ind w:firstLine="2642"/>
        <w:rPr>
          <w:rFonts w:ascii="宋体"/>
          <w:sz w:val="24"/>
          <w:szCs w:val="24"/>
        </w:rPr>
      </w:pPr>
    </w:p>
    <w:p w14:paraId="7D392718">
      <w:pPr>
        <w:pStyle w:val="7"/>
        <w:jc w:val="center"/>
        <w:rPr>
          <w:rFonts w:hAnsi="宋体" w:cs="Times New Roman"/>
          <w:sz w:val="32"/>
          <w:szCs w:val="32"/>
        </w:rPr>
      </w:pPr>
    </w:p>
    <w:p w14:paraId="3017840F">
      <w:pPr>
        <w:pStyle w:val="7"/>
        <w:jc w:val="center"/>
        <w:rPr>
          <w:rFonts w:hAnsi="宋体" w:cs="Times New Roman"/>
          <w:sz w:val="32"/>
          <w:szCs w:val="32"/>
        </w:rPr>
      </w:pPr>
    </w:p>
    <w:p w14:paraId="5309DAA0">
      <w:pPr>
        <w:pStyle w:val="7"/>
        <w:jc w:val="center"/>
        <w:rPr>
          <w:rFonts w:hAnsi="宋体" w:cs="Times New Roman"/>
          <w:sz w:val="32"/>
          <w:szCs w:val="32"/>
        </w:rPr>
      </w:pPr>
    </w:p>
    <w:p w14:paraId="2F045760">
      <w:pPr>
        <w:pStyle w:val="7"/>
        <w:jc w:val="center"/>
        <w:rPr>
          <w:rFonts w:hAnsi="宋体"/>
          <w:sz w:val="36"/>
          <w:szCs w:val="36"/>
        </w:rPr>
      </w:pPr>
      <w:r>
        <w:rPr>
          <w:rFonts w:hint="eastAsia" w:hAnsi="宋体"/>
          <w:sz w:val="36"/>
          <w:szCs w:val="36"/>
        </w:rPr>
        <w:t>西南科技大学</w:t>
      </w:r>
      <w:r>
        <w:rPr>
          <w:rFonts w:hint="eastAsia" w:hAnsi="宋体"/>
          <w:sz w:val="36"/>
          <w:szCs w:val="36"/>
          <w:lang w:val="en-US" w:eastAsia="zh-CN"/>
        </w:rPr>
        <w:t>医学院生物医学</w:t>
      </w:r>
      <w:r>
        <w:rPr>
          <w:rFonts w:hint="eastAsia" w:hAnsi="宋体"/>
          <w:sz w:val="36"/>
          <w:szCs w:val="36"/>
        </w:rPr>
        <w:t>工程系制</w:t>
      </w:r>
    </w:p>
    <w:p w14:paraId="5234B2E4">
      <w:pPr>
        <w:spacing w:before="156" w:beforeLines="50" w:after="156" w:afterLines="50"/>
        <w:jc w:val="center"/>
        <w:rPr>
          <w:rFonts w:hint="eastAsia" w:ascii="仿宋" w:hAnsi="仿宋" w:eastAsia="仿宋"/>
          <w:b/>
          <w:bCs/>
          <w:sz w:val="32"/>
          <w:szCs w:val="32"/>
        </w:rPr>
      </w:pPr>
      <w:r>
        <w:rPr>
          <w:rFonts w:hAnsi="宋体"/>
          <w:sz w:val="32"/>
          <w:szCs w:val="32"/>
        </w:rPr>
        <w:br w:type="page"/>
      </w:r>
      <w:r>
        <w:rPr>
          <w:rFonts w:hint="eastAsia" w:ascii="华文行楷" w:eastAsia="华文行楷"/>
          <w:sz w:val="44"/>
          <w:szCs w:val="44"/>
        </w:rPr>
        <w:t>西南科技大学医学院生物医学工程系</w:t>
      </w:r>
    </w:p>
    <w:p w14:paraId="67F659B3">
      <w:pPr>
        <w:jc w:val="center"/>
        <w:rPr>
          <w:rFonts w:hint="eastAsia" w:ascii="仿宋" w:hAnsi="仿宋" w:eastAsia="仿宋"/>
          <w:b/>
          <w:bCs/>
          <w:sz w:val="32"/>
          <w:szCs w:val="32"/>
        </w:rPr>
      </w:pPr>
      <w:r>
        <w:rPr>
          <w:rFonts w:hint="eastAsia" w:ascii="仿宋" w:hAnsi="仿宋" w:eastAsia="仿宋" w:cs="仿宋"/>
          <w:b/>
          <w:bCs/>
          <w:sz w:val="32"/>
          <w:szCs w:val="32"/>
        </w:rPr>
        <w:t>综合设计任务书</w:t>
      </w:r>
    </w:p>
    <w:tbl>
      <w:tblPr>
        <w:tblStyle w:val="14"/>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1450"/>
        <w:gridCol w:w="1243"/>
        <w:gridCol w:w="196"/>
        <w:gridCol w:w="1620"/>
        <w:gridCol w:w="1441"/>
        <w:gridCol w:w="1809"/>
      </w:tblGrid>
      <w:tr w14:paraId="617E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241" w:type="dxa"/>
          </w:tcPr>
          <w:p w14:paraId="70DC1558">
            <w:pPr>
              <w:spacing w:line="400" w:lineRule="exact"/>
              <w:jc w:val="center"/>
              <w:rPr>
                <w:rFonts w:ascii="宋体"/>
                <w:sz w:val="24"/>
                <w:szCs w:val="24"/>
              </w:rPr>
            </w:pPr>
            <w:r>
              <w:rPr>
                <w:rFonts w:hint="eastAsia" w:ascii="宋体" w:hAnsi="宋体" w:cs="宋体"/>
                <w:sz w:val="24"/>
                <w:szCs w:val="24"/>
              </w:rPr>
              <w:t>专业班级</w:t>
            </w:r>
          </w:p>
        </w:tc>
        <w:tc>
          <w:tcPr>
            <w:tcW w:w="1450" w:type="dxa"/>
          </w:tcPr>
          <w:p w14:paraId="462BD1B2">
            <w:pPr>
              <w:spacing w:line="400" w:lineRule="exact"/>
              <w:jc w:val="center"/>
              <w:rPr>
                <w:rFonts w:ascii="宋体"/>
                <w:sz w:val="24"/>
                <w:szCs w:val="24"/>
              </w:rPr>
            </w:pPr>
          </w:p>
        </w:tc>
        <w:tc>
          <w:tcPr>
            <w:tcW w:w="1439" w:type="dxa"/>
            <w:gridSpan w:val="2"/>
            <w:vAlign w:val="center"/>
          </w:tcPr>
          <w:p w14:paraId="1A1875E7">
            <w:pPr>
              <w:spacing w:line="400" w:lineRule="exact"/>
              <w:jc w:val="center"/>
              <w:rPr>
                <w:rFonts w:ascii="宋体"/>
                <w:sz w:val="24"/>
                <w:szCs w:val="24"/>
              </w:rPr>
            </w:pPr>
            <w:r>
              <w:rPr>
                <w:rFonts w:hint="eastAsia" w:ascii="宋体" w:hAnsi="宋体" w:cs="宋体"/>
                <w:sz w:val="24"/>
                <w:szCs w:val="24"/>
              </w:rPr>
              <w:t>学生姓名</w:t>
            </w:r>
          </w:p>
        </w:tc>
        <w:tc>
          <w:tcPr>
            <w:tcW w:w="1620" w:type="dxa"/>
          </w:tcPr>
          <w:p w14:paraId="376FE966">
            <w:pPr>
              <w:spacing w:line="400" w:lineRule="exact"/>
              <w:jc w:val="center"/>
              <w:rPr>
                <w:rFonts w:ascii="宋体"/>
                <w:sz w:val="24"/>
                <w:szCs w:val="24"/>
              </w:rPr>
            </w:pPr>
          </w:p>
        </w:tc>
        <w:tc>
          <w:tcPr>
            <w:tcW w:w="1441" w:type="dxa"/>
            <w:vAlign w:val="center"/>
          </w:tcPr>
          <w:p w14:paraId="5B59B6A9">
            <w:pPr>
              <w:spacing w:line="400" w:lineRule="exact"/>
              <w:jc w:val="center"/>
              <w:rPr>
                <w:rFonts w:ascii="宋体"/>
                <w:sz w:val="24"/>
                <w:szCs w:val="24"/>
              </w:rPr>
            </w:pPr>
            <w:r>
              <w:rPr>
                <w:rFonts w:hint="eastAsia" w:ascii="宋体" w:hAnsi="宋体" w:cs="宋体"/>
                <w:sz w:val="24"/>
                <w:szCs w:val="24"/>
              </w:rPr>
              <w:t>学　号</w:t>
            </w:r>
          </w:p>
        </w:tc>
        <w:tc>
          <w:tcPr>
            <w:tcW w:w="1809" w:type="dxa"/>
          </w:tcPr>
          <w:p w14:paraId="1BC14B9C">
            <w:pPr>
              <w:spacing w:line="400" w:lineRule="exact"/>
              <w:jc w:val="center"/>
              <w:rPr>
                <w:rFonts w:ascii="宋体"/>
                <w:sz w:val="24"/>
                <w:szCs w:val="24"/>
              </w:rPr>
            </w:pPr>
          </w:p>
        </w:tc>
      </w:tr>
      <w:tr w14:paraId="550C1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241" w:type="dxa"/>
            <w:vAlign w:val="center"/>
          </w:tcPr>
          <w:p w14:paraId="4A47FC70">
            <w:pPr>
              <w:spacing w:line="400" w:lineRule="exact"/>
              <w:jc w:val="center"/>
              <w:rPr>
                <w:rFonts w:ascii="宋体"/>
                <w:sz w:val="24"/>
                <w:szCs w:val="24"/>
              </w:rPr>
            </w:pPr>
            <w:r>
              <w:rPr>
                <w:rFonts w:hint="eastAsia" w:ascii="宋体" w:hAnsi="宋体" w:cs="宋体"/>
                <w:sz w:val="24"/>
                <w:szCs w:val="24"/>
              </w:rPr>
              <w:t>设计题目</w:t>
            </w:r>
          </w:p>
        </w:tc>
        <w:tc>
          <w:tcPr>
            <w:tcW w:w="7759" w:type="dxa"/>
            <w:gridSpan w:val="6"/>
            <w:vAlign w:val="center"/>
          </w:tcPr>
          <w:p w14:paraId="46AC24C9">
            <w:pPr>
              <w:spacing w:line="400" w:lineRule="exact"/>
              <w:jc w:val="center"/>
              <w:rPr>
                <w:rFonts w:ascii="宋体"/>
                <w:sz w:val="24"/>
                <w:szCs w:val="24"/>
              </w:rPr>
            </w:pPr>
            <w:r>
              <w:rPr>
                <w:rFonts w:hint="eastAsia" w:ascii="宋体"/>
                <w:sz w:val="24"/>
                <w:szCs w:val="24"/>
              </w:rPr>
              <w:t>CT肺部三切片病灶自动检测与可视化</w:t>
            </w:r>
          </w:p>
        </w:tc>
      </w:tr>
      <w:tr w14:paraId="6816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5" w:hRule="atLeast"/>
          <w:jc w:val="center"/>
        </w:trPr>
        <w:tc>
          <w:tcPr>
            <w:tcW w:w="1241" w:type="dxa"/>
            <w:vAlign w:val="center"/>
          </w:tcPr>
          <w:p w14:paraId="4B55FA15">
            <w:pPr>
              <w:spacing w:line="400" w:lineRule="exact"/>
              <w:jc w:val="center"/>
              <w:rPr>
                <w:rFonts w:hint="eastAsia" w:ascii="宋体" w:hAnsi="宋体" w:cs="宋体"/>
                <w:sz w:val="24"/>
                <w:szCs w:val="24"/>
              </w:rPr>
            </w:pPr>
            <w:r>
              <w:rPr>
                <w:rFonts w:hint="eastAsia" w:ascii="宋体" w:hAnsi="宋体" w:cs="宋体"/>
                <w:sz w:val="24"/>
                <w:szCs w:val="24"/>
              </w:rPr>
              <w:t>设</w:t>
            </w:r>
          </w:p>
          <w:p w14:paraId="3C67E1E1">
            <w:pPr>
              <w:spacing w:line="400" w:lineRule="exact"/>
              <w:jc w:val="center"/>
              <w:rPr>
                <w:rFonts w:hint="eastAsia" w:ascii="宋体" w:hAnsi="宋体" w:cs="宋体"/>
                <w:sz w:val="24"/>
                <w:szCs w:val="24"/>
              </w:rPr>
            </w:pPr>
            <w:r>
              <w:rPr>
                <w:rFonts w:hint="eastAsia" w:ascii="宋体" w:hAnsi="宋体" w:cs="宋体"/>
                <w:sz w:val="24"/>
                <w:szCs w:val="24"/>
              </w:rPr>
              <w:t>计</w:t>
            </w:r>
          </w:p>
          <w:p w14:paraId="78513DF1">
            <w:pPr>
              <w:spacing w:line="400" w:lineRule="exact"/>
              <w:jc w:val="center"/>
              <w:rPr>
                <w:rFonts w:hint="eastAsia" w:ascii="宋体" w:hAnsi="宋体" w:cs="宋体"/>
                <w:sz w:val="24"/>
                <w:szCs w:val="24"/>
              </w:rPr>
            </w:pPr>
            <w:r>
              <w:rPr>
                <w:rFonts w:hint="eastAsia" w:ascii="宋体" w:hAnsi="宋体" w:cs="宋体"/>
                <w:sz w:val="24"/>
                <w:szCs w:val="24"/>
              </w:rPr>
              <w:t>任</w:t>
            </w:r>
          </w:p>
          <w:p w14:paraId="5FC23225">
            <w:pPr>
              <w:spacing w:line="400" w:lineRule="exact"/>
              <w:jc w:val="center"/>
              <w:rPr>
                <w:rFonts w:hint="eastAsia" w:ascii="宋体" w:hAnsi="宋体" w:cs="宋体"/>
                <w:sz w:val="24"/>
                <w:szCs w:val="24"/>
              </w:rPr>
            </w:pPr>
            <w:r>
              <w:rPr>
                <w:rFonts w:hint="eastAsia" w:ascii="宋体" w:hAnsi="宋体" w:cs="宋体"/>
                <w:sz w:val="24"/>
                <w:szCs w:val="24"/>
              </w:rPr>
              <w:t>务</w:t>
            </w:r>
          </w:p>
          <w:p w14:paraId="380AAF5A">
            <w:pPr>
              <w:spacing w:line="400" w:lineRule="exact"/>
              <w:jc w:val="center"/>
              <w:rPr>
                <w:rFonts w:ascii="宋体"/>
                <w:sz w:val="24"/>
                <w:szCs w:val="24"/>
              </w:rPr>
            </w:pPr>
            <w:r>
              <w:rPr>
                <w:rFonts w:hint="eastAsia" w:ascii="宋体" w:hAnsi="宋体" w:cs="宋体"/>
                <w:sz w:val="24"/>
                <w:szCs w:val="24"/>
              </w:rPr>
              <w:t>书</w:t>
            </w:r>
          </w:p>
        </w:tc>
        <w:tc>
          <w:tcPr>
            <w:tcW w:w="7759" w:type="dxa"/>
            <w:gridSpan w:val="6"/>
          </w:tcPr>
          <w:p w14:paraId="2996CDD9">
            <w:pPr>
              <w:spacing w:line="360" w:lineRule="auto"/>
              <w:rPr>
                <w:rFonts w:hint="eastAsia" w:ascii="宋体" w:cs="宋体"/>
                <w:b/>
                <w:sz w:val="24"/>
                <w:szCs w:val="24"/>
              </w:rPr>
            </w:pPr>
            <w:r>
              <w:rPr>
                <w:rFonts w:hint="eastAsia" w:ascii="宋体" w:cs="宋体"/>
                <w:b/>
                <w:sz w:val="24"/>
                <w:szCs w:val="24"/>
              </w:rPr>
              <w:t>基本要求：</w:t>
            </w:r>
          </w:p>
          <w:p w14:paraId="1963B5CF">
            <w:pPr>
              <w:numPr>
                <w:ilvl w:val="0"/>
                <w:numId w:val="1"/>
              </w:numPr>
              <w:spacing w:before="0" w:after="0" w:line="360" w:lineRule="exact"/>
              <w:rPr>
                <w:rFonts w:hint="eastAsia"/>
                <w:bCs/>
                <w:sz w:val="24"/>
                <w:szCs w:val="24"/>
              </w:rPr>
            </w:pPr>
            <w:r>
              <w:rPr>
                <w:rFonts w:hint="eastAsia"/>
                <w:bCs/>
                <w:sz w:val="24"/>
                <w:szCs w:val="24"/>
              </w:rPr>
              <w:t>使用 LUNA16 肺部 CT 数据集，完成数据划分、图像预处理、病灶位置提取以及训练样本构建。</w:t>
            </w:r>
          </w:p>
          <w:p w14:paraId="0E9BCF84">
            <w:pPr>
              <w:numPr>
                <w:ilvl w:val="0"/>
                <w:numId w:val="1"/>
              </w:numPr>
              <w:spacing w:before="0" w:after="0" w:line="360" w:lineRule="exact"/>
              <w:rPr>
                <w:rFonts w:hint="eastAsia"/>
                <w:bCs/>
                <w:sz w:val="24"/>
                <w:szCs w:val="24"/>
              </w:rPr>
            </w:pPr>
            <w:r>
              <w:rPr>
                <w:rFonts w:hint="eastAsia"/>
                <w:bCs/>
                <w:sz w:val="24"/>
                <w:szCs w:val="24"/>
              </w:rPr>
              <w:t>使用YOLO 目标检测网络对肺部 CT 病灶进行检测，通过构建适用于 CT 图像的训练数据，对模型进行训练和参数调整，实现肺部疑似病灶区域的自动定位和候选框生成。</w:t>
            </w:r>
          </w:p>
          <w:p w14:paraId="375D7A44">
            <w:pPr>
              <w:numPr>
                <w:ilvl w:val="0"/>
                <w:numId w:val="1"/>
              </w:numPr>
              <w:spacing w:before="0" w:after="0" w:line="360" w:lineRule="exact"/>
              <w:rPr>
                <w:rFonts w:hint="eastAsia"/>
                <w:bCs/>
                <w:sz w:val="24"/>
                <w:szCs w:val="24"/>
              </w:rPr>
            </w:pPr>
            <w:r>
              <w:rPr>
                <w:rFonts w:hint="eastAsia"/>
                <w:bCs/>
                <w:sz w:val="24"/>
                <w:szCs w:val="24"/>
              </w:rPr>
              <w:t>当前切片及其前后相邻切片进行组合，以 z-1、z、z+1 三张连续切片构成三通道 2.5D 输入，使模型能够利用病灶在相邻 CT 层面的连续信息。</w:t>
            </w:r>
          </w:p>
          <w:p w14:paraId="104DB312">
            <w:pPr>
              <w:numPr>
                <w:ilvl w:val="0"/>
                <w:numId w:val="1"/>
              </w:numPr>
              <w:spacing w:line="360" w:lineRule="auto"/>
              <w:rPr>
                <w:bCs/>
                <w:sz w:val="24"/>
                <w:szCs w:val="24"/>
              </w:rPr>
            </w:pPr>
            <w:r>
              <w:rPr>
                <w:rFonts w:hint="eastAsia"/>
                <w:bCs/>
                <w:sz w:val="24"/>
                <w:szCs w:val="24"/>
              </w:rPr>
              <w:t>完成后端功能实现，以及前端页面交互功能实现。</w:t>
            </w:r>
          </w:p>
          <w:p w14:paraId="770BB7A9">
            <w:pPr>
              <w:numPr>
                <w:ilvl w:val="0"/>
                <w:numId w:val="1"/>
              </w:numPr>
              <w:spacing w:line="360" w:lineRule="auto"/>
              <w:rPr>
                <w:rFonts w:hint="eastAsia"/>
                <w:bCs/>
                <w:sz w:val="24"/>
                <w:szCs w:val="24"/>
              </w:rPr>
            </w:pPr>
            <w:r>
              <w:rPr>
                <w:rFonts w:hint="eastAsia"/>
                <w:bCs/>
                <w:sz w:val="24"/>
                <w:szCs w:val="24"/>
              </w:rPr>
              <w:t>撰写规范的设计报告。</w:t>
            </w:r>
          </w:p>
          <w:p w14:paraId="5A2A98FA">
            <w:pPr>
              <w:numPr>
                <w:ilvl w:val="0"/>
                <w:numId w:val="0"/>
              </w:numPr>
              <w:spacing w:before="0" w:after="0" w:line="360" w:lineRule="exact"/>
              <w:ind w:leftChars="0"/>
              <w:rPr>
                <w:rFonts w:hint="default" w:eastAsia="宋体"/>
                <w:bCs/>
                <w:sz w:val="24"/>
                <w:szCs w:val="24"/>
                <w:lang w:val="en-US" w:eastAsia="zh-CN"/>
              </w:rPr>
            </w:pPr>
            <w:r>
              <w:rPr>
                <w:rFonts w:hint="eastAsia" w:ascii="宋体" w:cs="宋体"/>
                <w:b/>
                <w:sz w:val="24"/>
                <w:szCs w:val="24"/>
              </w:rPr>
              <w:t>扩展工作：</w:t>
            </w:r>
            <w:r>
              <w:rPr>
                <w:rFonts w:hint="eastAsia"/>
                <w:bCs/>
                <w:sz w:val="24"/>
                <w:szCs w:val="24"/>
              </w:rPr>
              <w:br w:type="textWrapping"/>
            </w:r>
            <w:r>
              <w:rPr>
                <w:rFonts w:hint="eastAsia"/>
                <w:bCs/>
                <w:sz w:val="24"/>
                <w:szCs w:val="24"/>
              </w:rPr>
              <w:t>使用 ResNet18 建立二阶段分类模型，对 YOLO 输出的候选病灶进行进一步判别，从而减少错误检测和假阳性结果。</w:t>
            </w:r>
            <w:r>
              <w:rPr>
                <w:rFonts w:hint="eastAsia"/>
                <w:bCs/>
                <w:sz w:val="24"/>
                <w:szCs w:val="24"/>
                <w:lang w:val="en-US" w:eastAsia="zh-CN"/>
              </w:rPr>
              <w:t>提高模型检测正确率</w:t>
            </w:r>
          </w:p>
          <w:p w14:paraId="139E8232">
            <w:pPr>
              <w:numPr>
                <w:ilvl w:val="0"/>
                <w:numId w:val="0"/>
              </w:numPr>
              <w:spacing w:line="360" w:lineRule="auto"/>
              <w:ind w:leftChars="0"/>
              <w:rPr>
                <w:rFonts w:ascii="宋体"/>
                <w:sz w:val="24"/>
                <w:szCs w:val="24"/>
              </w:rPr>
            </w:pPr>
          </w:p>
          <w:p w14:paraId="5C5E4A79">
            <w:pPr>
              <w:spacing w:line="360" w:lineRule="auto"/>
              <w:rPr>
                <w:rFonts w:ascii="宋体"/>
                <w:sz w:val="24"/>
                <w:szCs w:val="24"/>
              </w:rPr>
            </w:pPr>
            <w:r>
              <w:rPr>
                <w:rFonts w:hint="eastAsia" w:cs="宋体"/>
                <w:b/>
                <w:bCs/>
                <w:sz w:val="24"/>
                <w:szCs w:val="24"/>
              </w:rPr>
              <w:t>设计成果形式</w:t>
            </w:r>
            <w:r>
              <w:rPr>
                <w:rFonts w:hint="eastAsia" w:cs="宋体"/>
                <w:sz w:val="24"/>
                <w:szCs w:val="24"/>
              </w:rPr>
              <w:t>：</w:t>
            </w:r>
            <w:r>
              <w:rPr>
                <w:rFonts w:hint="eastAsia" w:ascii="宋体" w:hAnsi="宋体"/>
                <w:sz w:val="24"/>
                <w:szCs w:val="24"/>
              </w:rPr>
              <w:sym w:font="Wingdings 2" w:char="0052"/>
            </w:r>
            <w:r>
              <w:rPr>
                <w:rFonts w:hint="eastAsia" w:cs="宋体"/>
                <w:sz w:val="24"/>
                <w:szCs w:val="24"/>
              </w:rPr>
              <w:t>设计报告打印稿；</w:t>
            </w:r>
            <w:r>
              <w:rPr>
                <w:rFonts w:hint="eastAsia" w:ascii="宋体" w:hAnsi="宋体"/>
                <w:sz w:val="24"/>
                <w:szCs w:val="24"/>
              </w:rPr>
              <w:sym w:font="Wingdings 2" w:char="0052"/>
            </w:r>
            <w:r>
              <w:rPr>
                <w:rFonts w:hint="eastAsia" w:cs="宋体"/>
                <w:sz w:val="24"/>
                <w:szCs w:val="24"/>
              </w:rPr>
              <w:t>软件；</w:t>
            </w:r>
            <w:r>
              <w:rPr>
                <w:rFonts w:hint="eastAsia" w:ascii="宋体" w:hAnsi="宋体"/>
                <w:sz w:val="24"/>
                <w:szCs w:val="24"/>
              </w:rPr>
              <w:t>□</w:t>
            </w:r>
            <w:r>
              <w:rPr>
                <w:rFonts w:hint="eastAsia" w:cs="宋体"/>
                <w:sz w:val="24"/>
                <w:szCs w:val="24"/>
              </w:rPr>
              <w:t>实物；</w:t>
            </w:r>
            <w:r>
              <w:rPr>
                <w:rFonts w:hint="eastAsia" w:ascii="宋体" w:hAnsi="宋体"/>
                <w:sz w:val="24"/>
                <w:szCs w:val="24"/>
              </w:rPr>
              <w:t>□</w:t>
            </w:r>
            <w:r>
              <w:rPr>
                <w:rFonts w:hint="eastAsia" w:cs="宋体"/>
                <w:sz w:val="24"/>
                <w:szCs w:val="24"/>
              </w:rPr>
              <w:t>图纸；</w:t>
            </w:r>
            <w:r>
              <w:rPr>
                <w:rFonts w:hint="eastAsia" w:ascii="宋体" w:hAnsi="宋体"/>
                <w:sz w:val="24"/>
                <w:szCs w:val="24"/>
              </w:rPr>
              <w:t>□</w:t>
            </w:r>
            <w:r>
              <w:rPr>
                <w:rFonts w:hint="eastAsia" w:cs="宋体"/>
                <w:sz w:val="24"/>
                <w:szCs w:val="24"/>
              </w:rPr>
              <w:t>其他</w:t>
            </w:r>
          </w:p>
          <w:p w14:paraId="285BE2BE">
            <w:pPr>
              <w:wordWrap w:val="0"/>
              <w:spacing w:after="156" w:afterLines="50"/>
              <w:jc w:val="right"/>
              <w:rPr>
                <w:rFonts w:ascii="宋体"/>
                <w:sz w:val="24"/>
                <w:szCs w:val="24"/>
              </w:rPr>
            </w:pPr>
          </w:p>
        </w:tc>
      </w:tr>
      <w:tr w14:paraId="684F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241" w:type="dxa"/>
            <w:vMerge w:val="restart"/>
            <w:vAlign w:val="center"/>
          </w:tcPr>
          <w:p w14:paraId="3E109AD4">
            <w:pPr>
              <w:spacing w:line="400" w:lineRule="exact"/>
              <w:jc w:val="center"/>
              <w:rPr>
                <w:rFonts w:ascii="宋体"/>
                <w:sz w:val="24"/>
                <w:szCs w:val="24"/>
              </w:rPr>
            </w:pPr>
            <w:r>
              <w:rPr>
                <w:rFonts w:hint="eastAsia" w:ascii="宋体" w:hAnsi="宋体" w:cs="宋体"/>
                <w:sz w:val="24"/>
                <w:szCs w:val="24"/>
              </w:rPr>
              <w:t>时间安排</w:t>
            </w:r>
          </w:p>
        </w:tc>
        <w:tc>
          <w:tcPr>
            <w:tcW w:w="2693" w:type="dxa"/>
            <w:gridSpan w:val="2"/>
          </w:tcPr>
          <w:p w14:paraId="1E109DF8">
            <w:pPr>
              <w:spacing w:line="400" w:lineRule="exact"/>
              <w:jc w:val="center"/>
              <w:rPr>
                <w:rFonts w:ascii="宋体"/>
                <w:sz w:val="24"/>
                <w:szCs w:val="24"/>
              </w:rPr>
            </w:pPr>
            <w:r>
              <w:rPr>
                <w:rFonts w:hint="eastAsia" w:ascii="宋体" w:cs="宋体"/>
                <w:sz w:val="24"/>
                <w:szCs w:val="24"/>
              </w:rPr>
              <w:t>时间</w:t>
            </w:r>
          </w:p>
        </w:tc>
        <w:tc>
          <w:tcPr>
            <w:tcW w:w="5066" w:type="dxa"/>
            <w:gridSpan w:val="4"/>
          </w:tcPr>
          <w:p w14:paraId="7E88FC98">
            <w:pPr>
              <w:spacing w:line="400" w:lineRule="exact"/>
              <w:jc w:val="center"/>
              <w:rPr>
                <w:rFonts w:ascii="宋体"/>
                <w:sz w:val="24"/>
                <w:szCs w:val="24"/>
              </w:rPr>
            </w:pPr>
            <w:r>
              <w:rPr>
                <w:rFonts w:hint="eastAsia" w:ascii="宋体" w:cs="宋体"/>
                <w:sz w:val="24"/>
                <w:szCs w:val="24"/>
              </w:rPr>
              <w:t>工作内容</w:t>
            </w:r>
          </w:p>
        </w:tc>
      </w:tr>
      <w:tr w14:paraId="7A19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241" w:type="dxa"/>
            <w:vMerge w:val="continue"/>
          </w:tcPr>
          <w:p w14:paraId="4756FB5D">
            <w:pPr>
              <w:spacing w:line="400" w:lineRule="exact"/>
              <w:jc w:val="center"/>
              <w:rPr>
                <w:rFonts w:ascii="宋体"/>
                <w:sz w:val="24"/>
                <w:szCs w:val="24"/>
              </w:rPr>
            </w:pPr>
          </w:p>
        </w:tc>
        <w:tc>
          <w:tcPr>
            <w:tcW w:w="2693" w:type="dxa"/>
            <w:gridSpan w:val="2"/>
          </w:tcPr>
          <w:p w14:paraId="6EF5E810">
            <w:pPr>
              <w:spacing w:line="400" w:lineRule="exact"/>
              <w:rPr>
                <w:rFonts w:ascii="宋体"/>
                <w:sz w:val="24"/>
                <w:szCs w:val="24"/>
              </w:rPr>
            </w:pPr>
            <w:r>
              <w:rPr>
                <w:rFonts w:hint="eastAsia" w:ascii="宋体"/>
                <w:sz w:val="24"/>
                <w:szCs w:val="24"/>
              </w:rPr>
              <w:t>2</w:t>
            </w:r>
            <w:r>
              <w:rPr>
                <w:rFonts w:ascii="宋体"/>
                <w:sz w:val="24"/>
                <w:szCs w:val="24"/>
              </w:rPr>
              <w:t>02</w:t>
            </w:r>
            <w:r>
              <w:rPr>
                <w:rFonts w:hint="eastAsia" w:ascii="宋体"/>
                <w:sz w:val="24"/>
                <w:szCs w:val="24"/>
              </w:rPr>
              <w:t>6.09.10-09.13</w:t>
            </w:r>
          </w:p>
        </w:tc>
        <w:tc>
          <w:tcPr>
            <w:tcW w:w="5066" w:type="dxa"/>
            <w:gridSpan w:val="4"/>
          </w:tcPr>
          <w:p w14:paraId="6AD4A060">
            <w:pPr>
              <w:spacing w:line="400" w:lineRule="exact"/>
              <w:rPr>
                <w:rFonts w:ascii="宋体"/>
                <w:sz w:val="24"/>
                <w:szCs w:val="24"/>
              </w:rPr>
            </w:pPr>
            <w:r>
              <w:rPr>
                <w:rFonts w:hint="eastAsia" w:cs="宋体"/>
                <w:bCs/>
                <w:sz w:val="24"/>
                <w:szCs w:val="24"/>
              </w:rPr>
              <w:t>指导教师与学生联系，确定题目</w:t>
            </w:r>
          </w:p>
        </w:tc>
      </w:tr>
      <w:tr w14:paraId="3E43F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1" w:type="dxa"/>
            <w:vMerge w:val="continue"/>
          </w:tcPr>
          <w:p w14:paraId="3E39B9DC">
            <w:pPr>
              <w:spacing w:line="400" w:lineRule="exact"/>
              <w:jc w:val="center"/>
              <w:rPr>
                <w:rFonts w:ascii="宋体"/>
                <w:sz w:val="24"/>
                <w:szCs w:val="24"/>
              </w:rPr>
            </w:pPr>
          </w:p>
        </w:tc>
        <w:tc>
          <w:tcPr>
            <w:tcW w:w="2693" w:type="dxa"/>
            <w:gridSpan w:val="2"/>
          </w:tcPr>
          <w:p w14:paraId="479C069C">
            <w:pPr>
              <w:spacing w:line="400" w:lineRule="exact"/>
              <w:rPr>
                <w:rFonts w:ascii="宋体"/>
                <w:sz w:val="24"/>
                <w:szCs w:val="24"/>
              </w:rPr>
            </w:pPr>
            <w:r>
              <w:rPr>
                <w:rFonts w:hint="eastAsia" w:ascii="宋体"/>
                <w:sz w:val="24"/>
                <w:szCs w:val="24"/>
              </w:rPr>
              <w:t>2</w:t>
            </w:r>
            <w:r>
              <w:rPr>
                <w:rFonts w:ascii="宋体"/>
                <w:sz w:val="24"/>
                <w:szCs w:val="24"/>
              </w:rPr>
              <w:t>02</w:t>
            </w:r>
            <w:r>
              <w:rPr>
                <w:rFonts w:hint="eastAsia" w:ascii="宋体"/>
                <w:sz w:val="24"/>
                <w:szCs w:val="24"/>
              </w:rPr>
              <w:t>6.09.14-09．29</w:t>
            </w:r>
          </w:p>
        </w:tc>
        <w:tc>
          <w:tcPr>
            <w:tcW w:w="5066" w:type="dxa"/>
            <w:gridSpan w:val="4"/>
          </w:tcPr>
          <w:p w14:paraId="47B678C5">
            <w:pPr>
              <w:spacing w:line="400" w:lineRule="exact"/>
              <w:rPr>
                <w:rFonts w:ascii="宋体"/>
                <w:sz w:val="24"/>
                <w:szCs w:val="24"/>
              </w:rPr>
            </w:pPr>
            <w:r>
              <w:rPr>
                <w:rFonts w:hint="eastAsia" w:cs="宋体"/>
                <w:bCs/>
                <w:sz w:val="24"/>
                <w:szCs w:val="24"/>
              </w:rPr>
              <w:t>学生开展设计工作</w:t>
            </w:r>
          </w:p>
        </w:tc>
      </w:tr>
      <w:tr w14:paraId="60B3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241" w:type="dxa"/>
            <w:vMerge w:val="continue"/>
          </w:tcPr>
          <w:p w14:paraId="51A21501">
            <w:pPr>
              <w:spacing w:line="400" w:lineRule="exact"/>
              <w:jc w:val="center"/>
              <w:rPr>
                <w:rFonts w:ascii="宋体"/>
                <w:sz w:val="24"/>
                <w:szCs w:val="24"/>
              </w:rPr>
            </w:pPr>
          </w:p>
        </w:tc>
        <w:tc>
          <w:tcPr>
            <w:tcW w:w="2693" w:type="dxa"/>
            <w:gridSpan w:val="2"/>
          </w:tcPr>
          <w:p w14:paraId="520C9A29">
            <w:pPr>
              <w:spacing w:line="400" w:lineRule="exact"/>
              <w:rPr>
                <w:rFonts w:ascii="宋体"/>
                <w:sz w:val="24"/>
                <w:szCs w:val="24"/>
              </w:rPr>
            </w:pPr>
            <w:r>
              <w:rPr>
                <w:rFonts w:hint="eastAsia" w:ascii="宋体"/>
                <w:sz w:val="24"/>
                <w:szCs w:val="24"/>
              </w:rPr>
              <w:t>2</w:t>
            </w:r>
            <w:r>
              <w:rPr>
                <w:rFonts w:ascii="宋体"/>
                <w:sz w:val="24"/>
                <w:szCs w:val="24"/>
              </w:rPr>
              <w:t>02</w:t>
            </w:r>
            <w:r>
              <w:rPr>
                <w:rFonts w:hint="eastAsia" w:ascii="宋体"/>
                <w:sz w:val="24"/>
                <w:szCs w:val="24"/>
              </w:rPr>
              <w:t>6.09.30-10.12</w:t>
            </w:r>
          </w:p>
        </w:tc>
        <w:tc>
          <w:tcPr>
            <w:tcW w:w="5066" w:type="dxa"/>
            <w:gridSpan w:val="4"/>
          </w:tcPr>
          <w:p w14:paraId="4882E5B8">
            <w:pPr>
              <w:spacing w:line="400" w:lineRule="exact"/>
              <w:rPr>
                <w:rFonts w:ascii="宋体"/>
                <w:sz w:val="24"/>
                <w:szCs w:val="24"/>
              </w:rPr>
            </w:pPr>
            <w:r>
              <w:rPr>
                <w:rFonts w:hint="eastAsia" w:ascii="宋体"/>
                <w:sz w:val="24"/>
                <w:szCs w:val="24"/>
              </w:rPr>
              <w:t>学生答辩时间</w:t>
            </w:r>
          </w:p>
        </w:tc>
      </w:tr>
      <w:tr w14:paraId="493A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9000" w:type="dxa"/>
            <w:gridSpan w:val="7"/>
          </w:tcPr>
          <w:p w14:paraId="66338E8E">
            <w:pPr>
              <w:spacing w:line="400" w:lineRule="exact"/>
              <w:rPr>
                <w:sz w:val="24"/>
                <w:szCs w:val="24"/>
              </w:rPr>
            </w:pPr>
            <w:r>
              <w:rPr>
                <w:rFonts w:hint="eastAsia" w:cs="宋体"/>
                <w:sz w:val="24"/>
                <w:szCs w:val="24"/>
              </w:rPr>
              <w:t>指导教师签名：</w:t>
            </w:r>
          </w:p>
          <w:p w14:paraId="62F0C177">
            <w:pPr>
              <w:spacing w:line="400" w:lineRule="exact"/>
              <w:ind w:firstLine="6600" w:firstLineChars="2750"/>
              <w:rPr>
                <w:rFonts w:ascii="宋体"/>
                <w:sz w:val="24"/>
                <w:szCs w:val="24"/>
              </w:rPr>
            </w:pPr>
            <w:r>
              <w:rPr>
                <w:rFonts w:hint="eastAsia" w:cs="宋体"/>
                <w:sz w:val="24"/>
                <w:szCs w:val="24"/>
              </w:rPr>
              <w:t>年   月   日</w:t>
            </w:r>
          </w:p>
        </w:tc>
      </w:tr>
      <w:tr w14:paraId="14F7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jc w:val="center"/>
        </w:trPr>
        <w:tc>
          <w:tcPr>
            <w:tcW w:w="9000" w:type="dxa"/>
            <w:gridSpan w:val="7"/>
          </w:tcPr>
          <w:p w14:paraId="706E77CD">
            <w:pPr>
              <w:spacing w:before="0" w:after="0" w:line="360" w:lineRule="exact"/>
              <w:rPr>
                <w:rFonts w:ascii="宋体"/>
                <w:sz w:val="24"/>
                <w:szCs w:val="24"/>
              </w:rPr>
            </w:pPr>
            <w:r>
              <w:rPr>
                <w:rFonts w:hint="eastAsia" w:ascii="宋体"/>
                <w:sz w:val="24"/>
                <w:szCs w:val="24"/>
              </w:rPr>
              <w:t xml:space="preserve">学生签名：                                              </w:t>
            </w:r>
          </w:p>
          <w:p w14:paraId="58F6F3E6">
            <w:pPr>
              <w:spacing w:line="400" w:lineRule="exact"/>
              <w:ind w:firstLine="6600" w:firstLineChars="2750"/>
              <w:rPr>
                <w:rFonts w:ascii="宋体"/>
                <w:sz w:val="24"/>
                <w:szCs w:val="24"/>
              </w:rPr>
            </w:pPr>
            <w:r>
              <w:rPr>
                <w:rFonts w:hint="eastAsia" w:cs="宋体"/>
                <w:sz w:val="24"/>
                <w:szCs w:val="24"/>
              </w:rPr>
              <w:t>年   月   日</w:t>
            </w:r>
          </w:p>
        </w:tc>
      </w:tr>
    </w:tbl>
    <w:p w14:paraId="69FF53E6"/>
    <w:p w14:paraId="17EDDC88">
      <w:pPr>
        <w:pageBreakBefore/>
        <w:spacing w:before="0" w:beforeLines="50" w:after="156" w:afterLines="50"/>
        <w:jc w:val="center"/>
        <w:rPr>
          <w:rFonts w:ascii="仿宋" w:hAnsi="仿宋" w:eastAsia="仿宋" w:cs="仿宋"/>
          <w:b/>
          <w:bCs/>
          <w:sz w:val="32"/>
          <w:szCs w:val="32"/>
        </w:rPr>
      </w:pPr>
      <w:r>
        <w:rPr>
          <w:rFonts w:hint="eastAsia" w:ascii="仿宋" w:hAnsi="仿宋" w:eastAsia="仿宋" w:cs="仿宋"/>
          <w:b/>
          <w:bCs/>
          <w:sz w:val="32"/>
          <w:szCs w:val="32"/>
        </w:rPr>
        <w:t>综合</w:t>
      </w:r>
      <w:r>
        <w:rPr>
          <w:rFonts w:ascii="仿宋" w:hAnsi="仿宋" w:eastAsia="仿宋" w:cs="仿宋"/>
          <w:b/>
          <w:bCs/>
          <w:sz w:val="32"/>
          <w:szCs w:val="32"/>
        </w:rPr>
        <w:t>设计</w:t>
      </w:r>
      <w:r>
        <w:rPr>
          <w:rFonts w:hint="eastAsia" w:ascii="仿宋" w:hAnsi="仿宋" w:eastAsia="仿宋" w:cs="仿宋"/>
          <w:b/>
          <w:bCs/>
          <w:sz w:val="32"/>
          <w:szCs w:val="32"/>
        </w:rPr>
        <w:t>评分表</w:t>
      </w:r>
    </w:p>
    <w:tbl>
      <w:tblPr>
        <w:tblStyle w:val="14"/>
        <w:tblW w:w="9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5"/>
        <w:gridCol w:w="199"/>
        <w:gridCol w:w="1160"/>
        <w:gridCol w:w="1299"/>
        <w:gridCol w:w="1227"/>
        <w:gridCol w:w="160"/>
        <w:gridCol w:w="285"/>
        <w:gridCol w:w="13"/>
        <w:gridCol w:w="694"/>
        <w:gridCol w:w="851"/>
        <w:gridCol w:w="850"/>
        <w:gridCol w:w="709"/>
      </w:tblGrid>
      <w:tr w14:paraId="4D66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665" w:type="dxa"/>
          </w:tcPr>
          <w:p w14:paraId="0709B1FD">
            <w:pPr>
              <w:spacing w:line="400" w:lineRule="exact"/>
              <w:jc w:val="center"/>
              <w:rPr>
                <w:rFonts w:ascii="宋体"/>
              </w:rPr>
            </w:pPr>
            <w:r>
              <w:rPr>
                <w:rFonts w:hint="eastAsia" w:ascii="宋体" w:hAnsi="宋体" w:cs="宋体"/>
              </w:rPr>
              <w:t>专业班级</w:t>
            </w:r>
          </w:p>
        </w:tc>
        <w:tc>
          <w:tcPr>
            <w:tcW w:w="1359" w:type="dxa"/>
            <w:gridSpan w:val="2"/>
          </w:tcPr>
          <w:p w14:paraId="053627F5">
            <w:pPr>
              <w:spacing w:line="400" w:lineRule="exact"/>
              <w:ind w:firstLine="480"/>
              <w:jc w:val="center"/>
              <w:rPr>
                <w:rFonts w:ascii="宋体"/>
              </w:rPr>
            </w:pPr>
          </w:p>
        </w:tc>
        <w:tc>
          <w:tcPr>
            <w:tcW w:w="1299" w:type="dxa"/>
            <w:vAlign w:val="center"/>
          </w:tcPr>
          <w:p w14:paraId="6B2B8EFD">
            <w:pPr>
              <w:spacing w:line="400" w:lineRule="exact"/>
              <w:jc w:val="center"/>
              <w:rPr>
                <w:rFonts w:ascii="宋体"/>
              </w:rPr>
            </w:pPr>
            <w:r>
              <w:rPr>
                <w:rFonts w:hint="eastAsia" w:ascii="宋体" w:hAnsi="宋体" w:cs="宋体"/>
              </w:rPr>
              <w:t>学生姓名</w:t>
            </w:r>
          </w:p>
        </w:tc>
        <w:tc>
          <w:tcPr>
            <w:tcW w:w="1387" w:type="dxa"/>
            <w:gridSpan w:val="2"/>
          </w:tcPr>
          <w:p w14:paraId="5A803EC4">
            <w:pPr>
              <w:spacing w:line="400" w:lineRule="exact"/>
              <w:ind w:firstLine="480"/>
              <w:jc w:val="center"/>
              <w:rPr>
                <w:rFonts w:ascii="宋体"/>
              </w:rPr>
            </w:pPr>
          </w:p>
        </w:tc>
        <w:tc>
          <w:tcPr>
            <w:tcW w:w="992" w:type="dxa"/>
            <w:gridSpan w:val="3"/>
            <w:vAlign w:val="center"/>
          </w:tcPr>
          <w:p w14:paraId="1A83CFCF">
            <w:pPr>
              <w:spacing w:line="400" w:lineRule="exact"/>
              <w:jc w:val="center"/>
              <w:rPr>
                <w:rFonts w:ascii="宋体"/>
              </w:rPr>
            </w:pPr>
            <w:r>
              <w:rPr>
                <w:rFonts w:hint="eastAsia" w:ascii="宋体" w:hAnsi="宋体" w:cs="宋体"/>
              </w:rPr>
              <w:t>学</w:t>
            </w:r>
            <w:r>
              <w:rPr>
                <w:rFonts w:ascii="宋体" w:hAnsi="宋体" w:cs="宋体"/>
              </w:rPr>
              <w:t xml:space="preserve">  </w:t>
            </w:r>
            <w:r>
              <w:rPr>
                <w:rFonts w:hint="eastAsia" w:ascii="宋体" w:hAnsi="宋体" w:cs="宋体"/>
              </w:rPr>
              <w:t>号</w:t>
            </w:r>
          </w:p>
        </w:tc>
        <w:tc>
          <w:tcPr>
            <w:tcW w:w="2410" w:type="dxa"/>
            <w:gridSpan w:val="3"/>
          </w:tcPr>
          <w:p w14:paraId="388EB597">
            <w:pPr>
              <w:spacing w:line="400" w:lineRule="exact"/>
              <w:ind w:firstLine="480"/>
              <w:jc w:val="center"/>
              <w:rPr>
                <w:rFonts w:ascii="宋体"/>
              </w:rPr>
            </w:pPr>
          </w:p>
        </w:tc>
      </w:tr>
      <w:tr w14:paraId="5CBA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1665" w:type="dxa"/>
            <w:vAlign w:val="center"/>
          </w:tcPr>
          <w:p w14:paraId="6542A098">
            <w:pPr>
              <w:spacing w:line="400" w:lineRule="exact"/>
              <w:jc w:val="center"/>
              <w:rPr>
                <w:rFonts w:ascii="宋体"/>
              </w:rPr>
            </w:pPr>
            <w:r>
              <w:rPr>
                <w:rFonts w:hint="eastAsia" w:ascii="宋体" w:hAnsi="宋体" w:cs="宋体"/>
              </w:rPr>
              <w:t>设计题目</w:t>
            </w:r>
          </w:p>
        </w:tc>
        <w:tc>
          <w:tcPr>
            <w:tcW w:w="7447" w:type="dxa"/>
            <w:gridSpan w:val="11"/>
            <w:vAlign w:val="center"/>
          </w:tcPr>
          <w:p w14:paraId="199CAEC8">
            <w:pPr>
              <w:spacing w:after="0"/>
              <w:jc w:val="center"/>
            </w:pPr>
            <w:r>
              <w:rPr>
                <w:rFonts w:ascii="Times New Roman" w:hAnsi="Times New Roman" w:eastAsia="宋体"/>
                <w:sz w:val="24"/>
              </w:rPr>
              <w:t>CT肺部三切片病灶自动检测与可视化</w:t>
            </w:r>
          </w:p>
        </w:tc>
      </w:tr>
      <w:tr w14:paraId="5FAB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9112" w:type="dxa"/>
            <w:gridSpan w:val="12"/>
            <w:vAlign w:val="center"/>
          </w:tcPr>
          <w:p w14:paraId="317C4202">
            <w:pPr>
              <w:ind w:firstLine="2951" w:firstLineChars="1400"/>
              <w:jc w:val="left"/>
              <w:rPr>
                <w:rFonts w:ascii="宋体"/>
              </w:rPr>
            </w:pPr>
            <w:r>
              <w:rPr>
                <w:rFonts w:hint="eastAsia" w:ascii="黑体" w:hAnsi="黑体" w:eastAsia="黑体" w:cs="宋体"/>
                <w:b/>
                <w:bCs/>
              </w:rPr>
              <w:t>过程评分</w:t>
            </w:r>
            <w:r>
              <w:rPr>
                <w:rFonts w:hint="eastAsia" w:ascii="宋体" w:cs="宋体"/>
              </w:rPr>
              <w:t>（占总分比例为</w:t>
            </w:r>
            <w:r>
              <w:rPr>
                <w:rFonts w:ascii="宋体" w:cs="宋体"/>
              </w:rPr>
              <w:t>40%</w:t>
            </w:r>
            <w:r>
              <w:rPr>
                <w:rFonts w:hint="eastAsia" w:ascii="宋体" w:cs="宋体"/>
              </w:rPr>
              <w:t>）</w:t>
            </w:r>
          </w:p>
        </w:tc>
      </w:tr>
      <w:tr w14:paraId="5E0D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864" w:type="dxa"/>
            <w:gridSpan w:val="2"/>
            <w:vAlign w:val="center"/>
          </w:tcPr>
          <w:p w14:paraId="58CCA371">
            <w:pPr>
              <w:jc w:val="center"/>
              <w:rPr>
                <w:rFonts w:ascii="黑体" w:hAnsi="黑体" w:eastAsia="黑体"/>
              </w:rPr>
            </w:pPr>
            <w:r>
              <w:rPr>
                <w:rFonts w:hint="eastAsia" w:ascii="黑体" w:hAnsi="黑体" w:eastAsia="黑体"/>
              </w:rPr>
              <w:t>课程目标</w:t>
            </w:r>
          </w:p>
        </w:tc>
        <w:tc>
          <w:tcPr>
            <w:tcW w:w="4144" w:type="dxa"/>
            <w:gridSpan w:val="6"/>
            <w:vAlign w:val="center"/>
          </w:tcPr>
          <w:p w14:paraId="71DF13B0">
            <w:pPr>
              <w:jc w:val="center"/>
              <w:rPr>
                <w:rFonts w:ascii="黑体" w:hAnsi="黑体" w:eastAsia="黑体"/>
              </w:rPr>
            </w:pPr>
            <w:r>
              <w:rPr>
                <w:rFonts w:ascii="黑体" w:hAnsi="黑体" w:eastAsia="黑体"/>
              </w:rPr>
              <w:t>指标点</w:t>
            </w:r>
          </w:p>
        </w:tc>
        <w:tc>
          <w:tcPr>
            <w:tcW w:w="694" w:type="dxa"/>
            <w:vAlign w:val="center"/>
          </w:tcPr>
          <w:p w14:paraId="6471D718">
            <w:pPr>
              <w:jc w:val="center"/>
              <w:rPr>
                <w:rFonts w:ascii="黑体" w:hAnsi="黑体" w:eastAsia="黑体"/>
              </w:rPr>
            </w:pPr>
            <w:r>
              <w:rPr>
                <w:rFonts w:ascii="黑体" w:hAnsi="黑体" w:eastAsia="黑体"/>
              </w:rPr>
              <w:t>分值</w:t>
            </w:r>
          </w:p>
        </w:tc>
        <w:tc>
          <w:tcPr>
            <w:tcW w:w="851" w:type="dxa"/>
            <w:vAlign w:val="center"/>
          </w:tcPr>
          <w:p w14:paraId="2503859D">
            <w:pPr>
              <w:jc w:val="center"/>
              <w:rPr>
                <w:rFonts w:ascii="黑体" w:hAnsi="黑体" w:eastAsia="黑体"/>
              </w:rPr>
            </w:pPr>
            <w:r>
              <w:rPr>
                <w:rFonts w:ascii="黑体" w:hAnsi="黑体" w:eastAsia="黑体"/>
              </w:rPr>
              <w:t>合格</w:t>
            </w:r>
          </w:p>
        </w:tc>
        <w:tc>
          <w:tcPr>
            <w:tcW w:w="850" w:type="dxa"/>
            <w:vAlign w:val="center"/>
          </w:tcPr>
          <w:p w14:paraId="18585CF7">
            <w:pPr>
              <w:jc w:val="center"/>
              <w:rPr>
                <w:rFonts w:ascii="黑体" w:hAnsi="黑体" w:eastAsia="黑体"/>
              </w:rPr>
            </w:pPr>
            <w:r>
              <w:rPr>
                <w:rFonts w:hint="eastAsia" w:ascii="黑体" w:hAnsi="黑体" w:eastAsia="黑体"/>
              </w:rPr>
              <w:t>得分</w:t>
            </w:r>
          </w:p>
        </w:tc>
        <w:tc>
          <w:tcPr>
            <w:tcW w:w="709" w:type="dxa"/>
            <w:vAlign w:val="center"/>
          </w:tcPr>
          <w:p w14:paraId="23BFD0FA">
            <w:pPr>
              <w:jc w:val="center"/>
              <w:rPr>
                <w:rFonts w:ascii="黑体" w:hAnsi="黑体" w:eastAsia="黑体"/>
              </w:rPr>
            </w:pPr>
            <w:r>
              <w:rPr>
                <w:rFonts w:hint="eastAsia" w:ascii="黑体" w:hAnsi="黑体" w:eastAsia="黑体"/>
              </w:rPr>
              <w:t>小计</w:t>
            </w:r>
          </w:p>
        </w:tc>
      </w:tr>
      <w:tr w14:paraId="3C7E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864" w:type="dxa"/>
            <w:gridSpan w:val="2"/>
            <w:vAlign w:val="center"/>
          </w:tcPr>
          <w:p w14:paraId="3C97F856">
            <w:pPr>
              <w:pStyle w:val="24"/>
              <w:jc w:val="center"/>
              <w:rPr>
                <w:color w:val="auto"/>
                <w:sz w:val="21"/>
                <w:szCs w:val="21"/>
              </w:rPr>
            </w:pPr>
            <w:r>
              <w:rPr>
                <w:color w:val="auto"/>
                <w:sz w:val="21"/>
                <w:szCs w:val="21"/>
              </w:rPr>
              <w:t>目标1</w:t>
            </w:r>
          </w:p>
        </w:tc>
        <w:tc>
          <w:tcPr>
            <w:tcW w:w="4144" w:type="dxa"/>
            <w:gridSpan w:val="6"/>
            <w:vAlign w:val="center"/>
          </w:tcPr>
          <w:p w14:paraId="22139494">
            <w:pPr>
              <w:pStyle w:val="24"/>
              <w:jc w:val="both"/>
              <w:rPr>
                <w:sz w:val="21"/>
                <w:szCs w:val="21"/>
              </w:rPr>
            </w:pPr>
            <w:r>
              <w:rPr>
                <w:rFonts w:hint="eastAsia"/>
                <w:sz w:val="21"/>
                <w:szCs w:val="21"/>
                <w:lang w:val="en-GB"/>
              </w:rPr>
              <w:t>文献阅读，方案论证与选择</w:t>
            </w:r>
          </w:p>
        </w:tc>
        <w:tc>
          <w:tcPr>
            <w:tcW w:w="694" w:type="dxa"/>
            <w:vAlign w:val="center"/>
          </w:tcPr>
          <w:p w14:paraId="06D6DFA4">
            <w:pPr>
              <w:spacing w:line="440" w:lineRule="atLeast"/>
              <w:jc w:val="center"/>
            </w:pPr>
            <w:r>
              <w:t>10</w:t>
            </w:r>
          </w:p>
        </w:tc>
        <w:tc>
          <w:tcPr>
            <w:tcW w:w="851" w:type="dxa"/>
            <w:vAlign w:val="center"/>
          </w:tcPr>
          <w:p w14:paraId="33886C6F">
            <w:pPr>
              <w:spacing w:line="440" w:lineRule="atLeast"/>
              <w:jc w:val="center"/>
            </w:pPr>
            <w:r>
              <w:t>6-10</w:t>
            </w:r>
          </w:p>
        </w:tc>
        <w:tc>
          <w:tcPr>
            <w:tcW w:w="850" w:type="dxa"/>
            <w:vAlign w:val="center"/>
          </w:tcPr>
          <w:p w14:paraId="4FB58F24">
            <w:pPr>
              <w:spacing w:line="440" w:lineRule="atLeast"/>
              <w:jc w:val="center"/>
            </w:pPr>
          </w:p>
        </w:tc>
        <w:tc>
          <w:tcPr>
            <w:tcW w:w="709" w:type="dxa"/>
            <w:vMerge w:val="restart"/>
            <w:vAlign w:val="center"/>
          </w:tcPr>
          <w:p w14:paraId="52FF51D1">
            <w:pPr>
              <w:spacing w:line="440" w:lineRule="atLeast"/>
              <w:jc w:val="center"/>
            </w:pPr>
          </w:p>
        </w:tc>
      </w:tr>
      <w:tr w14:paraId="588A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64" w:type="dxa"/>
            <w:gridSpan w:val="2"/>
            <w:vAlign w:val="center"/>
          </w:tcPr>
          <w:p w14:paraId="2A681302">
            <w:pPr>
              <w:pStyle w:val="24"/>
              <w:jc w:val="center"/>
              <w:rPr>
                <w:color w:val="auto"/>
                <w:sz w:val="21"/>
                <w:szCs w:val="21"/>
              </w:rPr>
            </w:pPr>
            <w:r>
              <w:rPr>
                <w:color w:val="auto"/>
                <w:sz w:val="21"/>
                <w:szCs w:val="21"/>
              </w:rPr>
              <w:t>目标</w:t>
            </w:r>
            <w:r>
              <w:rPr>
                <w:rFonts w:hint="eastAsia"/>
                <w:color w:val="auto"/>
                <w:sz w:val="21"/>
                <w:szCs w:val="21"/>
              </w:rPr>
              <w:t>3</w:t>
            </w:r>
          </w:p>
        </w:tc>
        <w:tc>
          <w:tcPr>
            <w:tcW w:w="4144" w:type="dxa"/>
            <w:gridSpan w:val="6"/>
            <w:vAlign w:val="center"/>
          </w:tcPr>
          <w:p w14:paraId="40681547">
            <w:pPr>
              <w:pStyle w:val="24"/>
              <w:jc w:val="both"/>
              <w:rPr>
                <w:sz w:val="21"/>
                <w:szCs w:val="21"/>
              </w:rPr>
            </w:pPr>
            <w:r>
              <w:rPr>
                <w:rFonts w:hint="eastAsia"/>
                <w:sz w:val="21"/>
                <w:szCs w:val="21"/>
              </w:rPr>
              <w:t>设计、完成实验，并对实验结果进行分析</w:t>
            </w:r>
          </w:p>
        </w:tc>
        <w:tc>
          <w:tcPr>
            <w:tcW w:w="694" w:type="dxa"/>
            <w:vAlign w:val="center"/>
          </w:tcPr>
          <w:p w14:paraId="6CEE4899">
            <w:pPr>
              <w:spacing w:line="440" w:lineRule="atLeast"/>
              <w:jc w:val="center"/>
            </w:pPr>
            <w:r>
              <w:rPr>
                <w:rFonts w:hint="eastAsia"/>
              </w:rPr>
              <w:t>2</w:t>
            </w:r>
            <w:r>
              <w:t>0</w:t>
            </w:r>
          </w:p>
        </w:tc>
        <w:tc>
          <w:tcPr>
            <w:tcW w:w="851" w:type="dxa"/>
            <w:vAlign w:val="center"/>
          </w:tcPr>
          <w:p w14:paraId="5BDFBE37">
            <w:pPr>
              <w:spacing w:line="440" w:lineRule="atLeast"/>
              <w:jc w:val="center"/>
            </w:pPr>
            <w:r>
              <w:rPr>
                <w:rFonts w:hint="eastAsia"/>
              </w:rPr>
              <w:t>12</w:t>
            </w:r>
            <w:r>
              <w:t>-</w:t>
            </w:r>
            <w:r>
              <w:rPr>
                <w:rFonts w:hint="eastAsia"/>
              </w:rPr>
              <w:t>2</w:t>
            </w:r>
            <w:r>
              <w:t>0</w:t>
            </w:r>
          </w:p>
        </w:tc>
        <w:tc>
          <w:tcPr>
            <w:tcW w:w="850" w:type="dxa"/>
            <w:vAlign w:val="center"/>
          </w:tcPr>
          <w:p w14:paraId="5B09D6AF">
            <w:pPr>
              <w:spacing w:line="440" w:lineRule="atLeast"/>
              <w:jc w:val="center"/>
            </w:pPr>
          </w:p>
        </w:tc>
        <w:tc>
          <w:tcPr>
            <w:tcW w:w="709" w:type="dxa"/>
            <w:vMerge w:val="continue"/>
            <w:vAlign w:val="center"/>
          </w:tcPr>
          <w:p w14:paraId="3A0DB249">
            <w:pPr>
              <w:spacing w:line="440" w:lineRule="atLeast"/>
              <w:jc w:val="center"/>
            </w:pPr>
          </w:p>
        </w:tc>
      </w:tr>
      <w:tr w14:paraId="60F7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864" w:type="dxa"/>
            <w:gridSpan w:val="2"/>
            <w:vAlign w:val="center"/>
          </w:tcPr>
          <w:p w14:paraId="6E4D8288">
            <w:pPr>
              <w:pStyle w:val="24"/>
              <w:jc w:val="center"/>
              <w:rPr>
                <w:color w:val="auto"/>
                <w:sz w:val="21"/>
                <w:szCs w:val="21"/>
              </w:rPr>
            </w:pPr>
            <w:r>
              <w:rPr>
                <w:color w:val="auto"/>
                <w:sz w:val="21"/>
                <w:szCs w:val="21"/>
              </w:rPr>
              <w:t>目标</w:t>
            </w:r>
            <w:r>
              <w:rPr>
                <w:rFonts w:hint="eastAsia"/>
                <w:color w:val="auto"/>
                <w:sz w:val="21"/>
                <w:szCs w:val="21"/>
              </w:rPr>
              <w:t>5</w:t>
            </w:r>
          </w:p>
        </w:tc>
        <w:tc>
          <w:tcPr>
            <w:tcW w:w="4144" w:type="dxa"/>
            <w:gridSpan w:val="6"/>
            <w:vAlign w:val="center"/>
          </w:tcPr>
          <w:p w14:paraId="683A1CCA">
            <w:pPr>
              <w:pStyle w:val="24"/>
              <w:jc w:val="both"/>
              <w:rPr>
                <w:sz w:val="21"/>
                <w:szCs w:val="21"/>
              </w:rPr>
            </w:pPr>
            <w:r>
              <w:rPr>
                <w:rFonts w:hint="eastAsia"/>
                <w:sz w:val="21"/>
                <w:szCs w:val="21"/>
                <w:lang w:val="en-GB"/>
              </w:rPr>
              <w:t>团队协作能力</w:t>
            </w:r>
          </w:p>
        </w:tc>
        <w:tc>
          <w:tcPr>
            <w:tcW w:w="694" w:type="dxa"/>
            <w:vAlign w:val="center"/>
          </w:tcPr>
          <w:p w14:paraId="7899E26A">
            <w:pPr>
              <w:spacing w:line="440" w:lineRule="atLeast"/>
              <w:jc w:val="center"/>
            </w:pPr>
            <w:r>
              <w:rPr>
                <w:rFonts w:hint="eastAsia"/>
              </w:rPr>
              <w:t>10</w:t>
            </w:r>
          </w:p>
        </w:tc>
        <w:tc>
          <w:tcPr>
            <w:tcW w:w="851" w:type="dxa"/>
            <w:vAlign w:val="center"/>
          </w:tcPr>
          <w:p w14:paraId="4DEA6DCF">
            <w:pPr>
              <w:spacing w:line="440" w:lineRule="atLeast"/>
              <w:jc w:val="center"/>
            </w:pPr>
            <w:r>
              <w:rPr>
                <w:rFonts w:hint="eastAsia"/>
              </w:rPr>
              <w:t>6-10</w:t>
            </w:r>
          </w:p>
        </w:tc>
        <w:tc>
          <w:tcPr>
            <w:tcW w:w="850" w:type="dxa"/>
            <w:vAlign w:val="center"/>
          </w:tcPr>
          <w:p w14:paraId="106C7F7D">
            <w:pPr>
              <w:spacing w:line="440" w:lineRule="atLeast"/>
              <w:jc w:val="center"/>
            </w:pPr>
          </w:p>
        </w:tc>
        <w:tc>
          <w:tcPr>
            <w:tcW w:w="709" w:type="dxa"/>
            <w:vMerge w:val="continue"/>
            <w:vAlign w:val="center"/>
          </w:tcPr>
          <w:p w14:paraId="228DC7A8">
            <w:pPr>
              <w:spacing w:line="440" w:lineRule="atLeast"/>
              <w:jc w:val="center"/>
            </w:pPr>
          </w:p>
        </w:tc>
      </w:tr>
      <w:tr w14:paraId="7D3F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9112" w:type="dxa"/>
            <w:gridSpan w:val="12"/>
            <w:vAlign w:val="center"/>
          </w:tcPr>
          <w:p w14:paraId="28C9B61A">
            <w:pPr>
              <w:spacing w:line="440" w:lineRule="atLeast"/>
            </w:pPr>
            <w:r>
              <w:rPr/>
              <w:sym w:font="Symbol" w:char="F0F0"/>
            </w:r>
            <w:r>
              <w:t xml:space="preserve"> </w:t>
            </w:r>
            <w:r>
              <w:rPr>
                <w:rFonts w:hint="eastAsia" w:cs="宋体"/>
              </w:rPr>
              <w:t>同意答辩；</w:t>
            </w:r>
            <w:r>
              <w:t xml:space="preserve">   </w:t>
            </w:r>
            <w:r>
              <w:rPr/>
              <w:sym w:font="Symbol" w:char="F0F0"/>
            </w:r>
            <w:r>
              <w:t xml:space="preserve"> </w:t>
            </w:r>
            <w:r>
              <w:rPr>
                <w:rFonts w:hint="eastAsia" w:cs="宋体"/>
              </w:rPr>
              <w:t>不同意答辩。</w:t>
            </w:r>
          </w:p>
          <w:p w14:paraId="18E6BCD3">
            <w:pPr>
              <w:spacing w:line="440" w:lineRule="atLeast"/>
              <w:ind w:right="420"/>
              <w:jc w:val="left"/>
            </w:pPr>
            <w:r>
              <w:t xml:space="preserve">   </w:t>
            </w:r>
            <w:r>
              <w:rPr>
                <w:rFonts w:hint="eastAsia"/>
              </w:rPr>
              <w:t xml:space="preserve">    </w:t>
            </w:r>
            <w:r>
              <w:t xml:space="preserve">           </w:t>
            </w:r>
            <w:r>
              <w:rPr>
                <w:rFonts w:hint="eastAsia" w:cs="宋体"/>
              </w:rPr>
              <w:t>指导教师签名：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cs="宋体"/>
              </w:rPr>
              <w:t>年</w:t>
            </w:r>
            <w:r>
              <w:t xml:space="preserve"> </w:t>
            </w:r>
            <w:r>
              <w:rPr>
                <w:rFonts w:hint="eastAsia"/>
              </w:rPr>
              <w:t xml:space="preserve">    </w:t>
            </w:r>
            <w:r>
              <w:t xml:space="preserve">  </w:t>
            </w:r>
            <w:r>
              <w:rPr>
                <w:rFonts w:hint="eastAsia" w:cs="宋体"/>
              </w:rPr>
              <w:t>月</w:t>
            </w:r>
            <w:r>
              <w:t xml:space="preserve">  </w:t>
            </w:r>
            <w:r>
              <w:rPr>
                <w:rFonts w:hint="eastAsia"/>
              </w:rPr>
              <w:t xml:space="preserve">    </w:t>
            </w:r>
            <w:r>
              <w:t xml:space="preserve"> </w:t>
            </w:r>
            <w:r>
              <w:rPr>
                <w:rFonts w:hint="eastAsia" w:cs="宋体"/>
              </w:rPr>
              <w:t>日</w:t>
            </w:r>
          </w:p>
        </w:tc>
      </w:tr>
      <w:tr w14:paraId="5F52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7553" w:type="dxa"/>
            <w:gridSpan w:val="10"/>
            <w:vAlign w:val="center"/>
          </w:tcPr>
          <w:p w14:paraId="23CD339A">
            <w:pPr>
              <w:ind w:firstLine="2951" w:firstLineChars="1400"/>
            </w:pPr>
            <w:r>
              <w:rPr>
                <w:rFonts w:hint="eastAsia" w:ascii="黑体" w:hAnsi="黑体" w:eastAsia="黑体" w:cs="宋体"/>
                <w:b/>
                <w:bCs/>
              </w:rPr>
              <w:t>评阅评分</w:t>
            </w:r>
            <w:r>
              <w:rPr>
                <w:rFonts w:hint="eastAsia" w:cs="宋体"/>
              </w:rPr>
              <w:t>（占总分</w:t>
            </w:r>
            <w:r>
              <w:rPr>
                <w:rFonts w:hint="eastAsia"/>
              </w:rPr>
              <w:t>比例</w:t>
            </w:r>
            <w:r>
              <w:rPr>
                <w:rFonts w:hint="eastAsia" w:cs="宋体"/>
              </w:rPr>
              <w:t>为</w:t>
            </w:r>
            <w:r>
              <w:rPr>
                <w:rFonts w:cs="宋体"/>
              </w:rPr>
              <w:t>30</w:t>
            </w:r>
            <w:r>
              <w:t>%</w:t>
            </w:r>
            <w:r>
              <w:rPr>
                <w:rFonts w:hint="eastAsia" w:cs="宋体"/>
              </w:rPr>
              <w:t>）</w:t>
            </w:r>
          </w:p>
        </w:tc>
        <w:tc>
          <w:tcPr>
            <w:tcW w:w="1559" w:type="dxa"/>
            <w:gridSpan w:val="2"/>
            <w:vAlign w:val="center"/>
          </w:tcPr>
          <w:p w14:paraId="08F12448">
            <w:pPr>
              <w:jc w:val="center"/>
            </w:pPr>
          </w:p>
        </w:tc>
      </w:tr>
      <w:tr w14:paraId="2812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864" w:type="dxa"/>
            <w:gridSpan w:val="2"/>
            <w:vAlign w:val="center"/>
          </w:tcPr>
          <w:p w14:paraId="07F2CE6E">
            <w:pPr>
              <w:jc w:val="center"/>
              <w:rPr>
                <w:rFonts w:ascii="黑体" w:hAnsi="黑体" w:eastAsia="黑体"/>
              </w:rPr>
            </w:pPr>
            <w:r>
              <w:rPr>
                <w:rFonts w:hint="eastAsia" w:ascii="黑体" w:hAnsi="黑体" w:eastAsia="黑体"/>
              </w:rPr>
              <w:t>课程目标</w:t>
            </w:r>
          </w:p>
        </w:tc>
        <w:tc>
          <w:tcPr>
            <w:tcW w:w="4144" w:type="dxa"/>
            <w:gridSpan w:val="6"/>
            <w:vAlign w:val="center"/>
          </w:tcPr>
          <w:p w14:paraId="1D8F6148">
            <w:pPr>
              <w:jc w:val="center"/>
              <w:rPr>
                <w:rFonts w:ascii="黑体" w:hAnsi="黑体" w:eastAsia="黑体"/>
              </w:rPr>
            </w:pPr>
            <w:r>
              <w:rPr>
                <w:rFonts w:ascii="黑体" w:hAnsi="黑体" w:eastAsia="黑体"/>
              </w:rPr>
              <w:t>指标点</w:t>
            </w:r>
          </w:p>
        </w:tc>
        <w:tc>
          <w:tcPr>
            <w:tcW w:w="694" w:type="dxa"/>
            <w:vAlign w:val="center"/>
          </w:tcPr>
          <w:p w14:paraId="6D7B83AE">
            <w:pPr>
              <w:jc w:val="center"/>
              <w:rPr>
                <w:rFonts w:ascii="黑体" w:hAnsi="黑体" w:eastAsia="黑体"/>
              </w:rPr>
            </w:pPr>
            <w:r>
              <w:rPr>
                <w:rFonts w:ascii="黑体" w:hAnsi="黑体" w:eastAsia="黑体"/>
              </w:rPr>
              <w:t>分值</w:t>
            </w:r>
          </w:p>
        </w:tc>
        <w:tc>
          <w:tcPr>
            <w:tcW w:w="851" w:type="dxa"/>
            <w:vAlign w:val="center"/>
          </w:tcPr>
          <w:p w14:paraId="4983EEC6">
            <w:pPr>
              <w:jc w:val="center"/>
              <w:rPr>
                <w:rFonts w:ascii="黑体" w:hAnsi="黑体" w:eastAsia="黑体"/>
              </w:rPr>
            </w:pPr>
            <w:r>
              <w:rPr>
                <w:rFonts w:ascii="黑体" w:hAnsi="黑体" w:eastAsia="黑体"/>
              </w:rPr>
              <w:t>合格</w:t>
            </w:r>
          </w:p>
        </w:tc>
        <w:tc>
          <w:tcPr>
            <w:tcW w:w="850" w:type="dxa"/>
            <w:vAlign w:val="center"/>
          </w:tcPr>
          <w:p w14:paraId="0EC4FD62">
            <w:pPr>
              <w:jc w:val="center"/>
              <w:rPr>
                <w:rFonts w:ascii="黑体" w:hAnsi="黑体" w:eastAsia="黑体"/>
              </w:rPr>
            </w:pPr>
            <w:r>
              <w:rPr>
                <w:rFonts w:hint="eastAsia" w:ascii="黑体" w:hAnsi="黑体" w:eastAsia="黑体"/>
              </w:rPr>
              <w:t>得分</w:t>
            </w:r>
          </w:p>
        </w:tc>
        <w:tc>
          <w:tcPr>
            <w:tcW w:w="709" w:type="dxa"/>
            <w:vAlign w:val="center"/>
          </w:tcPr>
          <w:p w14:paraId="1774F48B">
            <w:pPr>
              <w:jc w:val="center"/>
              <w:rPr>
                <w:rFonts w:ascii="黑体" w:hAnsi="黑体" w:eastAsia="黑体"/>
              </w:rPr>
            </w:pPr>
            <w:r>
              <w:rPr>
                <w:rFonts w:hint="eastAsia" w:ascii="黑体" w:hAnsi="黑体" w:eastAsia="黑体"/>
              </w:rPr>
              <w:t>小计</w:t>
            </w:r>
          </w:p>
        </w:tc>
      </w:tr>
      <w:tr w14:paraId="51B6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864" w:type="dxa"/>
            <w:gridSpan w:val="2"/>
            <w:vAlign w:val="center"/>
          </w:tcPr>
          <w:p w14:paraId="4A40ABD6">
            <w:pPr>
              <w:pStyle w:val="24"/>
              <w:jc w:val="center"/>
              <w:rPr>
                <w:color w:val="auto"/>
                <w:sz w:val="21"/>
                <w:szCs w:val="21"/>
              </w:rPr>
            </w:pPr>
            <w:r>
              <w:rPr>
                <w:color w:val="auto"/>
                <w:sz w:val="21"/>
                <w:szCs w:val="21"/>
              </w:rPr>
              <w:t>目标</w:t>
            </w:r>
            <w:r>
              <w:rPr>
                <w:rFonts w:hint="eastAsia"/>
                <w:color w:val="auto"/>
                <w:sz w:val="21"/>
                <w:szCs w:val="21"/>
              </w:rPr>
              <w:t>2</w:t>
            </w:r>
          </w:p>
        </w:tc>
        <w:tc>
          <w:tcPr>
            <w:tcW w:w="4144" w:type="dxa"/>
            <w:gridSpan w:val="6"/>
            <w:vAlign w:val="center"/>
          </w:tcPr>
          <w:p w14:paraId="2BCD54F5">
            <w:pPr>
              <w:pStyle w:val="24"/>
              <w:jc w:val="both"/>
              <w:rPr>
                <w:sz w:val="21"/>
                <w:szCs w:val="21"/>
              </w:rPr>
            </w:pPr>
            <w:r>
              <w:rPr>
                <w:rFonts w:hint="eastAsia"/>
                <w:sz w:val="21"/>
                <w:szCs w:val="21"/>
              </w:rPr>
              <w:t>设计的创新</w:t>
            </w:r>
          </w:p>
        </w:tc>
        <w:tc>
          <w:tcPr>
            <w:tcW w:w="694" w:type="dxa"/>
            <w:vAlign w:val="center"/>
          </w:tcPr>
          <w:p w14:paraId="0820E3B4">
            <w:pPr>
              <w:spacing w:line="440" w:lineRule="atLeast"/>
              <w:jc w:val="center"/>
            </w:pPr>
            <w:r>
              <w:rPr>
                <w:rFonts w:hint="eastAsia"/>
              </w:rPr>
              <w:t>15</w:t>
            </w:r>
          </w:p>
        </w:tc>
        <w:tc>
          <w:tcPr>
            <w:tcW w:w="851" w:type="dxa"/>
            <w:vAlign w:val="center"/>
          </w:tcPr>
          <w:p w14:paraId="776EF1E9">
            <w:pPr>
              <w:spacing w:line="440" w:lineRule="atLeast"/>
              <w:jc w:val="center"/>
            </w:pPr>
            <w:r>
              <w:rPr>
                <w:rFonts w:hint="eastAsia"/>
              </w:rPr>
              <w:t>9</w:t>
            </w:r>
            <w:r>
              <w:t>-</w:t>
            </w:r>
            <w:r>
              <w:rPr>
                <w:rFonts w:hint="eastAsia"/>
              </w:rPr>
              <w:t>15</w:t>
            </w:r>
          </w:p>
        </w:tc>
        <w:tc>
          <w:tcPr>
            <w:tcW w:w="850" w:type="dxa"/>
            <w:vAlign w:val="center"/>
          </w:tcPr>
          <w:p w14:paraId="0A63D314">
            <w:pPr>
              <w:spacing w:line="440" w:lineRule="atLeast"/>
              <w:jc w:val="center"/>
            </w:pPr>
          </w:p>
        </w:tc>
        <w:tc>
          <w:tcPr>
            <w:tcW w:w="709" w:type="dxa"/>
            <w:vMerge w:val="restart"/>
            <w:vAlign w:val="center"/>
          </w:tcPr>
          <w:p w14:paraId="5A4C7A5C">
            <w:pPr>
              <w:spacing w:line="440" w:lineRule="atLeast"/>
              <w:jc w:val="center"/>
            </w:pPr>
          </w:p>
        </w:tc>
      </w:tr>
      <w:tr w14:paraId="0D5B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864" w:type="dxa"/>
            <w:gridSpan w:val="2"/>
            <w:vAlign w:val="center"/>
          </w:tcPr>
          <w:p w14:paraId="721114F4">
            <w:pPr>
              <w:pStyle w:val="24"/>
              <w:jc w:val="center"/>
              <w:rPr>
                <w:color w:val="auto"/>
                <w:sz w:val="21"/>
                <w:szCs w:val="21"/>
              </w:rPr>
            </w:pPr>
            <w:r>
              <w:rPr>
                <w:color w:val="auto"/>
                <w:sz w:val="21"/>
                <w:szCs w:val="21"/>
              </w:rPr>
              <w:t>目标</w:t>
            </w:r>
            <w:r>
              <w:rPr>
                <w:rFonts w:hint="eastAsia"/>
                <w:color w:val="auto"/>
                <w:sz w:val="21"/>
                <w:szCs w:val="21"/>
              </w:rPr>
              <w:t>6</w:t>
            </w:r>
          </w:p>
        </w:tc>
        <w:tc>
          <w:tcPr>
            <w:tcW w:w="4144" w:type="dxa"/>
            <w:gridSpan w:val="6"/>
            <w:vAlign w:val="center"/>
          </w:tcPr>
          <w:p w14:paraId="3561C676">
            <w:pPr>
              <w:pStyle w:val="24"/>
              <w:jc w:val="both"/>
              <w:rPr>
                <w:sz w:val="21"/>
                <w:szCs w:val="21"/>
              </w:rPr>
            </w:pPr>
            <w:r>
              <w:rPr>
                <w:rFonts w:hint="eastAsia"/>
                <w:sz w:val="21"/>
                <w:szCs w:val="21"/>
              </w:rPr>
              <w:t>规范设计报告的撰写</w:t>
            </w:r>
          </w:p>
        </w:tc>
        <w:tc>
          <w:tcPr>
            <w:tcW w:w="694" w:type="dxa"/>
            <w:vAlign w:val="center"/>
          </w:tcPr>
          <w:p w14:paraId="0F8F98FE">
            <w:pPr>
              <w:spacing w:line="440" w:lineRule="atLeast"/>
              <w:jc w:val="center"/>
            </w:pPr>
            <w:r>
              <w:rPr>
                <w:rFonts w:hint="eastAsia"/>
              </w:rPr>
              <w:t>10</w:t>
            </w:r>
          </w:p>
        </w:tc>
        <w:tc>
          <w:tcPr>
            <w:tcW w:w="851" w:type="dxa"/>
            <w:vAlign w:val="center"/>
          </w:tcPr>
          <w:p w14:paraId="0C174D69">
            <w:pPr>
              <w:spacing w:line="440" w:lineRule="atLeast"/>
              <w:jc w:val="center"/>
            </w:pPr>
            <w:r>
              <w:rPr>
                <w:rFonts w:hint="eastAsia"/>
              </w:rPr>
              <w:t>6-10</w:t>
            </w:r>
          </w:p>
        </w:tc>
        <w:tc>
          <w:tcPr>
            <w:tcW w:w="850" w:type="dxa"/>
            <w:vAlign w:val="center"/>
          </w:tcPr>
          <w:p w14:paraId="0ABCAFEB">
            <w:pPr>
              <w:spacing w:line="440" w:lineRule="atLeast"/>
              <w:jc w:val="center"/>
            </w:pPr>
          </w:p>
        </w:tc>
        <w:tc>
          <w:tcPr>
            <w:tcW w:w="709" w:type="dxa"/>
            <w:vMerge w:val="continue"/>
            <w:vAlign w:val="center"/>
          </w:tcPr>
          <w:p w14:paraId="1EBE036F">
            <w:pPr>
              <w:spacing w:line="440" w:lineRule="atLeast"/>
              <w:jc w:val="center"/>
            </w:pPr>
          </w:p>
        </w:tc>
      </w:tr>
      <w:tr w14:paraId="3C11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864" w:type="dxa"/>
            <w:gridSpan w:val="2"/>
            <w:vAlign w:val="center"/>
          </w:tcPr>
          <w:p w14:paraId="6C774C08">
            <w:pPr>
              <w:pStyle w:val="24"/>
              <w:jc w:val="center"/>
              <w:rPr>
                <w:color w:val="auto"/>
                <w:sz w:val="21"/>
                <w:szCs w:val="21"/>
              </w:rPr>
            </w:pPr>
            <w:r>
              <w:rPr>
                <w:color w:val="auto"/>
                <w:sz w:val="21"/>
                <w:szCs w:val="21"/>
              </w:rPr>
              <w:t>目标</w:t>
            </w:r>
            <w:r>
              <w:rPr>
                <w:rFonts w:hint="eastAsia"/>
                <w:color w:val="auto"/>
                <w:sz w:val="21"/>
                <w:szCs w:val="21"/>
              </w:rPr>
              <w:t>7</w:t>
            </w:r>
          </w:p>
        </w:tc>
        <w:tc>
          <w:tcPr>
            <w:tcW w:w="4144" w:type="dxa"/>
            <w:gridSpan w:val="6"/>
            <w:vAlign w:val="center"/>
          </w:tcPr>
          <w:p w14:paraId="1B4843A4">
            <w:pPr>
              <w:pStyle w:val="24"/>
              <w:jc w:val="both"/>
              <w:rPr>
                <w:sz w:val="21"/>
                <w:szCs w:val="21"/>
              </w:rPr>
            </w:pPr>
            <w:r>
              <w:rPr>
                <w:rFonts w:hint="eastAsia"/>
                <w:sz w:val="21"/>
                <w:szCs w:val="21"/>
              </w:rPr>
              <w:t>项目组织、协调与管理</w:t>
            </w:r>
            <w:r>
              <w:rPr>
                <w:sz w:val="21"/>
                <w:szCs w:val="21"/>
              </w:rPr>
              <w:t xml:space="preserve"> </w:t>
            </w:r>
          </w:p>
        </w:tc>
        <w:tc>
          <w:tcPr>
            <w:tcW w:w="694" w:type="dxa"/>
            <w:vAlign w:val="center"/>
          </w:tcPr>
          <w:p w14:paraId="27CCB328">
            <w:pPr>
              <w:spacing w:line="440" w:lineRule="atLeast"/>
              <w:jc w:val="center"/>
            </w:pPr>
            <w:r>
              <w:rPr>
                <w:rFonts w:hint="eastAsia"/>
              </w:rPr>
              <w:t>5</w:t>
            </w:r>
          </w:p>
        </w:tc>
        <w:tc>
          <w:tcPr>
            <w:tcW w:w="851" w:type="dxa"/>
            <w:vAlign w:val="center"/>
          </w:tcPr>
          <w:p w14:paraId="71AF6381">
            <w:pPr>
              <w:spacing w:line="440" w:lineRule="atLeast"/>
              <w:jc w:val="center"/>
            </w:pPr>
            <w:r>
              <w:rPr>
                <w:rFonts w:hint="eastAsia"/>
              </w:rPr>
              <w:t>3</w:t>
            </w:r>
            <w:r>
              <w:t>-</w:t>
            </w:r>
            <w:r>
              <w:rPr>
                <w:rFonts w:hint="eastAsia"/>
              </w:rPr>
              <w:t>5</w:t>
            </w:r>
          </w:p>
        </w:tc>
        <w:tc>
          <w:tcPr>
            <w:tcW w:w="850" w:type="dxa"/>
            <w:vAlign w:val="center"/>
          </w:tcPr>
          <w:p w14:paraId="335FA8FB">
            <w:pPr>
              <w:spacing w:line="440" w:lineRule="atLeast"/>
              <w:jc w:val="center"/>
            </w:pPr>
          </w:p>
        </w:tc>
        <w:tc>
          <w:tcPr>
            <w:tcW w:w="709" w:type="dxa"/>
            <w:vMerge w:val="continue"/>
            <w:vAlign w:val="center"/>
          </w:tcPr>
          <w:p w14:paraId="396A87D9">
            <w:pPr>
              <w:spacing w:line="440" w:lineRule="atLeast"/>
              <w:jc w:val="center"/>
            </w:pPr>
          </w:p>
        </w:tc>
      </w:tr>
      <w:tr w14:paraId="5AF9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9112" w:type="dxa"/>
            <w:gridSpan w:val="12"/>
            <w:vAlign w:val="center"/>
          </w:tcPr>
          <w:p w14:paraId="478DCEBB">
            <w:pPr>
              <w:spacing w:line="440" w:lineRule="atLeast"/>
              <w:jc w:val="left"/>
            </w:pPr>
            <w:r>
              <w:t xml:space="preserve">   </w:t>
            </w:r>
            <w:r>
              <w:rPr>
                <w:rFonts w:hint="eastAsia"/>
              </w:rPr>
              <w:t xml:space="preserve">    </w:t>
            </w:r>
            <w:r>
              <w:t xml:space="preserve">           </w:t>
            </w:r>
            <w:r>
              <w:rPr>
                <w:rFonts w:hint="eastAsia"/>
              </w:rPr>
              <w:t>评阅</w:t>
            </w:r>
            <w:r>
              <w:rPr>
                <w:rFonts w:hint="eastAsia" w:cs="宋体"/>
              </w:rPr>
              <w:t>教师签名：</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cs="宋体"/>
              </w:rPr>
              <w:t>年</w:t>
            </w:r>
            <w:r>
              <w:t xml:space="preserve"> </w:t>
            </w:r>
            <w:r>
              <w:rPr>
                <w:rFonts w:hint="eastAsia"/>
              </w:rPr>
              <w:t xml:space="preserve">    </w:t>
            </w:r>
            <w:r>
              <w:t xml:space="preserve">  </w:t>
            </w:r>
            <w:r>
              <w:rPr>
                <w:rFonts w:hint="eastAsia" w:cs="宋体"/>
              </w:rPr>
              <w:t>月</w:t>
            </w:r>
            <w:r>
              <w:t xml:space="preserve">  </w:t>
            </w:r>
            <w:r>
              <w:rPr>
                <w:rFonts w:hint="eastAsia"/>
              </w:rPr>
              <w:t xml:space="preserve">    </w:t>
            </w:r>
            <w:r>
              <w:t xml:space="preserve"> </w:t>
            </w:r>
            <w:r>
              <w:rPr>
                <w:rFonts w:hint="eastAsia" w:cs="宋体"/>
              </w:rPr>
              <w:t>日</w:t>
            </w:r>
          </w:p>
        </w:tc>
      </w:tr>
      <w:tr w14:paraId="624C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9112" w:type="dxa"/>
            <w:gridSpan w:val="12"/>
            <w:vAlign w:val="center"/>
          </w:tcPr>
          <w:p w14:paraId="119C150C">
            <w:pPr>
              <w:ind w:firstLine="2951" w:firstLineChars="1400"/>
            </w:pPr>
            <w:r>
              <w:rPr>
                <w:rFonts w:hint="eastAsia" w:ascii="黑体" w:hAnsi="黑体" w:eastAsia="黑体" w:cs="宋体"/>
                <w:b/>
                <w:bCs/>
              </w:rPr>
              <w:t>答辩评分</w:t>
            </w:r>
            <w:r>
              <w:rPr>
                <w:rFonts w:hint="eastAsia" w:cs="宋体"/>
              </w:rPr>
              <w:t>（占总分比例为</w:t>
            </w:r>
            <w:r>
              <w:rPr>
                <w:rFonts w:cs="宋体"/>
              </w:rPr>
              <w:t>30</w:t>
            </w:r>
            <w:r>
              <w:t xml:space="preserve"> %</w:t>
            </w:r>
            <w:r>
              <w:rPr>
                <w:rFonts w:hint="eastAsia" w:cs="宋体"/>
              </w:rPr>
              <w:t>）</w:t>
            </w:r>
          </w:p>
        </w:tc>
      </w:tr>
      <w:tr w14:paraId="35C0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4" w:type="dxa"/>
            <w:gridSpan w:val="2"/>
            <w:vAlign w:val="center"/>
          </w:tcPr>
          <w:p w14:paraId="5B90A6C2">
            <w:pPr>
              <w:jc w:val="center"/>
              <w:rPr>
                <w:rFonts w:ascii="黑体" w:hAnsi="黑体" w:eastAsia="黑体"/>
              </w:rPr>
            </w:pPr>
            <w:r>
              <w:rPr>
                <w:rFonts w:hint="eastAsia" w:ascii="黑体" w:hAnsi="黑体" w:eastAsia="黑体"/>
              </w:rPr>
              <w:t>课程目标</w:t>
            </w:r>
          </w:p>
        </w:tc>
        <w:tc>
          <w:tcPr>
            <w:tcW w:w="4131" w:type="dxa"/>
            <w:gridSpan w:val="5"/>
            <w:vAlign w:val="center"/>
          </w:tcPr>
          <w:p w14:paraId="0F73B8A2">
            <w:pPr>
              <w:jc w:val="center"/>
              <w:rPr>
                <w:rFonts w:ascii="黑体" w:hAnsi="黑体" w:eastAsia="黑体"/>
              </w:rPr>
            </w:pPr>
            <w:r>
              <w:rPr>
                <w:rFonts w:ascii="黑体" w:hAnsi="黑体" w:eastAsia="黑体"/>
              </w:rPr>
              <w:t>指标点</w:t>
            </w:r>
          </w:p>
        </w:tc>
        <w:tc>
          <w:tcPr>
            <w:tcW w:w="707" w:type="dxa"/>
            <w:gridSpan w:val="2"/>
            <w:vAlign w:val="center"/>
          </w:tcPr>
          <w:p w14:paraId="2A98FB22">
            <w:pPr>
              <w:jc w:val="center"/>
              <w:rPr>
                <w:rFonts w:ascii="黑体" w:hAnsi="黑体" w:eastAsia="黑体"/>
              </w:rPr>
            </w:pPr>
            <w:r>
              <w:rPr>
                <w:rFonts w:ascii="黑体" w:hAnsi="黑体" w:eastAsia="黑体"/>
              </w:rPr>
              <w:t>分值</w:t>
            </w:r>
          </w:p>
        </w:tc>
        <w:tc>
          <w:tcPr>
            <w:tcW w:w="851" w:type="dxa"/>
            <w:vAlign w:val="center"/>
          </w:tcPr>
          <w:p w14:paraId="06C187DE">
            <w:pPr>
              <w:jc w:val="center"/>
              <w:rPr>
                <w:rFonts w:ascii="黑体" w:hAnsi="黑体" w:eastAsia="黑体"/>
              </w:rPr>
            </w:pPr>
            <w:r>
              <w:rPr>
                <w:rFonts w:ascii="黑体" w:hAnsi="黑体" w:eastAsia="黑体"/>
              </w:rPr>
              <w:t>合格</w:t>
            </w:r>
          </w:p>
        </w:tc>
        <w:tc>
          <w:tcPr>
            <w:tcW w:w="850" w:type="dxa"/>
            <w:vAlign w:val="center"/>
          </w:tcPr>
          <w:p w14:paraId="1557BD3C">
            <w:pPr>
              <w:jc w:val="center"/>
              <w:rPr>
                <w:rFonts w:ascii="黑体" w:hAnsi="黑体" w:eastAsia="黑体"/>
              </w:rPr>
            </w:pPr>
            <w:r>
              <w:rPr>
                <w:rFonts w:hint="eastAsia" w:ascii="黑体" w:hAnsi="黑体" w:eastAsia="黑体"/>
              </w:rPr>
              <w:t>得分</w:t>
            </w:r>
          </w:p>
        </w:tc>
        <w:tc>
          <w:tcPr>
            <w:tcW w:w="709" w:type="dxa"/>
            <w:vAlign w:val="center"/>
          </w:tcPr>
          <w:p w14:paraId="1811C46B">
            <w:pPr>
              <w:jc w:val="center"/>
              <w:rPr>
                <w:rFonts w:ascii="黑体" w:hAnsi="黑体" w:eastAsia="黑体"/>
              </w:rPr>
            </w:pPr>
            <w:r>
              <w:rPr>
                <w:rFonts w:hint="eastAsia" w:ascii="黑体" w:hAnsi="黑体" w:eastAsia="黑体"/>
              </w:rPr>
              <w:t>小计</w:t>
            </w:r>
          </w:p>
        </w:tc>
      </w:tr>
      <w:tr w14:paraId="127C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4" w:type="dxa"/>
            <w:gridSpan w:val="2"/>
            <w:vAlign w:val="center"/>
          </w:tcPr>
          <w:p w14:paraId="095D18AE">
            <w:pPr>
              <w:pStyle w:val="24"/>
              <w:jc w:val="center"/>
              <w:rPr>
                <w:color w:val="auto"/>
                <w:sz w:val="21"/>
                <w:szCs w:val="21"/>
              </w:rPr>
            </w:pPr>
            <w:r>
              <w:rPr>
                <w:color w:val="auto"/>
                <w:sz w:val="21"/>
                <w:szCs w:val="21"/>
              </w:rPr>
              <w:t>目标</w:t>
            </w:r>
            <w:r>
              <w:rPr>
                <w:rFonts w:hint="eastAsia"/>
                <w:color w:val="auto"/>
                <w:sz w:val="21"/>
                <w:szCs w:val="21"/>
              </w:rPr>
              <w:t>4</w:t>
            </w:r>
          </w:p>
        </w:tc>
        <w:tc>
          <w:tcPr>
            <w:tcW w:w="4131" w:type="dxa"/>
            <w:gridSpan w:val="5"/>
            <w:vAlign w:val="center"/>
          </w:tcPr>
          <w:p w14:paraId="37431449">
            <w:pPr>
              <w:pStyle w:val="24"/>
              <w:rPr>
                <w:color w:val="auto"/>
                <w:sz w:val="21"/>
                <w:szCs w:val="21"/>
              </w:rPr>
            </w:pPr>
            <w:r>
              <w:rPr>
                <w:rFonts w:hint="eastAsia"/>
                <w:color w:val="auto"/>
                <w:sz w:val="21"/>
                <w:szCs w:val="21"/>
              </w:rPr>
              <w:t>系统完成度和现代工具的使用</w:t>
            </w:r>
          </w:p>
        </w:tc>
        <w:tc>
          <w:tcPr>
            <w:tcW w:w="707" w:type="dxa"/>
            <w:gridSpan w:val="2"/>
            <w:vAlign w:val="center"/>
          </w:tcPr>
          <w:p w14:paraId="4157F652">
            <w:pPr>
              <w:spacing w:line="440" w:lineRule="atLeast"/>
              <w:jc w:val="center"/>
            </w:pPr>
            <w:r>
              <w:rPr>
                <w:rFonts w:hint="eastAsia"/>
              </w:rPr>
              <w:t>20</w:t>
            </w:r>
          </w:p>
        </w:tc>
        <w:tc>
          <w:tcPr>
            <w:tcW w:w="851" w:type="dxa"/>
            <w:vAlign w:val="center"/>
          </w:tcPr>
          <w:p w14:paraId="08C15E7D">
            <w:pPr>
              <w:spacing w:line="440" w:lineRule="atLeast"/>
              <w:jc w:val="center"/>
            </w:pPr>
            <w:r>
              <w:rPr>
                <w:rFonts w:hint="eastAsia"/>
              </w:rPr>
              <w:t>12</w:t>
            </w:r>
            <w:r>
              <w:t>-</w:t>
            </w:r>
            <w:r>
              <w:rPr>
                <w:rFonts w:hint="eastAsia"/>
              </w:rPr>
              <w:t>2</w:t>
            </w:r>
            <w:r>
              <w:t>0</w:t>
            </w:r>
          </w:p>
        </w:tc>
        <w:tc>
          <w:tcPr>
            <w:tcW w:w="850" w:type="dxa"/>
            <w:vAlign w:val="center"/>
          </w:tcPr>
          <w:p w14:paraId="32F79E81">
            <w:pPr>
              <w:spacing w:line="440" w:lineRule="atLeast"/>
              <w:jc w:val="center"/>
            </w:pPr>
          </w:p>
        </w:tc>
        <w:tc>
          <w:tcPr>
            <w:tcW w:w="709" w:type="dxa"/>
            <w:vMerge w:val="restart"/>
            <w:vAlign w:val="center"/>
          </w:tcPr>
          <w:p w14:paraId="7DCBEC9C">
            <w:pPr>
              <w:spacing w:line="440" w:lineRule="atLeast"/>
              <w:jc w:val="center"/>
            </w:pPr>
          </w:p>
        </w:tc>
      </w:tr>
      <w:tr w14:paraId="3975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64" w:type="dxa"/>
            <w:gridSpan w:val="2"/>
            <w:vAlign w:val="center"/>
          </w:tcPr>
          <w:p w14:paraId="6A9367FD">
            <w:pPr>
              <w:pStyle w:val="24"/>
              <w:jc w:val="center"/>
              <w:rPr>
                <w:color w:val="auto"/>
                <w:sz w:val="21"/>
                <w:szCs w:val="21"/>
              </w:rPr>
            </w:pPr>
            <w:r>
              <w:rPr>
                <w:rFonts w:hint="eastAsia"/>
                <w:color w:val="auto"/>
                <w:sz w:val="21"/>
                <w:szCs w:val="21"/>
              </w:rPr>
              <w:t>目标6</w:t>
            </w:r>
          </w:p>
        </w:tc>
        <w:tc>
          <w:tcPr>
            <w:tcW w:w="4131" w:type="dxa"/>
            <w:gridSpan w:val="5"/>
            <w:vAlign w:val="center"/>
          </w:tcPr>
          <w:p w14:paraId="7075ECFD">
            <w:pPr>
              <w:pStyle w:val="24"/>
              <w:jc w:val="both"/>
              <w:rPr>
                <w:sz w:val="21"/>
                <w:szCs w:val="21"/>
              </w:rPr>
            </w:pPr>
            <w:r>
              <w:rPr>
                <w:rFonts w:hint="eastAsia"/>
                <w:sz w:val="21"/>
                <w:szCs w:val="21"/>
              </w:rPr>
              <w:t>有效沟通和表达</w:t>
            </w:r>
          </w:p>
        </w:tc>
        <w:tc>
          <w:tcPr>
            <w:tcW w:w="707" w:type="dxa"/>
            <w:gridSpan w:val="2"/>
            <w:vAlign w:val="center"/>
          </w:tcPr>
          <w:p w14:paraId="1E6464E0">
            <w:pPr>
              <w:spacing w:line="440" w:lineRule="atLeast"/>
              <w:jc w:val="center"/>
            </w:pPr>
            <w:r>
              <w:t>10</w:t>
            </w:r>
          </w:p>
        </w:tc>
        <w:tc>
          <w:tcPr>
            <w:tcW w:w="851" w:type="dxa"/>
            <w:vAlign w:val="center"/>
          </w:tcPr>
          <w:p w14:paraId="7F62C5F3">
            <w:pPr>
              <w:spacing w:line="440" w:lineRule="atLeast"/>
              <w:jc w:val="center"/>
            </w:pPr>
            <w:r>
              <w:t>6-10</w:t>
            </w:r>
          </w:p>
        </w:tc>
        <w:tc>
          <w:tcPr>
            <w:tcW w:w="850" w:type="dxa"/>
            <w:vAlign w:val="center"/>
          </w:tcPr>
          <w:p w14:paraId="4E832BEC">
            <w:pPr>
              <w:spacing w:line="440" w:lineRule="atLeast"/>
              <w:jc w:val="center"/>
            </w:pPr>
          </w:p>
        </w:tc>
        <w:tc>
          <w:tcPr>
            <w:tcW w:w="709" w:type="dxa"/>
            <w:vMerge w:val="continue"/>
            <w:vAlign w:val="center"/>
          </w:tcPr>
          <w:p w14:paraId="42B0C8D2">
            <w:pPr>
              <w:spacing w:line="440" w:lineRule="atLeast"/>
              <w:jc w:val="center"/>
            </w:pPr>
          </w:p>
        </w:tc>
      </w:tr>
      <w:tr w14:paraId="31B2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9112" w:type="dxa"/>
            <w:gridSpan w:val="12"/>
            <w:vAlign w:val="center"/>
          </w:tcPr>
          <w:p w14:paraId="01ED056F">
            <w:pPr>
              <w:spacing w:line="440" w:lineRule="atLeast"/>
              <w:rPr>
                <w:rFonts w:cs="宋体"/>
              </w:rPr>
            </w:pPr>
            <w:r>
              <w:rPr>
                <w:rFonts w:hint="eastAsia" w:cs="宋体"/>
              </w:rPr>
              <w:t>答辩小组成员签名：</w:t>
            </w:r>
          </w:p>
          <w:p w14:paraId="6CC22D98">
            <w:pPr>
              <w:spacing w:line="440" w:lineRule="atLeast"/>
              <w:rPr>
                <w:rFonts w:cs="宋体"/>
              </w:rPr>
            </w:pPr>
          </w:p>
          <w:p w14:paraId="5A8D8C61">
            <w:pPr>
              <w:spacing w:line="440" w:lineRule="atLeast"/>
            </w:pPr>
          </w:p>
          <w:p w14:paraId="0FEAF3EF">
            <w:pPr>
              <w:spacing w:line="440" w:lineRule="atLeast"/>
              <w:jc w:val="right"/>
            </w:pPr>
            <w:r>
              <w:t xml:space="preserve">            </w:t>
            </w:r>
            <w:r>
              <w:rPr>
                <w:rFonts w:hint="eastAsia" w:cs="宋体"/>
              </w:rPr>
              <w:t>年</w:t>
            </w:r>
            <w:r>
              <w:t xml:space="preserve"> </w:t>
            </w:r>
            <w:r>
              <w:rPr>
                <w:rFonts w:hint="eastAsia"/>
              </w:rPr>
              <w:t xml:space="preserve">    </w:t>
            </w:r>
            <w:r>
              <w:t xml:space="preserve">  </w:t>
            </w:r>
            <w:r>
              <w:rPr>
                <w:rFonts w:hint="eastAsia" w:cs="宋体"/>
              </w:rPr>
              <w:t>月</w:t>
            </w:r>
            <w:r>
              <w:t xml:space="preserve">  </w:t>
            </w:r>
            <w:r>
              <w:rPr>
                <w:rFonts w:hint="eastAsia"/>
              </w:rPr>
              <w:t xml:space="preserve">    </w:t>
            </w:r>
            <w:r>
              <w:t xml:space="preserve"> </w:t>
            </w:r>
            <w:r>
              <w:rPr>
                <w:rFonts w:hint="eastAsia" w:cs="宋体"/>
              </w:rPr>
              <w:t>日</w:t>
            </w:r>
          </w:p>
        </w:tc>
      </w:tr>
      <w:tr w14:paraId="17C3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550" w:type="dxa"/>
            <w:gridSpan w:val="5"/>
            <w:vAlign w:val="center"/>
          </w:tcPr>
          <w:p w14:paraId="4164600E">
            <w:pPr>
              <w:jc w:val="center"/>
            </w:pPr>
            <w:r>
              <w:rPr>
                <w:rFonts w:hint="eastAsia" w:ascii="黑体" w:hAnsi="黑体" w:eastAsia="黑体" w:cs="宋体"/>
                <w:b/>
                <w:bCs/>
              </w:rPr>
              <w:t>总评成绩</w:t>
            </w:r>
            <w:r>
              <w:rPr>
                <w:rFonts w:hint="eastAsia" w:cs="宋体"/>
              </w:rPr>
              <w:t>（三项评分和）</w:t>
            </w:r>
          </w:p>
        </w:tc>
        <w:tc>
          <w:tcPr>
            <w:tcW w:w="3562" w:type="dxa"/>
            <w:gridSpan w:val="7"/>
            <w:vAlign w:val="center"/>
          </w:tcPr>
          <w:p w14:paraId="79018890">
            <w:pPr>
              <w:widowControl/>
              <w:ind w:firstLine="630" w:firstLineChars="300"/>
            </w:pPr>
          </w:p>
          <w:p w14:paraId="27B026B2">
            <w:pPr>
              <w:widowControl/>
              <w:ind w:firstLine="630" w:firstLineChars="300"/>
            </w:pPr>
          </w:p>
        </w:tc>
      </w:tr>
      <w:tr w14:paraId="1AF1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864" w:type="dxa"/>
            <w:gridSpan w:val="2"/>
            <w:vAlign w:val="center"/>
          </w:tcPr>
          <w:p w14:paraId="086B39A4">
            <w:pPr>
              <w:jc w:val="center"/>
              <w:rPr>
                <w:b/>
                <w:bCs/>
              </w:rPr>
            </w:pPr>
            <w:r>
              <w:rPr>
                <w:rFonts w:hint="eastAsia"/>
              </w:rPr>
              <w:t>备注</w:t>
            </w:r>
          </w:p>
        </w:tc>
        <w:tc>
          <w:tcPr>
            <w:tcW w:w="7248" w:type="dxa"/>
            <w:gridSpan w:val="10"/>
            <w:vAlign w:val="center"/>
          </w:tcPr>
          <w:p w14:paraId="5C782727">
            <w:pPr>
              <w:widowControl/>
              <w:ind w:firstLine="630" w:firstLineChars="300"/>
            </w:pPr>
          </w:p>
          <w:p w14:paraId="225DFCF5">
            <w:pPr>
              <w:widowControl/>
            </w:pPr>
          </w:p>
          <w:p w14:paraId="06F58AB7">
            <w:pPr>
              <w:widowControl/>
            </w:pPr>
          </w:p>
        </w:tc>
      </w:tr>
    </w:tbl>
    <w:p w14:paraId="56DA96D0">
      <w:pPr>
        <w:pStyle w:val="31"/>
        <w:pageBreakBefore/>
        <w:pBdr>
          <w:top w:val="none" w:color="auto" w:sz="0" w:space="0"/>
          <w:left w:val="none" w:color="auto" w:sz="0" w:space="0"/>
          <w:bottom w:val="none" w:color="auto" w:sz="0" w:space="0"/>
          <w:right w:val="none" w:color="auto" w:sz="0" w:space="0"/>
        </w:pBdr>
        <w:spacing w:before="0" w:after="280"/>
        <w:ind w:firstLine="0"/>
        <w:jc w:val="center"/>
      </w:pPr>
      <w:r>
        <w:rPr>
          <w:rFonts w:ascii="Times New Roman" w:hAnsi="Times New Roman" w:eastAsia="黑体"/>
          <w:b/>
          <w:i w:val="0"/>
          <w:color w:val="000000"/>
          <w:sz w:val="36"/>
        </w:rPr>
        <w:t>CT肺部三切片病灶自动检测与可视化</w:t>
      </w:r>
    </w:p>
    <w:p w14:paraId="00B706F5">
      <w:pPr>
        <w:pStyle w:val="3"/>
        <w:ind w:left="0" w:firstLine="0"/>
        <w:jc w:val="left"/>
      </w:pPr>
      <w:r>
        <w:rPr>
          <w:rFonts w:ascii="Times New Roman" w:hAnsi="Times New Roman" w:eastAsia="黑体"/>
          <w:b/>
          <w:i w:val="0"/>
          <w:color w:val="000000"/>
          <w:sz w:val="28"/>
        </w:rPr>
        <w:t>背景与摘要</w:t>
      </w:r>
    </w:p>
    <w:p w14:paraId="0A23037F">
      <w:pPr>
        <w:pStyle w:val="32"/>
        <w:jc w:val="both"/>
      </w:pPr>
      <w:r>
        <w:rPr>
          <w:rFonts w:ascii="Times New Roman" w:hAnsi="Times New Roman" w:eastAsia="宋体"/>
          <w:b w:val="0"/>
          <w:i w:val="0"/>
          <w:color w:val="000000"/>
          <w:sz w:val="24"/>
        </w:rPr>
        <w:t>肺癌是最常见的癌症之一，也是全球癌症死亡的主要原因。据估计，2020年全球新增肺癌病例达220万例，肺癌导致的癌症死亡人数达180万，几乎占所有癌症死亡的五分之一。肺癌通常在晚期被诊断，因为其症状通常出现在疾病进展到更高阶段时。如果能早期诊断肺癌，患者存活率会显著提高，因此，肺癌筛查项目旨在尽早通过低剂量计算机断层扫描（CT）发现肺癌，当癌症表现为小型肺结节时被及时发现。</w:t>
      </w:r>
    </w:p>
    <w:p w14:paraId="0CFD3A07">
      <w:pPr>
        <w:pStyle w:val="32"/>
        <w:jc w:val="both"/>
      </w:pPr>
      <w:r>
        <w:rPr>
          <w:rFonts w:ascii="Times New Roman" w:hAnsi="Times New Roman" w:eastAsia="宋体"/>
          <w:b w:val="0"/>
          <w:i w:val="0"/>
          <w:color w:val="000000"/>
          <w:sz w:val="24"/>
        </w:rPr>
        <w:t>本设计围绕肺部 CT 序列中的结节定位，采用相邻轴向切片构建三通道输入，训练 YOLO11s 检测模型，并建立完整 CT 的三维结节评价流程。数据整理中修复了同层多目标标签遗漏、重复导出与 UID 映射冲突等问题，保留图像的原点、间距和方向信息。主模型使用 675 个训练体积形成的共计 12,048 个检测样本，完成 100 轮训练；在冻结的 125 个验证体积、179 个结节和 33,398 张中心切片上进行完整推理。</w:t>
      </w:r>
    </w:p>
    <w:p w14:paraId="77634E60">
      <w:pPr>
        <w:pStyle w:val="32"/>
        <w:jc w:val="both"/>
      </w:pPr>
      <w:r>
        <w:rPr>
          <w:rFonts w:ascii="Times New Roman" w:hAnsi="Times New Roman" w:eastAsia="宋体"/>
          <w:b w:val="0"/>
          <w:i w:val="0"/>
          <w:color w:val="000000"/>
          <w:sz w:val="24"/>
        </w:rPr>
        <w:t>与以往目标检测不同的是命中条件的改变，本次训练不再以IOU交并比为命中依据，而是以预测中心到标注中心的三维距离小于标注半径为命中条件[2]，此改变成功带来了检出率的提升，在平均误报不超过1FP/s时，最优权重为第 90 轮的模型检出 154 个结节，敏感性为 86.03%。但七点平均敏感性为0.7749，说明提升局限。后续工作考虑现有 ResNet18 对新候选的过滤进行改善。</w:t>
      </w:r>
    </w:p>
    <w:p w14:paraId="77CBC27B">
      <w:pPr>
        <w:pStyle w:val="32"/>
        <w:jc w:val="both"/>
      </w:pPr>
      <w:r>
        <w:rPr>
          <w:rFonts w:ascii="Times New Roman" w:hAnsi="Times New Roman" w:eastAsia="宋体"/>
          <w:b w:val="0"/>
          <w:i w:val="0"/>
          <w:color w:val="000000"/>
          <w:sz w:val="24"/>
        </w:rPr>
        <w:t>关键词：肺结节检测；三切片输入；YOLO11s</w:t>
      </w:r>
    </w:p>
    <w:p w14:paraId="0D04F714">
      <w:pPr>
        <w:pStyle w:val="2"/>
        <w:pageBreakBefore/>
        <w:ind w:left="0" w:firstLine="0"/>
        <w:jc w:val="left"/>
      </w:pPr>
      <w:r>
        <w:rPr>
          <w:rFonts w:ascii="Times New Roman" w:hAnsi="Times New Roman" w:eastAsia="黑体"/>
          <w:b/>
          <w:i w:val="0"/>
          <w:color w:val="000000"/>
          <w:sz w:val="32"/>
        </w:rPr>
        <w:t>一、设计任务分析与方案确定</w:t>
      </w:r>
    </w:p>
    <w:p w14:paraId="576FAD49">
      <w:pPr>
        <w:pStyle w:val="3"/>
        <w:ind w:left="0" w:firstLine="0"/>
        <w:jc w:val="left"/>
      </w:pPr>
      <w:r>
        <w:rPr>
          <w:rFonts w:ascii="Times New Roman" w:hAnsi="Times New Roman" w:eastAsia="黑体"/>
          <w:b/>
          <w:i w:val="0"/>
          <w:color w:val="000000"/>
          <w:sz w:val="28"/>
        </w:rPr>
        <w:t>1.1 设计任务与功能边界</w:t>
      </w:r>
    </w:p>
    <w:p w14:paraId="08088E5E">
      <w:pPr>
        <w:pStyle w:val="32"/>
        <w:jc w:val="both"/>
      </w:pPr>
      <w:r>
        <w:rPr>
          <w:rFonts w:ascii="Times New Roman" w:hAnsi="Times New Roman" w:eastAsia="宋体"/>
          <w:b w:val="0"/>
          <w:i w:val="0"/>
          <w:color w:val="000000"/>
          <w:sz w:val="24"/>
        </w:rPr>
        <w:t>依照任务书要求，使用 LUNA16 肺部 CT 数据，完成预处理、病灶位置提取、训练样本构建和目标检测，并通过前后端程序显示检测结果。本设计把任务中的病灶限定为公开数据集纳入评价的肺结节。模型输出候选位置和评分，结节与非结节候选的二分类作为扩展实验</w:t>
      </w:r>
    </w:p>
    <w:p w14:paraId="469E51D7">
      <w:pPr>
        <w:pStyle w:val="32"/>
        <w:jc w:val="both"/>
      </w:pPr>
      <w:r>
        <w:rPr>
          <w:rFonts w:ascii="Times New Roman" w:hAnsi="Times New Roman" w:eastAsia="宋体"/>
          <w:b w:val="0"/>
          <w:i w:val="0"/>
          <w:color w:val="000000"/>
          <w:sz w:val="24"/>
        </w:rPr>
        <w:t>三切片是本设计的主要输入组织方式。对于中心层 z，取 z−1、z、z+1 三张相邻图像组成三通道，使检测器观察同一位置在前后层面的形态变化。软件已有连续灰度序列浏览、逐层候选框显示和检测模式比较功能。相邻层的输入构建与网页上的逐层浏览分别解决模型上下文和用户观察问题，两者需要使用一致的层号与排序规则。</w:t>
      </w:r>
    </w:p>
    <w:p w14:paraId="5510A652">
      <w:pPr>
        <w:pStyle w:val="32"/>
        <w:keepNext/>
        <w:keepLines/>
        <w:spacing w:before="100" w:after="0" w:line="240" w:lineRule="auto"/>
        <w:ind w:firstLine="0"/>
        <w:jc w:val="center"/>
      </w:pPr>
      <w:r>
        <w:drawing>
          <wp:inline distT="0" distB="0" distL="0" distR="0">
            <wp:extent cx="5687695" cy="2132965"/>
            <wp:effectExtent l="0" t="0" r="6985" b="12065"/>
            <wp:docPr id="26" name="Figure 1" descr="三切片输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1" descr="三切片输入示例"/>
                    <pic:cNvPicPr>
                      <a:picLocks noChangeAspect="1"/>
                    </pic:cNvPicPr>
                  </pic:nvPicPr>
                  <pic:blipFill>
                    <a:blip r:embed="rId5"/>
                    <a:stretch>
                      <a:fillRect/>
                    </a:stretch>
                  </pic:blipFill>
                  <pic:spPr>
                    <a:xfrm>
                      <a:off x="0" y="0"/>
                      <a:ext cx="5688000" cy="2133000"/>
                    </a:xfrm>
                    <a:prstGeom prst="rect">
                      <a:avLst/>
                    </a:prstGeom>
                    <a:noFill/>
                    <a:ln>
                      <a:noFill/>
                    </a:ln>
                  </pic:spPr>
                </pic:pic>
              </a:graphicData>
            </a:graphic>
          </wp:inline>
        </w:drawing>
      </w:r>
    </w:p>
    <w:p w14:paraId="131EC33D">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1</w:t>
      </w:r>
      <w:r>
        <w:fldChar w:fldCharType="end"/>
      </w:r>
      <w:r>
        <w:rPr>
          <w:rFonts w:ascii="Times New Roman" w:hAnsi="Times New Roman" w:eastAsia="宋体"/>
          <w:b w:val="0"/>
          <w:i w:val="0"/>
          <w:color w:val="000000"/>
          <w:sz w:val="22"/>
        </w:rPr>
        <w:t xml:space="preserve">  三切片输入示例</w:t>
      </w:r>
    </w:p>
    <w:p w14:paraId="6FF12ADD">
      <w:pPr>
        <w:pStyle w:val="3"/>
        <w:ind w:left="0" w:firstLine="0"/>
        <w:jc w:val="left"/>
      </w:pPr>
      <w:r>
        <w:rPr>
          <w:rFonts w:ascii="Times New Roman" w:hAnsi="Times New Roman" w:eastAsia="黑体"/>
          <w:b/>
          <w:i w:val="0"/>
          <w:color w:val="000000"/>
          <w:sz w:val="28"/>
        </w:rPr>
        <w:t>1.2 方案比较与设计特色</w:t>
      </w:r>
    </w:p>
    <w:p w14:paraId="2736F953">
      <w:pPr>
        <w:pStyle w:val="32"/>
        <w:jc w:val="both"/>
      </w:pPr>
      <w:r>
        <w:rPr>
          <w:rFonts w:ascii="Times New Roman" w:hAnsi="Times New Roman" w:eastAsia="宋体"/>
          <w:b w:val="0"/>
          <w:i w:val="0"/>
          <w:color w:val="000000"/>
          <w:sz w:val="24"/>
        </w:rPr>
        <w:t>在方案选择中：仅仅单切片检测计算流程简单，但无法直接观察相邻层面的变化。完整三维网络可利用更多体积信息，但对数据组织和显卡计算资源要求过高。本设计沿用二维卷积网络的计算方式，将相邻轴向切片放入三个输入通道，形成 2.5D 输入。三个通道是切片信息，不是自然图像的颜色。</w:t>
      </w:r>
    </w:p>
    <w:p w14:paraId="24B04B23">
      <w:pPr>
        <w:pStyle w:val="34"/>
        <w:keepNext/>
        <w:spacing w:before="120" w:after="100"/>
        <w:jc w:val="center"/>
      </w:pPr>
      <w:r>
        <w:rPr>
          <w:rFonts w:ascii="Times New Roman" w:hAnsi="Times New Roman" w:eastAsia="宋体"/>
          <w:b w:val="0"/>
          <w:i w:val="0"/>
          <w:color w:val="000000"/>
          <w:sz w:val="22"/>
        </w:rPr>
        <w:t xml:space="preserve">表 </w:t>
      </w:r>
      <w:r>
        <w:fldChar w:fldCharType="begin"/>
      </w:r>
      <w:r>
        <w:instrText xml:space="preserve"> SEQ Table \* ARABIC </w:instrText>
      </w:r>
      <w:r>
        <w:fldChar w:fldCharType="separate"/>
      </w:r>
      <w:r>
        <w:t>1</w:t>
      </w:r>
      <w:r>
        <w:fldChar w:fldCharType="end"/>
      </w:r>
      <w:r>
        <w:rPr>
          <w:rFonts w:ascii="Times New Roman" w:hAnsi="Times New Roman" w:eastAsia="宋体"/>
          <w:b w:val="0"/>
          <w:i w:val="0"/>
          <w:color w:val="000000"/>
          <w:sz w:val="22"/>
        </w:rPr>
        <w:t xml:space="preserve">  技术路线与本设计取舍</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85" w:type="dxa"/>
          <w:bottom w:w="65" w:type="dxa"/>
          <w:right w:w="85" w:type="dxa"/>
        </w:tblCellMar>
      </w:tblPr>
      <w:tblGrid>
        <w:gridCol w:w="2324"/>
        <w:gridCol w:w="2041"/>
        <w:gridCol w:w="4706"/>
      </w:tblGrid>
      <w:tr w14:paraId="7FF6A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tblHeader/>
          <w:jc w:val="center"/>
        </w:trPr>
        <w:tc>
          <w:tcPr>
            <w:tcW w:w="2324" w:type="dxa"/>
            <w:shd w:val="clear" w:color="auto" w:fill="EEEEEE"/>
            <w:vAlign w:val="center"/>
          </w:tcPr>
          <w:p w14:paraId="570D6A89">
            <w:pPr>
              <w:pStyle w:val="32"/>
              <w:keepNext/>
              <w:keepLines/>
              <w:spacing w:before="0" w:after="0" w:line="276" w:lineRule="auto"/>
              <w:ind w:left="0" w:right="0" w:firstLine="0"/>
              <w:jc w:val="left"/>
            </w:pPr>
            <w:r>
              <w:rPr>
                <w:rFonts w:ascii="Times New Roman" w:hAnsi="Times New Roman" w:eastAsia="宋体"/>
                <w:b/>
                <w:i w:val="0"/>
                <w:color w:val="000000"/>
                <w:sz w:val="21"/>
              </w:rPr>
              <w:t>方案</w:t>
            </w:r>
          </w:p>
        </w:tc>
        <w:tc>
          <w:tcPr>
            <w:tcW w:w="2041" w:type="dxa"/>
            <w:shd w:val="clear" w:color="auto" w:fill="EEEEEE"/>
            <w:vAlign w:val="center"/>
          </w:tcPr>
          <w:p w14:paraId="70173B25">
            <w:pPr>
              <w:pStyle w:val="32"/>
              <w:keepNext/>
              <w:keepLines/>
              <w:spacing w:before="0" w:after="0" w:line="276" w:lineRule="auto"/>
              <w:ind w:left="0" w:right="0" w:firstLine="0"/>
              <w:jc w:val="left"/>
            </w:pPr>
            <w:r>
              <w:rPr>
                <w:rFonts w:ascii="Times New Roman" w:hAnsi="Times New Roman" w:eastAsia="宋体"/>
                <w:b/>
                <w:i w:val="0"/>
                <w:color w:val="000000"/>
                <w:sz w:val="21"/>
              </w:rPr>
              <w:t>信息来源</w:t>
            </w:r>
          </w:p>
        </w:tc>
        <w:tc>
          <w:tcPr>
            <w:tcW w:w="4706" w:type="dxa"/>
            <w:shd w:val="clear" w:color="auto" w:fill="EEEEEE"/>
            <w:vAlign w:val="center"/>
          </w:tcPr>
          <w:p w14:paraId="65E89536">
            <w:pPr>
              <w:pStyle w:val="32"/>
              <w:keepNext/>
              <w:keepLines/>
              <w:spacing w:before="0" w:after="0" w:line="276" w:lineRule="auto"/>
              <w:ind w:left="0" w:right="0" w:firstLine="0"/>
              <w:jc w:val="left"/>
            </w:pPr>
            <w:r>
              <w:rPr>
                <w:rFonts w:ascii="Times New Roman" w:hAnsi="Times New Roman" w:eastAsia="宋体"/>
                <w:b/>
                <w:i w:val="0"/>
                <w:color w:val="000000"/>
                <w:sz w:val="21"/>
              </w:rPr>
              <w:t>本设计定位</w:t>
            </w:r>
          </w:p>
        </w:tc>
      </w:tr>
      <w:tr w14:paraId="14D6F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324" w:type="dxa"/>
            <w:vAlign w:val="center"/>
          </w:tcPr>
          <w:p w14:paraId="52B3C80B">
            <w:pPr>
              <w:pStyle w:val="32"/>
              <w:keepNext/>
              <w:keepLines/>
              <w:spacing w:before="0" w:after="0" w:line="276" w:lineRule="auto"/>
              <w:ind w:left="0" w:right="0" w:firstLine="0"/>
              <w:jc w:val="left"/>
            </w:pPr>
            <w:r>
              <w:rPr>
                <w:rFonts w:ascii="Times New Roman" w:hAnsi="Times New Roman" w:eastAsia="宋体"/>
                <w:b w:val="0"/>
                <w:i w:val="0"/>
                <w:color w:val="000000"/>
                <w:sz w:val="21"/>
              </w:rPr>
              <w:t>单切片 YOLO</w:t>
            </w:r>
          </w:p>
        </w:tc>
        <w:tc>
          <w:tcPr>
            <w:tcW w:w="2041" w:type="dxa"/>
            <w:vAlign w:val="center"/>
          </w:tcPr>
          <w:p w14:paraId="06B614D2">
            <w:pPr>
              <w:pStyle w:val="32"/>
              <w:keepNext/>
              <w:keepLines/>
              <w:spacing w:before="0" w:after="0" w:line="276" w:lineRule="auto"/>
              <w:ind w:left="0" w:right="0" w:firstLine="0"/>
              <w:jc w:val="left"/>
            </w:pPr>
            <w:r>
              <w:rPr>
                <w:rFonts w:ascii="Times New Roman" w:hAnsi="Times New Roman" w:eastAsia="宋体"/>
                <w:b w:val="0"/>
                <w:i w:val="0"/>
                <w:color w:val="000000"/>
                <w:sz w:val="21"/>
              </w:rPr>
              <w:t>一个中心层</w:t>
            </w:r>
          </w:p>
        </w:tc>
        <w:tc>
          <w:tcPr>
            <w:tcW w:w="4706" w:type="dxa"/>
            <w:vAlign w:val="center"/>
          </w:tcPr>
          <w:p w14:paraId="463B3556">
            <w:pPr>
              <w:pStyle w:val="32"/>
              <w:keepNext/>
              <w:keepLines/>
              <w:spacing w:before="0" w:after="0" w:line="276" w:lineRule="auto"/>
              <w:ind w:left="0" w:right="0" w:firstLine="0"/>
              <w:jc w:val="left"/>
            </w:pPr>
            <w:r>
              <w:rPr>
                <w:rFonts w:ascii="Times New Roman" w:hAnsi="Times New Roman" w:eastAsia="宋体"/>
                <w:b w:val="0"/>
                <w:i w:val="0"/>
                <w:color w:val="000000"/>
                <w:sz w:val="21"/>
              </w:rPr>
              <w:t>已准备同条件配置，严格对照训练尚未完成</w:t>
            </w:r>
          </w:p>
        </w:tc>
      </w:tr>
      <w:tr w14:paraId="74E6AE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324" w:type="dxa"/>
            <w:vAlign w:val="center"/>
          </w:tcPr>
          <w:p w14:paraId="100C71C6">
            <w:pPr>
              <w:pStyle w:val="32"/>
              <w:keepNext/>
              <w:keepLines/>
              <w:spacing w:before="0" w:after="0" w:line="276" w:lineRule="auto"/>
              <w:ind w:left="0" w:right="0" w:firstLine="0"/>
              <w:jc w:val="left"/>
            </w:pPr>
            <w:r>
              <w:rPr>
                <w:rFonts w:ascii="Times New Roman" w:hAnsi="Times New Roman" w:eastAsia="宋体"/>
                <w:b w:val="0"/>
                <w:i w:val="0"/>
                <w:color w:val="000000"/>
                <w:sz w:val="21"/>
              </w:rPr>
              <w:t>三切片 YOLO11s</w:t>
            </w:r>
          </w:p>
        </w:tc>
        <w:tc>
          <w:tcPr>
            <w:tcW w:w="2041" w:type="dxa"/>
            <w:vAlign w:val="center"/>
          </w:tcPr>
          <w:p w14:paraId="65AFBD43">
            <w:pPr>
              <w:pStyle w:val="32"/>
              <w:keepNext/>
              <w:keepLines/>
              <w:spacing w:before="0" w:after="0" w:line="276" w:lineRule="auto"/>
              <w:ind w:left="0" w:right="0" w:firstLine="0"/>
              <w:jc w:val="left"/>
            </w:pPr>
            <w:r>
              <w:rPr>
                <w:rFonts w:ascii="Times New Roman" w:hAnsi="Times New Roman" w:eastAsia="宋体"/>
                <w:b w:val="0"/>
                <w:i w:val="0"/>
                <w:color w:val="000000"/>
                <w:sz w:val="21"/>
              </w:rPr>
              <w:t>真实相邻轴向层</w:t>
            </w:r>
          </w:p>
        </w:tc>
        <w:tc>
          <w:tcPr>
            <w:tcW w:w="4706" w:type="dxa"/>
            <w:vAlign w:val="center"/>
          </w:tcPr>
          <w:p w14:paraId="7D156C82">
            <w:pPr>
              <w:pStyle w:val="32"/>
              <w:keepNext/>
              <w:keepLines/>
              <w:spacing w:before="0" w:after="0" w:line="276" w:lineRule="auto"/>
              <w:ind w:left="0" w:right="0" w:firstLine="0"/>
              <w:jc w:val="left"/>
            </w:pPr>
            <w:r>
              <w:rPr>
                <w:rFonts w:ascii="Times New Roman" w:hAnsi="Times New Roman" w:eastAsia="宋体"/>
                <w:b w:val="0"/>
                <w:i w:val="0"/>
                <w:color w:val="000000"/>
                <w:sz w:val="21"/>
              </w:rPr>
              <w:t>主检测模型及完整 CT 验证对象</w:t>
            </w:r>
          </w:p>
        </w:tc>
      </w:tr>
      <w:tr w14:paraId="5C9A0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324" w:type="dxa"/>
            <w:vAlign w:val="center"/>
          </w:tcPr>
          <w:p w14:paraId="7F77BB3E">
            <w:pPr>
              <w:pStyle w:val="32"/>
              <w:keepNext/>
              <w:keepLines/>
              <w:spacing w:before="0" w:after="0" w:line="276" w:lineRule="auto"/>
              <w:ind w:left="0" w:right="0" w:firstLine="0"/>
              <w:jc w:val="left"/>
            </w:pPr>
            <w:r>
              <w:rPr>
                <w:rFonts w:ascii="Times New Roman" w:hAnsi="Times New Roman" w:eastAsia="宋体"/>
                <w:b w:val="0"/>
                <w:i w:val="0"/>
                <w:color w:val="000000"/>
                <w:sz w:val="21"/>
              </w:rPr>
              <w:t>YOLO 加 ResNet18</w:t>
            </w:r>
          </w:p>
        </w:tc>
        <w:tc>
          <w:tcPr>
            <w:tcW w:w="2041" w:type="dxa"/>
            <w:vAlign w:val="center"/>
          </w:tcPr>
          <w:p w14:paraId="57D903F5">
            <w:pPr>
              <w:pStyle w:val="32"/>
              <w:keepNext/>
              <w:keepLines/>
              <w:spacing w:before="0" w:after="0" w:line="276" w:lineRule="auto"/>
              <w:ind w:left="0" w:right="0" w:firstLine="0"/>
              <w:jc w:val="left"/>
            </w:pPr>
            <w:r>
              <w:rPr>
                <w:rFonts w:ascii="Times New Roman" w:hAnsi="Times New Roman" w:eastAsia="宋体"/>
                <w:b w:val="0"/>
                <w:i w:val="0"/>
                <w:color w:val="000000"/>
                <w:sz w:val="21"/>
              </w:rPr>
              <w:t>检测候选局部三切片</w:t>
            </w:r>
          </w:p>
        </w:tc>
        <w:tc>
          <w:tcPr>
            <w:tcW w:w="4706" w:type="dxa"/>
            <w:vAlign w:val="center"/>
          </w:tcPr>
          <w:p w14:paraId="0B7A7B23">
            <w:pPr>
              <w:pStyle w:val="32"/>
              <w:keepNext/>
              <w:keepLines/>
              <w:spacing w:before="0" w:after="0" w:line="276" w:lineRule="auto"/>
              <w:ind w:left="0" w:right="0" w:firstLine="0"/>
              <w:jc w:val="left"/>
            </w:pPr>
            <w:r>
              <w:rPr>
                <w:rFonts w:ascii="Times New Roman" w:hAnsi="Times New Roman" w:eastAsia="宋体"/>
                <w:b w:val="0"/>
                <w:i w:val="0"/>
                <w:color w:val="000000"/>
                <w:sz w:val="21"/>
              </w:rPr>
              <w:t>作为假阳性削减的扩展对照</w:t>
            </w:r>
          </w:p>
        </w:tc>
      </w:tr>
      <w:tr w14:paraId="4571DB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324" w:type="dxa"/>
            <w:vAlign w:val="center"/>
          </w:tcPr>
          <w:p w14:paraId="7318B1F7">
            <w:pPr>
              <w:pStyle w:val="32"/>
              <w:keepNext w:val="0"/>
              <w:keepLines/>
              <w:spacing w:before="0" w:after="0" w:line="276" w:lineRule="auto"/>
              <w:ind w:left="0" w:right="0" w:firstLine="0"/>
              <w:jc w:val="left"/>
            </w:pPr>
            <w:r>
              <w:rPr>
                <w:rFonts w:ascii="Times New Roman" w:hAnsi="Times New Roman" w:eastAsia="宋体"/>
                <w:b w:val="0"/>
                <w:i w:val="0"/>
                <w:color w:val="000000"/>
                <w:sz w:val="21"/>
              </w:rPr>
              <w:t>完整三维网络</w:t>
            </w:r>
          </w:p>
        </w:tc>
        <w:tc>
          <w:tcPr>
            <w:tcW w:w="2041" w:type="dxa"/>
            <w:vAlign w:val="center"/>
          </w:tcPr>
          <w:p w14:paraId="7BACA052">
            <w:pPr>
              <w:pStyle w:val="32"/>
              <w:keepNext w:val="0"/>
              <w:keepLines/>
              <w:spacing w:before="0" w:after="0" w:line="276" w:lineRule="auto"/>
              <w:ind w:left="0" w:right="0" w:firstLine="0"/>
              <w:jc w:val="left"/>
            </w:pPr>
            <w:r>
              <w:rPr>
                <w:rFonts w:ascii="Times New Roman" w:hAnsi="Times New Roman" w:eastAsia="宋体"/>
                <w:b w:val="0"/>
                <w:i w:val="0"/>
                <w:color w:val="000000"/>
                <w:sz w:val="21"/>
              </w:rPr>
              <w:t>三维体积或体块</w:t>
            </w:r>
          </w:p>
        </w:tc>
        <w:tc>
          <w:tcPr>
            <w:tcW w:w="4706" w:type="dxa"/>
            <w:vAlign w:val="center"/>
          </w:tcPr>
          <w:p w14:paraId="07DEAB7D">
            <w:pPr>
              <w:pStyle w:val="32"/>
              <w:keepNext w:val="0"/>
              <w:keepLines/>
              <w:spacing w:before="0" w:after="0" w:line="276" w:lineRule="auto"/>
              <w:ind w:left="0" w:right="0" w:firstLine="0"/>
              <w:jc w:val="left"/>
              <w:rPr>
                <w:rFonts w:hint="default" w:eastAsia="宋体"/>
                <w:lang w:val="en-US" w:eastAsia="zh-CN"/>
              </w:rPr>
            </w:pPr>
            <w:r>
              <w:rPr>
                <w:rFonts w:hint="eastAsia" w:ascii="Times New Roman" w:hAnsi="Times New Roman" w:eastAsia="宋体"/>
                <w:b w:val="0"/>
                <w:i w:val="0"/>
                <w:color w:val="000000"/>
                <w:sz w:val="21"/>
                <w:lang w:val="en-US" w:eastAsia="zh-CN"/>
              </w:rPr>
              <w:t>开销巨大，训练量大，需要团队调参，多显卡分布式训练，舍弃</w:t>
            </w:r>
          </w:p>
        </w:tc>
      </w:tr>
    </w:tbl>
    <w:p w14:paraId="4A2706FA">
      <w:pPr>
        <w:pStyle w:val="32"/>
        <w:jc w:val="both"/>
      </w:pPr>
      <w:r>
        <w:rPr>
          <w:rFonts w:ascii="Times New Roman" w:hAnsi="Times New Roman" w:eastAsia="宋体"/>
          <w:b w:val="0"/>
          <w:i w:val="0"/>
          <w:color w:val="000000"/>
          <w:sz w:val="24"/>
        </w:rPr>
        <w:t>本设计特色：三切片输入逻辑获取上下文变化信息。经过网络查询发现，Alzahrani 和 Solaiman 采用 Faster R-CNN 与 ResNet 构成候选检测和判别流程也使用了这一想法[1]；Hendrix 等的系统采用五切片候选检测与多视图 ResNet50[2]。本设计的输入层数、分类器和数据条件均与这些研究不同，实现三切片数据构建、可靠空间坐标、模型训练及完整扫描评价。</w:t>
      </w:r>
    </w:p>
    <w:p w14:paraId="30DB7074">
      <w:pPr>
        <w:pStyle w:val="3"/>
        <w:ind w:left="0" w:firstLine="0"/>
        <w:jc w:val="left"/>
      </w:pPr>
      <w:r>
        <w:rPr>
          <w:rFonts w:ascii="Times New Roman" w:hAnsi="Times New Roman" w:eastAsia="黑体"/>
          <w:b/>
          <w:i w:val="0"/>
          <w:color w:val="000000"/>
          <w:sz w:val="28"/>
        </w:rPr>
        <w:t>1.3 总体流程</w:t>
      </w:r>
    </w:p>
    <w:p w14:paraId="77385C63">
      <w:pPr>
        <w:pStyle w:val="32"/>
        <w:jc w:val="both"/>
      </w:pPr>
      <w:r>
        <w:rPr>
          <w:rFonts w:ascii="Times New Roman" w:hAnsi="Times New Roman" w:eastAsia="宋体"/>
          <w:b w:val="0"/>
          <w:i w:val="0"/>
          <w:color w:val="000000"/>
          <w:sz w:val="24"/>
        </w:rPr>
        <w:t>本设计采用三切片 2.5D 输入和候选检测方案。YOLO11s 在完整切片图像中生成疑似肺结节的位置与评分；ResNet18 对候选中心附近的局部区域进行结节与非结节二分类，承担假阳性削减任务。两者分别解决全图定位和局部判别问题，组成可比较的主检测路径与二阶段扩展路径。</w:t>
      </w:r>
    </w:p>
    <w:p w14:paraId="44AB4744">
      <w:pPr>
        <w:pStyle w:val="32"/>
        <w:keepNext/>
        <w:keepLines/>
        <w:spacing w:before="100" w:after="0" w:line="240" w:lineRule="auto"/>
        <w:ind w:firstLine="0"/>
        <w:jc w:val="center"/>
      </w:pPr>
      <w:r>
        <w:drawing>
          <wp:inline distT="0" distB="0" distL="0" distR="0">
            <wp:extent cx="5399405" cy="3296285"/>
            <wp:effectExtent l="0" t="0" r="3175" b="7620"/>
            <wp:docPr id="28" name="Figure 2" descr="预测中心定位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2" descr="预测中心定位示例"/>
                    <pic:cNvPicPr>
                      <a:picLocks noChangeAspect="1"/>
                    </pic:cNvPicPr>
                  </pic:nvPicPr>
                  <pic:blipFill>
                    <a:blip r:embed="rId6"/>
                    <a:stretch>
                      <a:fillRect/>
                    </a:stretch>
                  </pic:blipFill>
                  <pic:spPr>
                    <a:xfrm>
                      <a:off x="0" y="0"/>
                      <a:ext cx="5400000" cy="3296813"/>
                    </a:xfrm>
                    <a:prstGeom prst="rect">
                      <a:avLst/>
                    </a:prstGeom>
                    <a:noFill/>
                    <a:ln>
                      <a:noFill/>
                    </a:ln>
                  </pic:spPr>
                </pic:pic>
              </a:graphicData>
            </a:graphic>
          </wp:inline>
        </w:drawing>
      </w:r>
    </w:p>
    <w:p w14:paraId="20B83F06">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2</w:t>
      </w:r>
      <w:r>
        <w:fldChar w:fldCharType="end"/>
      </w:r>
      <w:r>
        <w:rPr>
          <w:rFonts w:ascii="Times New Roman" w:hAnsi="Times New Roman" w:eastAsia="宋体"/>
          <w:b w:val="0"/>
          <w:i w:val="0"/>
          <w:color w:val="000000"/>
          <w:sz w:val="22"/>
        </w:rPr>
        <w:t xml:space="preserve">  预测中心定位示例</w:t>
      </w:r>
    </w:p>
    <w:p w14:paraId="11F39C44">
      <w:pPr>
        <w:pStyle w:val="32"/>
        <w:keepNext/>
        <w:keepLines/>
        <w:spacing w:before="100" w:after="0" w:line="240" w:lineRule="auto"/>
        <w:ind w:firstLine="0"/>
        <w:jc w:val="center"/>
      </w:pPr>
      <w:r>
        <w:drawing>
          <wp:inline distT="0" distB="0" distL="0" distR="0">
            <wp:extent cx="5399405" cy="3350895"/>
            <wp:effectExtent l="0" t="0" r="9525" b="9525"/>
            <wp:docPr id="29" name="Figure 3" descr="预测与同步观察区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e 3" descr="预测与同步观察区域示例"/>
                    <pic:cNvPicPr>
                      <a:picLocks noChangeAspect="1"/>
                    </pic:cNvPicPr>
                  </pic:nvPicPr>
                  <pic:blipFill>
                    <a:blip r:embed="rId7"/>
                    <a:stretch>
                      <a:fillRect/>
                    </a:stretch>
                  </pic:blipFill>
                  <pic:spPr>
                    <a:xfrm>
                      <a:off x="0" y="0"/>
                      <a:ext cx="5400000" cy="3351085"/>
                    </a:xfrm>
                    <a:prstGeom prst="rect">
                      <a:avLst/>
                    </a:prstGeom>
                    <a:noFill/>
                    <a:ln>
                      <a:noFill/>
                    </a:ln>
                  </pic:spPr>
                </pic:pic>
              </a:graphicData>
            </a:graphic>
          </wp:inline>
        </w:drawing>
      </w:r>
    </w:p>
    <w:p w14:paraId="63CC0AFD">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3</w:t>
      </w:r>
      <w:r>
        <w:fldChar w:fldCharType="end"/>
      </w:r>
      <w:r>
        <w:rPr>
          <w:rFonts w:ascii="Times New Roman" w:hAnsi="Times New Roman" w:eastAsia="宋体"/>
          <w:b w:val="0"/>
          <w:i w:val="0"/>
          <w:color w:val="000000"/>
          <w:sz w:val="22"/>
        </w:rPr>
        <w:t xml:space="preserve">  预测与同步观察区域示例</w:t>
      </w:r>
    </w:p>
    <w:p w14:paraId="2B8FEB13">
      <w:pPr>
        <w:pStyle w:val="32"/>
        <w:keepNext/>
        <w:keepLines/>
        <w:spacing w:before="100" w:after="0" w:line="240" w:lineRule="auto"/>
        <w:ind w:firstLine="0"/>
        <w:jc w:val="center"/>
      </w:pPr>
      <w:r>
        <w:drawing>
          <wp:inline distT="0" distB="0" distL="0" distR="0">
            <wp:extent cx="5039995" cy="4254500"/>
            <wp:effectExtent l="0" t="0" r="4445" b="6985"/>
            <wp:docPr id="2" name="Figure 4" descr="系统总体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4" descr="系统总体技术路线"/>
                    <pic:cNvPicPr>
                      <a:picLocks noChangeAspect="1"/>
                    </pic:cNvPicPr>
                  </pic:nvPicPr>
                  <pic:blipFill>
                    <a:blip r:embed="rId8"/>
                    <a:stretch>
                      <a:fillRect/>
                    </a:stretch>
                  </pic:blipFill>
                  <pic:spPr>
                    <a:xfrm>
                      <a:off x="0" y="0"/>
                      <a:ext cx="5040000" cy="4255127"/>
                    </a:xfrm>
                    <a:prstGeom prst="rect">
                      <a:avLst/>
                    </a:prstGeom>
                    <a:noFill/>
                    <a:ln w="9525">
                      <a:noFill/>
                    </a:ln>
                  </pic:spPr>
                </pic:pic>
              </a:graphicData>
            </a:graphic>
          </wp:inline>
        </w:drawing>
      </w:r>
    </w:p>
    <w:p w14:paraId="3FAE802E">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4</w:t>
      </w:r>
      <w:r>
        <w:fldChar w:fldCharType="end"/>
      </w:r>
      <w:r>
        <w:rPr>
          <w:rFonts w:ascii="Times New Roman" w:hAnsi="Times New Roman" w:eastAsia="宋体"/>
          <w:b w:val="0"/>
          <w:i w:val="0"/>
          <w:color w:val="000000"/>
          <w:sz w:val="22"/>
        </w:rPr>
        <w:t xml:space="preserve">  系统总体技术路线</w:t>
      </w:r>
    </w:p>
    <w:p w14:paraId="403D5486">
      <w:pPr>
        <w:pStyle w:val="32"/>
        <w:jc w:val="both"/>
      </w:pPr>
      <w:r>
        <w:rPr>
          <w:rFonts w:ascii="Times New Roman" w:hAnsi="Times New Roman" w:eastAsia="宋体"/>
          <w:b w:val="0"/>
          <w:i w:val="0"/>
          <w:color w:val="000000"/>
          <w:sz w:val="24"/>
        </w:rPr>
        <w:t>训练阶段由标注构建监督信号，通过损失函数、反向传播和优化器更新参数。应用阶段加载已保存权重，只执行前向传播及后处理。</w:t>
      </w:r>
    </w:p>
    <w:p w14:paraId="6564A685">
      <w:pPr>
        <w:pStyle w:val="2"/>
        <w:pageBreakBefore/>
        <w:ind w:left="0" w:firstLine="0"/>
        <w:jc w:val="left"/>
      </w:pPr>
      <w:r>
        <w:rPr>
          <w:rFonts w:ascii="Times New Roman" w:hAnsi="Times New Roman" w:eastAsia="黑体"/>
          <w:b/>
          <w:i w:val="0"/>
          <w:color w:val="000000"/>
          <w:sz w:val="32"/>
        </w:rPr>
        <w:t>二、设计过程描述</w:t>
      </w:r>
    </w:p>
    <w:p w14:paraId="39FF2C01">
      <w:pPr>
        <w:pStyle w:val="3"/>
        <w:ind w:left="0" w:firstLine="0"/>
        <w:jc w:val="left"/>
      </w:pPr>
      <w:r>
        <w:rPr>
          <w:rFonts w:ascii="Times New Roman" w:hAnsi="Times New Roman" w:eastAsia="黑体"/>
          <w:b/>
          <w:i w:val="0"/>
          <w:color w:val="000000"/>
          <w:sz w:val="28"/>
        </w:rPr>
        <w:t>2.1 数据来源</w:t>
      </w:r>
    </w:p>
    <w:p w14:paraId="2624D67F">
      <w:pPr>
        <w:pStyle w:val="32"/>
        <w:jc w:val="both"/>
      </w:pPr>
      <w:r>
        <w:rPr>
          <w:rFonts w:ascii="Times New Roman" w:hAnsi="Times New Roman" w:eastAsia="宋体"/>
          <w:b w:val="0"/>
          <w:i w:val="0"/>
          <w:color w:val="000000"/>
          <w:sz w:val="24"/>
        </w:rPr>
        <w:t>LUNA16 来自公开的 LIDC-IDRI 胸部 CT 数据，提供结节中心坐标、直径及评价材料[3]。本地下载补齐后共有 888 个 CT 体积。数据划分采用完整 seriesuid，以 CT 体积为单位固定清单，同一体积的全部切片归入同一集合。历史训练体积保持在训练集中，不把已用于训练的扫描重新放入验证或测试集合。</w:t>
      </w:r>
    </w:p>
    <w:p w14:paraId="16A31EEC">
      <w:pPr>
        <w:pStyle w:val="32"/>
        <w:jc w:val="both"/>
      </w:pPr>
      <w:r>
        <w:rPr>
          <w:rFonts w:ascii="Times New Roman" w:hAnsi="Times New Roman" w:eastAsia="宋体"/>
          <w:b w:val="0"/>
          <w:i w:val="0"/>
          <w:color w:val="000000"/>
          <w:sz w:val="24"/>
        </w:rPr>
        <w:t>原先整理后的训练集包含 498 个体积；在后续实验时，需要更多训练数据，故而新增 subset7 和 subset8 共 177 个体积加入训练后，训练集扩充为 675 个体积。验证集仍为 125 个体积。subset9 中 1 个已用于观察和演示的病例单独列入演示集合，其他 87 个体积预留为独立测试。</w:t>
      </w:r>
    </w:p>
    <w:p w14:paraId="51420073">
      <w:pPr>
        <w:pStyle w:val="34"/>
        <w:keepNext/>
        <w:spacing w:before="120" w:after="100"/>
        <w:jc w:val="center"/>
      </w:pPr>
      <w:r>
        <w:rPr>
          <w:rFonts w:ascii="Times New Roman" w:hAnsi="Times New Roman" w:eastAsia="宋体"/>
          <w:b w:val="0"/>
          <w:i w:val="0"/>
          <w:color w:val="000000"/>
          <w:sz w:val="22"/>
        </w:rPr>
        <w:t xml:space="preserve">表 </w:t>
      </w:r>
      <w:r>
        <w:fldChar w:fldCharType="begin"/>
      </w:r>
      <w:r>
        <w:instrText xml:space="preserve"> SEQ Table \* ARABIC </w:instrText>
      </w:r>
      <w:r>
        <w:fldChar w:fldCharType="separate"/>
      </w:r>
      <w:r>
        <w:t>2</w:t>
      </w:r>
      <w:r>
        <w:fldChar w:fldCharType="end"/>
      </w:r>
      <w:r>
        <w:rPr>
          <w:rFonts w:ascii="Times New Roman" w:hAnsi="Times New Roman" w:eastAsia="宋体"/>
          <w:b w:val="0"/>
          <w:i w:val="0"/>
          <w:color w:val="000000"/>
          <w:sz w:val="22"/>
        </w:rPr>
        <w:t xml:space="preserve">  数据划分与样本单位</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85" w:type="dxa"/>
          <w:bottom w:w="65" w:type="dxa"/>
          <w:right w:w="85" w:type="dxa"/>
        </w:tblCellMar>
      </w:tblPr>
      <w:tblGrid>
        <w:gridCol w:w="1191"/>
        <w:gridCol w:w="1134"/>
        <w:gridCol w:w="1134"/>
        <w:gridCol w:w="5613"/>
      </w:tblGrid>
      <w:tr w14:paraId="7A3FD9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tblHeader/>
          <w:jc w:val="center"/>
        </w:trPr>
        <w:tc>
          <w:tcPr>
            <w:tcW w:w="1191" w:type="dxa"/>
            <w:shd w:val="clear" w:color="auto" w:fill="EEEEEE"/>
            <w:vAlign w:val="center"/>
          </w:tcPr>
          <w:p w14:paraId="749A95BA">
            <w:pPr>
              <w:pStyle w:val="32"/>
              <w:keepNext/>
              <w:keepLines/>
              <w:spacing w:before="0" w:after="0" w:line="276" w:lineRule="auto"/>
              <w:ind w:left="0" w:right="0" w:firstLine="0"/>
              <w:jc w:val="left"/>
            </w:pPr>
            <w:r>
              <w:rPr>
                <w:rFonts w:ascii="Times New Roman" w:hAnsi="Times New Roman" w:eastAsia="宋体"/>
                <w:b/>
                <w:i w:val="0"/>
                <w:color w:val="000000"/>
                <w:sz w:val="21"/>
              </w:rPr>
              <w:t>集合</w:t>
            </w:r>
          </w:p>
        </w:tc>
        <w:tc>
          <w:tcPr>
            <w:tcW w:w="1134" w:type="dxa"/>
            <w:shd w:val="clear" w:color="auto" w:fill="EEEEEE"/>
            <w:vAlign w:val="center"/>
          </w:tcPr>
          <w:p w14:paraId="2B27045E">
            <w:pPr>
              <w:pStyle w:val="32"/>
              <w:keepNext/>
              <w:keepLines/>
              <w:spacing w:before="0" w:after="0" w:line="276" w:lineRule="auto"/>
              <w:ind w:left="0" w:right="0" w:firstLine="0"/>
              <w:jc w:val="center"/>
            </w:pPr>
            <w:r>
              <w:rPr>
                <w:rFonts w:ascii="Times New Roman" w:hAnsi="Times New Roman" w:eastAsia="宋体"/>
                <w:b/>
                <w:i w:val="0"/>
                <w:color w:val="000000"/>
                <w:sz w:val="21"/>
              </w:rPr>
              <w:t>CT 体积</w:t>
            </w:r>
          </w:p>
        </w:tc>
        <w:tc>
          <w:tcPr>
            <w:tcW w:w="1134" w:type="dxa"/>
            <w:shd w:val="clear" w:color="auto" w:fill="EEEEEE"/>
            <w:vAlign w:val="center"/>
          </w:tcPr>
          <w:p w14:paraId="73D71B34">
            <w:pPr>
              <w:pStyle w:val="32"/>
              <w:keepNext/>
              <w:keepLines/>
              <w:spacing w:before="0" w:after="0" w:line="276" w:lineRule="auto"/>
              <w:ind w:left="0" w:right="0" w:firstLine="0"/>
              <w:jc w:val="center"/>
            </w:pPr>
            <w:r>
              <w:rPr>
                <w:rFonts w:ascii="Times New Roman" w:hAnsi="Times New Roman" w:eastAsia="宋体"/>
                <w:b/>
                <w:i w:val="0"/>
                <w:color w:val="000000"/>
                <w:sz w:val="21"/>
              </w:rPr>
              <w:t>纳入结节</w:t>
            </w:r>
          </w:p>
        </w:tc>
        <w:tc>
          <w:tcPr>
            <w:tcW w:w="5613" w:type="dxa"/>
            <w:shd w:val="clear" w:color="auto" w:fill="EEEEEE"/>
            <w:vAlign w:val="center"/>
          </w:tcPr>
          <w:p w14:paraId="5B22F5A7">
            <w:pPr>
              <w:pStyle w:val="32"/>
              <w:keepNext/>
              <w:keepLines/>
              <w:spacing w:before="0" w:after="0" w:line="276" w:lineRule="auto"/>
              <w:ind w:left="0" w:right="0" w:firstLine="0"/>
              <w:jc w:val="center"/>
            </w:pPr>
            <w:r>
              <w:rPr>
                <w:rFonts w:ascii="Times New Roman" w:hAnsi="Times New Roman" w:eastAsia="宋体"/>
                <w:b/>
                <w:i w:val="0"/>
                <w:color w:val="000000"/>
                <w:sz w:val="21"/>
              </w:rPr>
              <w:t>检测样本或评价规模</w:t>
            </w:r>
          </w:p>
        </w:tc>
      </w:tr>
      <w:tr w14:paraId="7BDD9B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1191" w:type="dxa"/>
            <w:vAlign w:val="center"/>
          </w:tcPr>
          <w:p w14:paraId="7E6601A0">
            <w:pPr>
              <w:pStyle w:val="32"/>
              <w:keepNext/>
              <w:keepLines/>
              <w:spacing w:before="0" w:after="0" w:line="276" w:lineRule="auto"/>
              <w:ind w:left="0" w:right="0" w:firstLine="0"/>
              <w:jc w:val="left"/>
            </w:pPr>
            <w:r>
              <w:rPr>
                <w:rFonts w:ascii="Times New Roman" w:hAnsi="Times New Roman" w:eastAsia="宋体"/>
                <w:b w:val="0"/>
                <w:i w:val="0"/>
                <w:color w:val="000000"/>
                <w:sz w:val="21"/>
              </w:rPr>
              <w:t>训练</w:t>
            </w:r>
          </w:p>
        </w:tc>
        <w:tc>
          <w:tcPr>
            <w:tcW w:w="1134" w:type="dxa"/>
            <w:vAlign w:val="center"/>
          </w:tcPr>
          <w:p w14:paraId="73725A7C">
            <w:pPr>
              <w:pStyle w:val="32"/>
              <w:keepNext/>
              <w:keepLines/>
              <w:spacing w:before="0" w:after="0" w:line="276" w:lineRule="auto"/>
              <w:ind w:left="0" w:right="0" w:firstLine="0"/>
              <w:jc w:val="center"/>
            </w:pPr>
            <w:r>
              <w:rPr>
                <w:rFonts w:ascii="Times New Roman" w:hAnsi="Times New Roman" w:eastAsia="宋体"/>
                <w:b w:val="0"/>
                <w:i w:val="0"/>
                <w:color w:val="000000"/>
                <w:sz w:val="21"/>
              </w:rPr>
              <w:t>675</w:t>
            </w:r>
          </w:p>
        </w:tc>
        <w:tc>
          <w:tcPr>
            <w:tcW w:w="1134" w:type="dxa"/>
            <w:vAlign w:val="center"/>
          </w:tcPr>
          <w:p w14:paraId="410022FA">
            <w:pPr>
              <w:pStyle w:val="32"/>
              <w:keepNext/>
              <w:keepLines/>
              <w:spacing w:before="0" w:after="0" w:line="276" w:lineRule="auto"/>
              <w:ind w:left="0" w:right="0" w:firstLine="0"/>
              <w:jc w:val="center"/>
            </w:pPr>
            <w:r>
              <w:rPr>
                <w:rFonts w:ascii="Times New Roman" w:hAnsi="Times New Roman" w:eastAsia="宋体"/>
                <w:b w:val="0"/>
                <w:i w:val="0"/>
                <w:color w:val="000000"/>
                <w:sz w:val="21"/>
              </w:rPr>
              <w:t>902</w:t>
            </w:r>
          </w:p>
        </w:tc>
        <w:tc>
          <w:tcPr>
            <w:tcW w:w="5613" w:type="dxa"/>
            <w:vAlign w:val="center"/>
          </w:tcPr>
          <w:p w14:paraId="3C468DE5">
            <w:pPr>
              <w:pStyle w:val="32"/>
              <w:keepNext/>
              <w:keepLines/>
              <w:spacing w:before="0" w:after="0" w:line="276" w:lineRule="auto"/>
              <w:ind w:left="0" w:right="0" w:firstLine="0"/>
              <w:jc w:val="center"/>
            </w:pPr>
            <w:r>
              <w:rPr>
                <w:rFonts w:ascii="Times New Roman" w:hAnsi="Times New Roman" w:eastAsia="宋体"/>
                <w:b w:val="0"/>
                <w:i w:val="0"/>
                <w:color w:val="000000"/>
                <w:sz w:val="21"/>
              </w:rPr>
              <w:t>12,048 个三通道中心层样本</w:t>
            </w:r>
          </w:p>
        </w:tc>
      </w:tr>
      <w:tr w14:paraId="096845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1191" w:type="dxa"/>
            <w:vAlign w:val="center"/>
          </w:tcPr>
          <w:p w14:paraId="51FEFFD9">
            <w:pPr>
              <w:pStyle w:val="32"/>
              <w:keepNext/>
              <w:keepLines/>
              <w:spacing w:before="0" w:after="0" w:line="276" w:lineRule="auto"/>
              <w:ind w:left="0" w:right="0" w:firstLine="0"/>
              <w:jc w:val="left"/>
            </w:pPr>
            <w:r>
              <w:rPr>
                <w:rFonts w:ascii="Times New Roman" w:hAnsi="Times New Roman" w:eastAsia="宋体"/>
                <w:b w:val="0"/>
                <w:i w:val="0"/>
                <w:color w:val="000000"/>
                <w:sz w:val="21"/>
              </w:rPr>
              <w:t>验证</w:t>
            </w:r>
          </w:p>
        </w:tc>
        <w:tc>
          <w:tcPr>
            <w:tcW w:w="1134" w:type="dxa"/>
            <w:vAlign w:val="center"/>
          </w:tcPr>
          <w:p w14:paraId="05587A3D">
            <w:pPr>
              <w:pStyle w:val="32"/>
              <w:keepNext/>
              <w:keepLines/>
              <w:spacing w:before="0" w:after="0" w:line="276" w:lineRule="auto"/>
              <w:ind w:left="0" w:right="0" w:firstLine="0"/>
              <w:jc w:val="center"/>
            </w:pPr>
            <w:r>
              <w:rPr>
                <w:rFonts w:ascii="Times New Roman" w:hAnsi="Times New Roman" w:eastAsia="宋体"/>
                <w:b w:val="0"/>
                <w:i w:val="0"/>
                <w:color w:val="000000"/>
                <w:sz w:val="21"/>
              </w:rPr>
              <w:t>125</w:t>
            </w:r>
          </w:p>
        </w:tc>
        <w:tc>
          <w:tcPr>
            <w:tcW w:w="1134" w:type="dxa"/>
            <w:vAlign w:val="center"/>
          </w:tcPr>
          <w:p w14:paraId="0F2F4967">
            <w:pPr>
              <w:pStyle w:val="32"/>
              <w:keepNext/>
              <w:keepLines/>
              <w:spacing w:before="0" w:after="0" w:line="276" w:lineRule="auto"/>
              <w:ind w:left="0" w:right="0" w:firstLine="0"/>
              <w:jc w:val="center"/>
            </w:pPr>
            <w:r>
              <w:rPr>
                <w:rFonts w:ascii="Times New Roman" w:hAnsi="Times New Roman" w:eastAsia="宋体"/>
                <w:b w:val="0"/>
                <w:i w:val="0"/>
                <w:color w:val="000000"/>
                <w:sz w:val="21"/>
              </w:rPr>
              <w:t>179</w:t>
            </w:r>
          </w:p>
        </w:tc>
        <w:tc>
          <w:tcPr>
            <w:tcW w:w="5613" w:type="dxa"/>
            <w:vAlign w:val="center"/>
          </w:tcPr>
          <w:p w14:paraId="440AD301">
            <w:pPr>
              <w:pStyle w:val="32"/>
              <w:keepNext/>
              <w:keepLines/>
              <w:spacing w:before="0" w:after="0" w:line="276" w:lineRule="auto"/>
              <w:ind w:left="0" w:right="0" w:firstLine="0"/>
              <w:jc w:val="center"/>
            </w:pPr>
            <w:r>
              <w:rPr>
                <w:rFonts w:ascii="Times New Roman" w:hAnsi="Times New Roman" w:eastAsia="宋体"/>
                <w:b w:val="0"/>
                <w:i w:val="0"/>
                <w:color w:val="000000"/>
                <w:sz w:val="21"/>
              </w:rPr>
              <w:t>训练切片验证 2,375 张；完整推理 33,398 层</w:t>
            </w:r>
          </w:p>
        </w:tc>
      </w:tr>
      <w:tr w14:paraId="0A46EF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1191" w:type="dxa"/>
            <w:vAlign w:val="center"/>
          </w:tcPr>
          <w:p w14:paraId="1CD5CD59">
            <w:pPr>
              <w:pStyle w:val="32"/>
              <w:keepNext/>
              <w:keepLines/>
              <w:spacing w:before="0" w:after="0" w:line="276" w:lineRule="auto"/>
              <w:ind w:left="0" w:right="0" w:firstLine="0"/>
              <w:jc w:val="left"/>
            </w:pPr>
            <w:r>
              <w:rPr>
                <w:rFonts w:ascii="Times New Roman" w:hAnsi="Times New Roman" w:eastAsia="宋体"/>
                <w:b w:val="0"/>
                <w:i w:val="0"/>
                <w:color w:val="000000"/>
                <w:sz w:val="21"/>
              </w:rPr>
              <w:t>预留测试</w:t>
            </w:r>
          </w:p>
        </w:tc>
        <w:tc>
          <w:tcPr>
            <w:tcW w:w="1134" w:type="dxa"/>
            <w:vAlign w:val="center"/>
          </w:tcPr>
          <w:p w14:paraId="10215BF3">
            <w:pPr>
              <w:pStyle w:val="32"/>
              <w:keepNext/>
              <w:keepLines/>
              <w:spacing w:before="0" w:after="0" w:line="276" w:lineRule="auto"/>
              <w:ind w:left="0" w:right="0" w:firstLine="0"/>
              <w:jc w:val="center"/>
            </w:pPr>
            <w:r>
              <w:rPr>
                <w:rFonts w:ascii="Times New Roman" w:hAnsi="Times New Roman" w:eastAsia="宋体"/>
                <w:b w:val="0"/>
                <w:i w:val="0"/>
                <w:color w:val="000000"/>
                <w:sz w:val="21"/>
              </w:rPr>
              <w:t>87</w:t>
            </w:r>
          </w:p>
        </w:tc>
        <w:tc>
          <w:tcPr>
            <w:tcW w:w="1134" w:type="dxa"/>
            <w:vAlign w:val="center"/>
          </w:tcPr>
          <w:p w14:paraId="71239128">
            <w:pPr>
              <w:pStyle w:val="32"/>
              <w:keepNext/>
              <w:keepLines/>
              <w:spacing w:before="0" w:after="0" w:line="276" w:lineRule="auto"/>
              <w:ind w:left="0" w:right="0" w:firstLine="0"/>
              <w:jc w:val="center"/>
            </w:pPr>
            <w:r>
              <w:rPr>
                <w:rFonts w:ascii="Times New Roman" w:hAnsi="Times New Roman" w:eastAsia="宋体"/>
                <w:b w:val="0"/>
                <w:i w:val="0"/>
                <w:color w:val="000000"/>
                <w:sz w:val="21"/>
              </w:rPr>
              <w:t>104</w:t>
            </w:r>
          </w:p>
        </w:tc>
        <w:tc>
          <w:tcPr>
            <w:tcW w:w="5613" w:type="dxa"/>
            <w:vAlign w:val="center"/>
          </w:tcPr>
          <w:p w14:paraId="11AB6F9A">
            <w:pPr>
              <w:pStyle w:val="32"/>
              <w:keepNext/>
              <w:keepLines/>
              <w:spacing w:before="0" w:after="0" w:line="276" w:lineRule="auto"/>
              <w:ind w:left="0" w:right="0" w:firstLine="0"/>
              <w:jc w:val="center"/>
            </w:pPr>
            <w:r>
              <w:rPr>
                <w:rFonts w:ascii="Times New Roman" w:hAnsi="Times New Roman" w:eastAsia="宋体"/>
                <w:b w:val="0"/>
                <w:i w:val="0"/>
                <w:color w:val="000000"/>
                <w:sz w:val="21"/>
              </w:rPr>
              <w:t>subset9</w:t>
            </w:r>
          </w:p>
        </w:tc>
      </w:tr>
      <w:tr w14:paraId="25B215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1191" w:type="dxa"/>
            <w:vAlign w:val="center"/>
          </w:tcPr>
          <w:p w14:paraId="50E1EDBA">
            <w:pPr>
              <w:pStyle w:val="32"/>
              <w:keepNext w:val="0"/>
              <w:keepLines/>
              <w:spacing w:before="0" w:after="0" w:line="276" w:lineRule="auto"/>
              <w:ind w:left="0" w:right="0" w:firstLine="0"/>
              <w:jc w:val="left"/>
            </w:pPr>
            <w:r>
              <w:rPr>
                <w:rFonts w:ascii="Times New Roman" w:hAnsi="Times New Roman" w:eastAsia="宋体"/>
                <w:b w:val="0"/>
                <w:i w:val="0"/>
                <w:color w:val="000000"/>
                <w:sz w:val="21"/>
              </w:rPr>
              <w:t>演示</w:t>
            </w:r>
          </w:p>
        </w:tc>
        <w:tc>
          <w:tcPr>
            <w:tcW w:w="1134" w:type="dxa"/>
            <w:vAlign w:val="center"/>
          </w:tcPr>
          <w:p w14:paraId="4E23F129">
            <w:pPr>
              <w:pStyle w:val="32"/>
              <w:keepNext w:val="0"/>
              <w:keepLines/>
              <w:spacing w:before="0" w:after="0" w:line="276" w:lineRule="auto"/>
              <w:ind w:left="0" w:right="0" w:firstLine="0"/>
              <w:jc w:val="center"/>
            </w:pPr>
            <w:r>
              <w:rPr>
                <w:rFonts w:ascii="Times New Roman" w:hAnsi="Times New Roman" w:eastAsia="宋体"/>
                <w:b w:val="0"/>
                <w:i w:val="0"/>
                <w:color w:val="000000"/>
                <w:sz w:val="21"/>
              </w:rPr>
              <w:t>1</w:t>
            </w:r>
          </w:p>
        </w:tc>
        <w:tc>
          <w:tcPr>
            <w:tcW w:w="1134" w:type="dxa"/>
            <w:vAlign w:val="center"/>
          </w:tcPr>
          <w:p w14:paraId="6C7FCAF5">
            <w:pPr>
              <w:pStyle w:val="32"/>
              <w:keepNext w:val="0"/>
              <w:keepLines/>
              <w:spacing w:before="0" w:after="0" w:line="276" w:lineRule="auto"/>
              <w:ind w:left="0" w:right="0" w:firstLine="0"/>
              <w:jc w:val="center"/>
            </w:pPr>
            <w:r>
              <w:rPr>
                <w:rFonts w:ascii="Times New Roman" w:hAnsi="Times New Roman" w:eastAsia="宋体"/>
                <w:b w:val="0"/>
                <w:i w:val="0"/>
                <w:color w:val="000000"/>
                <w:sz w:val="21"/>
              </w:rPr>
              <w:t>1</w:t>
            </w:r>
          </w:p>
        </w:tc>
        <w:tc>
          <w:tcPr>
            <w:tcW w:w="5613" w:type="dxa"/>
            <w:vAlign w:val="center"/>
          </w:tcPr>
          <w:p w14:paraId="7DC1B8FB">
            <w:pPr>
              <w:pStyle w:val="32"/>
              <w:keepNext w:val="0"/>
              <w:keepLines/>
              <w:spacing w:before="0" w:after="0" w:line="276" w:lineRule="auto"/>
              <w:ind w:left="0" w:right="0" w:firstLine="0"/>
              <w:jc w:val="center"/>
            </w:pPr>
            <w:r>
              <w:rPr>
                <w:rFonts w:ascii="Times New Roman" w:hAnsi="Times New Roman" w:eastAsia="宋体"/>
                <w:b w:val="0"/>
                <w:i w:val="0"/>
                <w:color w:val="000000"/>
                <w:sz w:val="21"/>
              </w:rPr>
              <w:t>已查看病例，不计入独立测试</w:t>
            </w:r>
          </w:p>
        </w:tc>
      </w:tr>
    </w:tbl>
    <w:p w14:paraId="6151FF8D">
      <w:pPr>
        <w:pStyle w:val="32"/>
        <w:jc w:val="both"/>
      </w:pPr>
      <w:r>
        <w:rPr>
          <w:rFonts w:ascii="Times New Roman" w:hAnsi="Times New Roman" w:eastAsia="宋体"/>
          <w:b w:val="0"/>
          <w:i w:val="0"/>
          <w:color w:val="000000"/>
          <w:sz w:val="24"/>
        </w:rPr>
        <w:t>训练样本中，6,456 张中心层图像含目标参考框，5,592 张为背景样本。背景来自训练体积内按规则抽取的层面，并覆盖没有纳入目标标注的扫描。12,048 是抽样后的检测图像数，不是全部训练 CT 的所有原始切片数；完整验证则逐层处理所有 33,398 个中心层。验证集包含 39 例没有纳入目标结节的 CT，这些扫描仍进入误报分母。</w:t>
      </w:r>
    </w:p>
    <w:p w14:paraId="60160ACC">
      <w:pPr>
        <w:pStyle w:val="32"/>
        <w:jc w:val="both"/>
      </w:pPr>
      <w:r>
        <w:rPr>
          <w:rFonts w:ascii="Times New Roman" w:hAnsi="Times New Roman" w:eastAsia="宋体"/>
          <w:b w:val="0"/>
          <w:i w:val="0"/>
          <w:color w:val="000000"/>
          <w:sz w:val="24"/>
        </w:rPr>
        <w:t>数据清单记录完整 UID、文件来源与校验值。原始体积、训练清单、验证清单和演示清单分开保存，补充 subset7、subset8 后没有改变已有验证和测试清单。划分保证同一 CT 体积不跨集合</w:t>
      </w:r>
    </w:p>
    <w:p w14:paraId="7F4A9F1B">
      <w:pPr>
        <w:pStyle w:val="3"/>
        <w:ind w:left="0" w:firstLine="0"/>
        <w:jc w:val="left"/>
      </w:pPr>
      <w:r>
        <w:rPr>
          <w:rFonts w:ascii="Times New Roman" w:hAnsi="Times New Roman" w:eastAsia="黑体"/>
          <w:b/>
          <w:i w:val="0"/>
          <w:color w:val="000000"/>
          <w:sz w:val="28"/>
        </w:rPr>
        <w:t>2.2 三切片样本构建</w:t>
      </w:r>
    </w:p>
    <w:p w14:paraId="687BEAE2">
      <w:pPr>
        <w:pStyle w:val="32"/>
        <w:keepNext/>
        <w:jc w:val="both"/>
      </w:pPr>
      <w:r>
        <w:rPr>
          <w:rFonts w:ascii="Times New Roman" w:hAnsi="Times New Roman" w:eastAsia="宋体"/>
          <w:b w:val="0"/>
          <w:i w:val="0"/>
          <w:color w:val="000000"/>
          <w:sz w:val="24"/>
        </w:rPr>
        <w:t>肺结节在相邻 CT 层面上通常具有形态连续性，而单张切片中的血管横断面也可能呈现近似圆形。本设计将中心层及其前后相邻层组成三通道输入，使二维网络能够同时观察局部层间变化。设第 z 层灰度图像为 Gz，输入为：</w:t>
      </w:r>
    </w:p>
    <w:p w14:paraId="1E2BC84C">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eastAsia="宋体"/>
                <w:b w:val="0"/>
                <w:color w:val="000000"/>
                <w:sz w:val="24"/>
              </w:rPr>
            </m:ctrlPr>
          </m:sSubPr>
          <m:e>
            <m:r>
              <m:rPr>
                <m:sty m:val="p"/>
              </m:rPr>
              <w:rPr>
                <w:rFonts w:ascii="Times New Roman" w:hAnsi="Times New Roman" w:eastAsia="宋体"/>
                <w:color w:val="000000"/>
                <w:sz w:val="24"/>
              </w:rPr>
              <m:t>X</m:t>
            </m:r>
            <m:ctrlPr>
              <w:rPr>
                <w:rFonts w:ascii="Cambria Math" w:hAnsi="Cambria Math" w:eastAsia="宋体"/>
                <w:b w:val="0"/>
                <w:color w:val="000000"/>
                <w:sz w:val="24"/>
              </w:rPr>
            </m:ctrlPr>
          </m:e>
          <m:sub>
            <m:r>
              <m:rPr>
                <m:sty m:val="p"/>
              </m:rPr>
              <w:rPr>
                <w:rFonts w:ascii="Times New Roman" w:hAnsi="Times New Roman" w:eastAsia="宋体"/>
                <w:color w:val="000000"/>
                <w:sz w:val="24"/>
              </w:rPr>
              <m:t>z</m:t>
            </m:r>
            <m:ctrlPr>
              <w:rPr>
                <w:rFonts w:ascii="Cambria Math" w:hAnsi="Cambria Math" w:eastAsia="宋体"/>
                <w:b w:val="0"/>
                <w:color w:val="000000"/>
                <w:sz w:val="24"/>
              </w:rPr>
            </m:ctrlPr>
          </m:sub>
        </m:sSub>
        <m:r>
          <m:rPr>
            <m:sty m:val="p"/>
          </m:rPr>
          <w:rPr>
            <w:rFonts w:ascii="Times New Roman" w:hAnsi="Times New Roman" w:eastAsia="宋体"/>
            <w:color w:val="000000"/>
            <w:sz w:val="24"/>
          </w:rPr>
          <m:t xml:space="preserve"> = Stack(</m:t>
        </m:r>
        <m:sSub>
          <m:sSubPr>
            <m:ctrlPr>
              <w:rPr>
                <w:rFonts w:ascii="Cambria Math" w:hAnsi="Cambria Math" w:eastAsia="宋体"/>
                <w:b w:val="0"/>
                <w:color w:val="000000"/>
                <w:sz w:val="24"/>
              </w:rPr>
            </m:ctrlPr>
          </m:sSubPr>
          <m:e>
            <m:r>
              <m:rPr>
                <m:sty m:val="p"/>
              </m:rPr>
              <w:rPr>
                <w:rFonts w:ascii="Times New Roman" w:hAnsi="Times New Roman" w:eastAsia="宋体"/>
                <w:color w:val="000000"/>
                <w:sz w:val="24"/>
              </w:rPr>
              <m:t>G</m:t>
            </m:r>
            <m:ctrlPr>
              <w:rPr>
                <w:rFonts w:ascii="Cambria Math" w:hAnsi="Cambria Math" w:eastAsia="宋体"/>
                <w:b w:val="0"/>
                <w:color w:val="000000"/>
                <w:sz w:val="24"/>
              </w:rPr>
            </m:ctrlPr>
          </m:e>
          <m:sub>
            <m:r>
              <m:rPr>
                <m:sty m:val="p"/>
              </m:rPr>
              <w:rPr>
                <w:rFonts w:ascii="Times New Roman" w:hAnsi="Times New Roman" w:eastAsia="宋体"/>
                <w:color w:val="000000"/>
                <w:sz w:val="24"/>
              </w:rPr>
              <m:t>z−1</m:t>
            </m:r>
            <m:ctrlPr>
              <w:rPr>
                <w:rFonts w:ascii="Cambria Math" w:hAnsi="Cambria Math" w:eastAsia="宋体"/>
                <w:b w:val="0"/>
                <w:color w:val="000000"/>
                <w:sz w:val="24"/>
              </w:rPr>
            </m:ctrlPr>
          </m:sub>
        </m:sSub>
        <m:r>
          <m:rPr>
            <m:sty m:val="p"/>
          </m:rPr>
          <w:rPr>
            <w:rFonts w:ascii="Times New Roman" w:hAnsi="Times New Roman" w:eastAsia="宋体"/>
            <w:color w:val="000000"/>
            <w:sz w:val="24"/>
          </w:rPr>
          <m:t xml:space="preserve">, </m:t>
        </m:r>
        <m:sSub>
          <m:sSubPr>
            <m:ctrlPr>
              <w:rPr>
                <w:rFonts w:ascii="Cambria Math" w:hAnsi="Cambria Math" w:eastAsia="宋体"/>
                <w:b w:val="0"/>
                <w:color w:val="000000"/>
                <w:sz w:val="24"/>
              </w:rPr>
            </m:ctrlPr>
          </m:sSubPr>
          <m:e>
            <m:r>
              <m:rPr>
                <m:sty m:val="p"/>
              </m:rPr>
              <w:rPr>
                <w:rFonts w:ascii="Times New Roman" w:hAnsi="Times New Roman" w:eastAsia="宋体"/>
                <w:color w:val="000000"/>
                <w:sz w:val="24"/>
              </w:rPr>
              <m:t>G</m:t>
            </m:r>
            <m:ctrlPr>
              <w:rPr>
                <w:rFonts w:ascii="Cambria Math" w:hAnsi="Cambria Math" w:eastAsia="宋体"/>
                <w:b w:val="0"/>
                <w:color w:val="000000"/>
                <w:sz w:val="24"/>
              </w:rPr>
            </m:ctrlPr>
          </m:e>
          <m:sub>
            <m:r>
              <m:rPr>
                <m:sty m:val="p"/>
              </m:rPr>
              <w:rPr>
                <w:rFonts w:ascii="Times New Roman" w:hAnsi="Times New Roman" w:eastAsia="宋体"/>
                <w:color w:val="000000"/>
                <w:sz w:val="24"/>
              </w:rPr>
              <m:t>z</m:t>
            </m:r>
            <m:ctrlPr>
              <w:rPr>
                <w:rFonts w:ascii="Cambria Math" w:hAnsi="Cambria Math" w:eastAsia="宋体"/>
                <w:b w:val="0"/>
                <w:color w:val="000000"/>
                <w:sz w:val="24"/>
              </w:rPr>
            </m:ctrlPr>
          </m:sub>
        </m:sSub>
        <m:r>
          <m:rPr>
            <m:sty m:val="p"/>
          </m:rPr>
          <w:rPr>
            <w:rFonts w:ascii="Times New Roman" w:hAnsi="Times New Roman" w:eastAsia="宋体"/>
            <w:color w:val="000000"/>
            <w:sz w:val="24"/>
          </w:rPr>
          <m:t xml:space="preserve">, </m:t>
        </m:r>
        <m:sSub>
          <m:sSubPr>
            <m:ctrlPr>
              <w:rPr>
                <w:rFonts w:ascii="Cambria Math" w:hAnsi="Cambria Math" w:eastAsia="宋体"/>
                <w:b w:val="0"/>
                <w:color w:val="000000"/>
                <w:sz w:val="24"/>
              </w:rPr>
            </m:ctrlPr>
          </m:sSubPr>
          <m:e>
            <m:r>
              <m:rPr>
                <m:sty m:val="p"/>
              </m:rPr>
              <w:rPr>
                <w:rFonts w:ascii="Times New Roman" w:hAnsi="Times New Roman" w:eastAsia="宋体"/>
                <w:color w:val="000000"/>
                <w:sz w:val="24"/>
              </w:rPr>
              <m:t>G</m:t>
            </m:r>
            <m:ctrlPr>
              <w:rPr>
                <w:rFonts w:ascii="Cambria Math" w:hAnsi="Cambria Math" w:eastAsia="宋体"/>
                <w:b w:val="0"/>
                <w:color w:val="000000"/>
                <w:sz w:val="24"/>
              </w:rPr>
            </m:ctrlPr>
          </m:e>
          <m:sub>
            <m:r>
              <m:rPr>
                <m:sty m:val="p"/>
              </m:rPr>
              <w:rPr>
                <w:rFonts w:ascii="Times New Roman" w:hAnsi="Times New Roman" w:eastAsia="宋体"/>
                <w:color w:val="000000"/>
                <w:sz w:val="24"/>
              </w:rPr>
              <m:t>z+1</m:t>
            </m:r>
            <m:ctrlPr>
              <w:rPr>
                <w:rFonts w:ascii="Cambria Math" w:hAnsi="Cambria Math" w:eastAsia="宋体"/>
                <w:b w:val="0"/>
                <w:color w:val="000000"/>
                <w:sz w:val="24"/>
              </w:rPr>
            </m:ctrlPr>
          </m:sub>
        </m:sSub>
        <m:r>
          <m:rPr>
            <m:sty m:val="p"/>
          </m:rPr>
          <w:rPr>
            <w:rFonts w:ascii="Times New Roman" w:hAnsi="Times New Roman" w:eastAsia="宋体"/>
            <w:color w:val="000000"/>
            <w:sz w:val="24"/>
          </w:rPr>
          <m:t>)</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w:t>
      </w:r>
      <w:r>
        <w:fldChar w:fldCharType="end"/>
      </w:r>
      <w:r>
        <w:rPr>
          <w:rFonts w:ascii="Times New Roman" w:hAnsi="Times New Roman" w:eastAsia="宋体"/>
          <w:b w:val="0"/>
          <w:i w:val="0"/>
          <w:color w:val="000000"/>
          <w:sz w:val="22"/>
        </w:rPr>
        <w:t>）</w:t>
      </w:r>
    </w:p>
    <w:p w14:paraId="1E717708">
      <w:pPr>
        <w:pStyle w:val="32"/>
        <w:jc w:val="both"/>
      </w:pPr>
      <w:r>
        <w:rPr>
          <w:rFonts w:ascii="Times New Roman" w:hAnsi="Times New Roman" w:eastAsia="宋体"/>
          <w:b w:val="0"/>
          <w:i w:val="0"/>
          <w:color w:val="000000"/>
          <w:sz w:val="24"/>
        </w:rPr>
        <w:t>三个通道分别表示前一层、中心层和后一层，不表示自然图像的颜色。切片边界复制最近有效层，三个通道同步进行缩放与空间增强。训练框对应中心切片；相邻切片提供上下文。该方式仍使用二维卷积，不等同于完整三维卷积网络。</w:t>
      </w:r>
    </w:p>
    <w:p w14:paraId="38BC486B">
      <w:pPr>
        <w:pStyle w:val="32"/>
        <w:keepNext/>
        <w:jc w:val="both"/>
      </w:pPr>
      <w:r>
        <w:rPr>
          <w:rFonts w:ascii="Times New Roman" w:hAnsi="Times New Roman" w:eastAsia="宋体"/>
          <w:b w:val="0"/>
          <w:i w:val="0"/>
          <w:color w:val="000000"/>
          <w:sz w:val="24"/>
        </w:rPr>
        <w:t>CT 灰度以 HU 值表示。采用 −1000 至 400 HU 窗口，将超出范围的值截断，再归一化到 0 至 1：</w:t>
      </w:r>
    </w:p>
    <w:p w14:paraId="33B7562C">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
          <m:rPr/>
          <w:rPr>
            <w:rFonts w:ascii="Cambria Math" w:hAnsi="Cambria Math"/>
          </w:rPr>
          <m:t xml:space="preserve">U(H) = </m:t>
        </m:r>
        <m:f>
          <m:fPr>
            <m:ctrlPr>
              <w:rPr>
                <w:rFonts w:ascii="Cambria Math" w:hAnsi="Cambria Math"/>
              </w:rPr>
            </m:ctrlPr>
          </m:fPr>
          <m:num>
            <m:r>
              <m:rPr/>
              <w:rPr>
                <w:rFonts w:ascii="Cambria Math" w:hAnsi="Cambria Math"/>
              </w:rPr>
              <m:t>clip(H, −1000, 400) + 1000</m:t>
            </m:r>
            <m:ctrlPr>
              <w:rPr>
                <w:rFonts w:ascii="Cambria Math" w:hAnsi="Cambria Math"/>
              </w:rPr>
            </m:ctrlPr>
          </m:num>
          <m:den>
            <m:r>
              <m:rPr/>
              <w:rPr>
                <w:rFonts w:ascii="Cambria Math" w:hAnsi="Cambria Math"/>
              </w:rPr>
              <m:t>1400</m:t>
            </m:r>
            <m:ctrlPr>
              <w:rPr>
                <w:rFonts w:ascii="Cambria Math" w:hAnsi="Cambria Math"/>
              </w:rPr>
            </m:ctrlPr>
          </m:den>
        </m:f>
        <m:r>
          <m:rPr/>
          <w:rPr>
            <w:rFonts w:ascii="Cambria Math" w:hAnsi="Cambria Math"/>
          </w:rPr>
          <m:t>,     G(H) = floor(255 U(H))</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2</w:t>
      </w:r>
      <w:r>
        <w:fldChar w:fldCharType="end"/>
      </w:r>
      <w:r>
        <w:rPr>
          <w:rFonts w:ascii="Times New Roman" w:hAnsi="Times New Roman" w:eastAsia="宋体"/>
          <w:b w:val="0"/>
          <w:i w:val="0"/>
          <w:color w:val="000000"/>
          <w:sz w:val="22"/>
        </w:rPr>
        <w:t>）</w:t>
      </w:r>
    </w:p>
    <w:p w14:paraId="27879342">
      <w:pPr>
        <w:pStyle w:val="32"/>
        <w:jc w:val="both"/>
      </w:pPr>
      <w:r>
        <w:rPr>
          <w:rFonts w:ascii="Times New Roman" w:hAnsi="Times New Roman" w:eastAsia="宋体"/>
          <w:b w:val="0"/>
          <w:i w:val="0"/>
          <w:color w:val="000000"/>
          <w:sz w:val="24"/>
        </w:rPr>
        <w:t>式中 H 为体素 HU 值，U 为归一化灰度，G 为导出的 8 位灰度。灰度映射统一了输入数值范围，保留肺部影像常用的灰度对比。导出图像为 512×512 像素，YOLO 输入按一致规则调整为 640×640 像素。</w:t>
      </w:r>
    </w:p>
    <w:p w14:paraId="67B0E520">
      <w:pPr>
        <w:pStyle w:val="3"/>
        <w:ind w:left="0" w:firstLine="0"/>
        <w:jc w:val="left"/>
      </w:pPr>
      <w:r>
        <w:rPr>
          <w:rFonts w:ascii="Times New Roman" w:hAnsi="Times New Roman" w:eastAsia="黑体"/>
          <w:b/>
          <w:i w:val="0"/>
          <w:color w:val="000000"/>
          <w:sz w:val="28"/>
        </w:rPr>
        <w:t>2.3 空间坐标与物理尺寸</w:t>
      </w:r>
    </w:p>
    <w:p w14:paraId="3789FEF9">
      <w:pPr>
        <w:pStyle w:val="32"/>
        <w:keepNext/>
        <w:jc w:val="both"/>
      </w:pPr>
      <w:r>
        <w:rPr>
          <w:rFonts w:ascii="Times New Roman" w:hAnsi="Times New Roman" w:eastAsia="宋体"/>
          <w:b w:val="0"/>
          <w:i w:val="0"/>
          <w:color w:val="000000"/>
          <w:sz w:val="24"/>
        </w:rPr>
        <w:t>CT 中的像素索引与毫米位置不同。设连续体素坐标为 i，原点为 o，方向矩阵为 D，体素间距为 s，则世界坐标 p 为[8]：</w:t>
      </w:r>
    </w:p>
    <w:p w14:paraId="3B9505ED">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
          <m:rPr>
            <m:sty m:val="p"/>
          </m:rPr>
          <w:rPr>
            <w:rFonts w:ascii="Times New Roman" w:hAnsi="Times New Roman" w:eastAsia="宋体" w:cs="Times New Roman"/>
            <w:color w:val="000000"/>
            <w:sz w:val="24"/>
            <w:lang w:eastAsia="zh-CN"/>
          </w:rPr>
          <m:t>p = o + D diag(s) i</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3</w:t>
      </w:r>
      <w:r>
        <w:fldChar w:fldCharType="end"/>
      </w:r>
      <w:r>
        <w:rPr>
          <w:rFonts w:ascii="Times New Roman" w:hAnsi="Times New Roman" w:eastAsia="宋体"/>
          <w:b w:val="0"/>
          <w:i w:val="0"/>
          <w:color w:val="000000"/>
          <w:sz w:val="22"/>
        </w:rPr>
        <w:t>）</w:t>
      </w:r>
    </w:p>
    <w:p w14:paraId="2F3F23D3">
      <w:pPr>
        <w:pStyle w:val="32"/>
        <w:jc w:val="both"/>
      </w:pPr>
      <w:r>
        <w:rPr>
          <w:rFonts w:ascii="Times New Roman" w:hAnsi="Times New Roman" w:eastAsia="宋体"/>
          <w:b w:val="0"/>
          <w:i w:val="0"/>
          <w:color w:val="000000"/>
          <w:sz w:val="24"/>
        </w:rPr>
        <w:t>检测框先从模型输入坐标还原到原图坐标，再用框中心得到连续体素位置。像素边缘坐标与体素中心坐标的半像素约定应保持一致。只有将候选与标注转换到相同毫米坐标空间，才能进行跨层合并和中心距离评价。</w:t>
      </w:r>
    </w:p>
    <w:p w14:paraId="0E267BFF">
      <w:pPr>
        <w:pStyle w:val="32"/>
        <w:jc w:val="both"/>
      </w:pPr>
      <w:r>
        <w:rPr>
          <w:rFonts w:ascii="Times New Roman" w:hAnsi="Times New Roman" w:eastAsia="宋体"/>
          <w:b w:val="0"/>
          <w:i w:val="0"/>
          <w:color w:val="000000"/>
          <w:sz w:val="24"/>
        </w:rPr>
        <w:t>本设计保留原始层间距，未将完整 CT 统一重采样到 1 mm。因而三张切片在不同扫描中覆盖的轴向厚度可能不同。ResNet18 的固定物理视野裁剪仅统一局部平面视野，不等于整幅 CT 三维重采样。</w:t>
      </w:r>
    </w:p>
    <w:p w14:paraId="18272A96">
      <w:pPr>
        <w:pStyle w:val="3"/>
        <w:ind w:left="0" w:firstLine="0"/>
        <w:jc w:val="left"/>
      </w:pPr>
      <w:r>
        <w:rPr>
          <w:rFonts w:ascii="Times New Roman" w:hAnsi="Times New Roman" w:eastAsia="黑体"/>
          <w:b/>
          <w:i w:val="0"/>
          <w:color w:val="000000"/>
          <w:sz w:val="28"/>
        </w:rPr>
        <w:t>2.4 YOLO11s 算法设计与理论基础</w:t>
      </w:r>
    </w:p>
    <w:p w14:paraId="7C640F30">
      <w:pPr>
        <w:pStyle w:val="33"/>
        <w:ind w:left="0" w:firstLine="0"/>
        <w:jc w:val="left"/>
      </w:pPr>
      <w:r>
        <w:rPr>
          <w:rFonts w:ascii="Times New Roman" w:hAnsi="Times New Roman" w:eastAsia="黑体"/>
          <w:b/>
          <w:i w:val="0"/>
          <w:color w:val="000000"/>
          <w:sz w:val="24"/>
        </w:rPr>
        <w:t>2.4.1 网络选择与前向传播</w:t>
      </w:r>
    </w:p>
    <w:p w14:paraId="294D733F">
      <w:pPr>
        <w:pStyle w:val="32"/>
        <w:keepNext/>
        <w:jc w:val="both"/>
      </w:pPr>
      <w:r>
        <w:rPr>
          <w:rFonts w:ascii="Times New Roman" w:hAnsi="Times New Roman" w:eastAsia="宋体"/>
          <w:b w:val="0"/>
          <w:i w:val="0"/>
          <w:color w:val="000000"/>
          <w:sz w:val="24"/>
        </w:rPr>
        <w:t>YOLO 将目标定位与类别预测整合到一次网络前向计算中[1]。本设计采用 YOLO11s，类别为肺结节。网络从三切片输入提取特征，通过多尺度特征融合获得不同大小候选的表达，再由检测头输出框位置和结节评分。其具体结构依据 YOLO11 官方配置，而不是早期 YOLO 的固定网格与锚框描述[2]。</w:t>
      </w:r>
    </w:p>
    <w:p w14:paraId="7360AF79">
      <w:pPr>
        <w:pStyle w:val="32"/>
        <w:keepNext/>
        <w:keepLines/>
        <w:spacing w:before="100" w:after="0" w:line="240" w:lineRule="auto"/>
        <w:ind w:firstLine="0"/>
        <w:jc w:val="center"/>
      </w:pPr>
      <w:r>
        <w:drawing>
          <wp:inline distT="0" distB="0" distL="0" distR="0">
            <wp:extent cx="5687695" cy="1912620"/>
            <wp:effectExtent l="0" t="0" r="5080" b="1270"/>
            <wp:docPr id="15" name="Figure 5" descr="YOLO11s 前向传播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5" descr="YOLO11s 前向传播示意图"/>
                    <pic:cNvPicPr>
                      <a:picLocks noChangeAspect="1"/>
                    </pic:cNvPicPr>
                  </pic:nvPicPr>
                  <pic:blipFill>
                    <a:blip r:embed="rId9"/>
                    <a:stretch>
                      <a:fillRect/>
                    </a:stretch>
                  </pic:blipFill>
                  <pic:spPr>
                    <a:xfrm>
                      <a:off x="0" y="0"/>
                      <a:ext cx="5688000" cy="1912668"/>
                    </a:xfrm>
                    <a:prstGeom prst="rect">
                      <a:avLst/>
                    </a:prstGeom>
                    <a:noFill/>
                    <a:ln>
                      <a:noFill/>
                    </a:ln>
                  </pic:spPr>
                </pic:pic>
              </a:graphicData>
            </a:graphic>
          </wp:inline>
        </w:drawing>
      </w:r>
    </w:p>
    <w:p w14:paraId="758861C7">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5</w:t>
      </w:r>
      <w:r>
        <w:fldChar w:fldCharType="end"/>
      </w:r>
      <w:r>
        <w:rPr>
          <w:rFonts w:ascii="Times New Roman" w:hAnsi="Times New Roman" w:eastAsia="宋体"/>
          <w:b w:val="0"/>
          <w:i w:val="0"/>
          <w:color w:val="000000"/>
          <w:sz w:val="22"/>
        </w:rPr>
        <w:t xml:space="preserve">  YOLO11s 前向传播示意图</w:t>
      </w:r>
    </w:p>
    <w:p w14:paraId="5533DE27">
      <w:pPr>
        <w:pStyle w:val="32"/>
        <w:keepNext/>
        <w:jc w:val="both"/>
      </w:pPr>
      <w:r>
        <w:rPr>
          <w:rFonts w:ascii="Times New Roman" w:hAnsi="Times New Roman" w:eastAsia="宋体"/>
          <w:b w:val="0"/>
          <w:i w:val="0"/>
          <w:color w:val="000000"/>
          <w:sz w:val="24"/>
        </w:rPr>
        <w:t>卷积将邻域灰度与通道信息加权组合。设输入特征为 x，卷积核为 W，偏置为 b，二维卷积可概括为：</w:t>
      </w:r>
    </w:p>
    <w:p w14:paraId="55823176">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o,i,j</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 xml:space="preserve"> + </m:t>
        </m:r>
        <m:nary>
          <m:naryPr>
            <m:chr m:val="∑"/>
            <m:limLoc m:val="subSup"/>
            <m:ctrlPr>
              <w:rPr>
                <w:rFonts w:ascii="Cambria Math" w:hAnsi="Cambria Math"/>
              </w:rPr>
            </m:ctrlPr>
          </m:naryPr>
          <m:sub>
            <m:r>
              <m:rPr/>
              <w:rPr>
                <w:rFonts w:ascii="Cambria Math" w:hAnsi="Cambria Math"/>
              </w:rPr>
              <m:t>c,u,v</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o,c,u,v</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c,i+u,j+v</m:t>
                </m:r>
                <m:ctrlPr>
                  <w:rPr>
                    <w:rFonts w:ascii="Cambria Math" w:hAnsi="Cambria Math"/>
                  </w:rPr>
                </m:ctrlPr>
              </m:sub>
            </m:sSub>
            <m:ctrlPr>
              <w:rPr>
                <w:rFonts w:ascii="Cambria Math" w:hAnsi="Cambria Math"/>
              </w:rPr>
            </m:ctrlPr>
          </m:e>
        </m:nary>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4</w:t>
      </w:r>
      <w:r>
        <w:fldChar w:fldCharType="end"/>
      </w:r>
      <w:r>
        <w:rPr>
          <w:rFonts w:ascii="Times New Roman" w:hAnsi="Times New Roman" w:eastAsia="宋体"/>
          <w:b w:val="0"/>
          <w:i w:val="0"/>
          <w:color w:val="000000"/>
          <w:sz w:val="22"/>
        </w:rPr>
        <w:t>）</w:t>
      </w:r>
    </w:p>
    <w:p w14:paraId="0B8350D5">
      <w:pPr>
        <w:pStyle w:val="32"/>
        <w:keepNext/>
        <w:jc w:val="both"/>
      </w:pPr>
      <w:r>
        <w:rPr>
          <w:rFonts w:ascii="Times New Roman" w:hAnsi="Times New Roman" w:eastAsia="宋体"/>
          <w:b w:val="0"/>
          <w:i w:val="0"/>
          <w:color w:val="000000"/>
          <w:sz w:val="24"/>
        </w:rPr>
        <w:t>式中 o、c 分别为输出与输入通道索引，u、v 为卷积核位置。第一层卷积能够融合三张切片的信息；后续层提取边缘、纹理和更复杂的结构。卷积后结合批量归一化与非线性激活，YOLO 常用 SiLU 激活：</w:t>
      </w:r>
    </w:p>
    <w:p w14:paraId="06C58F90">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
          <m:rPr/>
          <w:rPr>
            <w:rFonts w:ascii="Cambria Math" w:hAnsi="Cambria Math"/>
          </w:rPr>
          <m:t xml:space="preserve">SiLU(z) = z σ(z),     σ(z) = </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 xml:space="preserve">1 + </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−z</m:t>
                </m:r>
                <m:ctrlPr>
                  <w:rPr>
                    <w:rFonts w:ascii="Cambria Math" w:hAnsi="Cambria Math"/>
                  </w:rPr>
                </m:ctrlPr>
              </m:sup>
            </m:sSup>
            <m:ctrlPr>
              <w:rPr>
                <w:rFonts w:ascii="Cambria Math" w:hAnsi="Cambria Math"/>
              </w:rPr>
            </m:ctrlPr>
          </m:den>
        </m:f>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5</w:t>
      </w:r>
      <w:r>
        <w:fldChar w:fldCharType="end"/>
      </w:r>
      <w:r>
        <w:rPr>
          <w:rFonts w:ascii="Times New Roman" w:hAnsi="Times New Roman" w:eastAsia="宋体"/>
          <w:b w:val="0"/>
          <w:i w:val="0"/>
          <w:color w:val="000000"/>
          <w:sz w:val="22"/>
        </w:rPr>
        <w:t>）</w:t>
      </w:r>
    </w:p>
    <w:p w14:paraId="7A17B576">
      <w:pPr>
        <w:pStyle w:val="32"/>
        <w:jc w:val="both"/>
      </w:pPr>
      <w:r>
        <w:rPr>
          <w:rFonts w:ascii="Times New Roman" w:hAnsi="Times New Roman" w:eastAsia="宋体"/>
          <w:b w:val="0"/>
          <w:i w:val="0"/>
          <w:color w:val="000000"/>
          <w:sz w:val="24"/>
        </w:rPr>
        <w:t>主干包含 C3k2 特征提取模块，SPPF 扩大特征聚合范围，C2PSA 引入注意力；融合结构形成步长 8、16、32 的三尺度检测特征[2]。在 640×640 输入下，其空间尺寸对应 80×80、40×40 和 20×20。多尺度输出有助于同时处理不同大小的候选，但小结节仍可能因对比度低或下采样而漏检。</w:t>
      </w:r>
    </w:p>
    <w:p w14:paraId="2C4C060E">
      <w:pPr>
        <w:pStyle w:val="33"/>
        <w:ind w:left="0" w:firstLine="0"/>
        <w:jc w:val="left"/>
      </w:pPr>
      <w:r>
        <w:rPr>
          <w:rFonts w:ascii="Times New Roman" w:hAnsi="Times New Roman" w:eastAsia="黑体"/>
          <w:b/>
          <w:i w:val="0"/>
          <w:color w:val="000000"/>
          <w:sz w:val="24"/>
        </w:rPr>
        <w:t>2.4.2 反向传播与参数优化</w:t>
      </w:r>
    </w:p>
    <w:p w14:paraId="2C2532A6">
      <w:pPr>
        <w:pStyle w:val="32"/>
        <w:keepNext/>
        <w:jc w:val="both"/>
      </w:pPr>
      <w:r>
        <w:rPr>
          <w:rFonts w:ascii="Times New Roman" w:hAnsi="Times New Roman" w:eastAsia="宋体"/>
          <w:b w:val="0"/>
          <w:i w:val="0"/>
          <w:color w:val="000000"/>
          <w:sz w:val="24"/>
        </w:rPr>
        <w:t>前向传播计算预测，损失函数量化预测误差，反向传播则根据链式法则计算误差对各层参数的梯度[6]。为说明原理，可将网络层写成：</w:t>
      </w:r>
    </w:p>
    <w:p w14:paraId="2C538CCF">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 xml:space="preserve"> = </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(k)</m:t>
            </m:r>
            <m:ctrlPr>
              <w:rPr>
                <w:rFonts w:ascii="Cambria Math" w:hAnsi="Cambria Math"/>
              </w:rPr>
            </m:ctrlPr>
          </m:sup>
        </m:sSup>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 xml:space="preserve"> + </m:t>
        </m:r>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 xml:space="preserve">,     </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 xml:space="preserve"> = φ(</m:t>
        </m:r>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6</w:t>
      </w:r>
      <w:r>
        <w:fldChar w:fldCharType="end"/>
      </w:r>
      <w:r>
        <w:rPr>
          <w:rFonts w:ascii="Times New Roman" w:hAnsi="Times New Roman" w:eastAsia="宋体"/>
          <w:b w:val="0"/>
          <w:i w:val="0"/>
          <w:color w:val="000000"/>
          <w:sz w:val="22"/>
        </w:rPr>
        <w:t>）</w:t>
      </w:r>
    </w:p>
    <w:p w14:paraId="3A3154D2">
      <w:pPr>
        <w:pStyle w:val="32"/>
        <w:keepNext/>
        <w:jc w:val="both"/>
      </w:pPr>
      <w:r>
        <w:rPr>
          <w:rFonts w:ascii="Times New Roman" w:hAnsi="Times New Roman" w:eastAsia="宋体"/>
          <w:b w:val="0"/>
          <w:i w:val="0"/>
          <w:color w:val="000000"/>
          <w:sz w:val="24"/>
        </w:rPr>
        <w:t>式中 a 为特征，z 为激活前的值，φ 为激活函数，W 和 b 为参数。设 δ(k) 为损失对 z(k) 的梯度，忽略分支结构时，其递推关系为：</w:t>
      </w:r>
    </w:p>
    <w:p w14:paraId="39282E69">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p>
          <m:sSupPr>
            <m:ctrlPr>
              <w:rPr>
                <w:rFonts w:ascii="Cambria Math" w:hAnsi="Cambria Math"/>
              </w:rPr>
            </m:ctrlPr>
          </m:sSupPr>
          <m:e>
            <m:r>
              <m:rPr/>
              <w:rPr>
                <w:rFonts w:ascii="Cambria Math" w:hAnsi="Cambria Math"/>
              </w:rPr>
              <m:t>δ</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 xml:space="preserve"> = </m:t>
        </m:r>
        <m:sSup>
          <m:sSupPr>
            <m:ctrlPr>
              <w:rPr>
                <w:rFonts w:ascii="Cambria Math" w:hAnsi="Cambria Math"/>
              </w:rPr>
            </m:ctrlPr>
          </m:sSupPr>
          <m:e>
            <m:r>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sSup>
          <m:sSupPr>
            <m:ctrlPr>
              <w:rPr>
                <w:rFonts w:ascii="Cambria Math" w:hAnsi="Cambria Math"/>
              </w:rPr>
            </m:ctrlPr>
          </m:sSupPr>
          <m:e>
            <m:r>
              <m:rPr/>
              <w:rPr>
                <w:rFonts w:ascii="Cambria Math" w:hAnsi="Cambria Math"/>
              </w:rPr>
              <m:t>δ</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 xml:space="preserve"> ⊙ φ'(</m:t>
        </m:r>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7</w:t>
      </w:r>
      <w:r>
        <w:fldChar w:fldCharType="end"/>
      </w:r>
      <w:r>
        <w:rPr>
          <w:rFonts w:ascii="Times New Roman" w:hAnsi="Times New Roman" w:eastAsia="宋体"/>
          <w:b w:val="0"/>
          <w:i w:val="0"/>
          <w:color w:val="000000"/>
          <w:sz w:val="22"/>
        </w:rPr>
        <w:t>）</w:t>
      </w:r>
    </w:p>
    <w:p w14:paraId="61215D44">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f>
          <m:fPr>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(k)</m:t>
                </m:r>
                <m:ctrlPr>
                  <w:rPr>
                    <w:rFonts w:ascii="Cambria Math" w:hAnsi="Cambria Math"/>
                  </w:rPr>
                </m:ctrlPr>
              </m:sup>
            </m:sSup>
            <m:ctrlPr>
              <w:rPr>
                <w:rFonts w:ascii="Cambria Math" w:hAnsi="Cambria Math"/>
              </w:rPr>
            </m:ctrlPr>
          </m:den>
        </m:f>
        <m:r>
          <m:rPr/>
          <w:rPr>
            <w:rFonts w:ascii="Cambria Math" w:hAnsi="Cambria Math"/>
          </w:rPr>
          <m:t xml:space="preserve"> = </m:t>
        </m:r>
        <m:sSup>
          <m:sSupPr>
            <m:ctrlPr>
              <w:rPr>
                <w:rFonts w:ascii="Cambria Math" w:hAnsi="Cambria Math"/>
              </w:rPr>
            </m:ctrlPr>
          </m:sSupPr>
          <m:e>
            <m:r>
              <m:rPr/>
              <w:rPr>
                <w:rFonts w:ascii="Cambria Math" w:hAnsi="Cambria Math"/>
              </w:rPr>
              <m:t>δ</m:t>
            </m:r>
            <m:ctrlPr>
              <w:rPr>
                <w:rFonts w:ascii="Cambria Math" w:hAnsi="Cambria Math"/>
              </w:rPr>
            </m:ctrlPr>
          </m:e>
          <m:sup>
            <m:r>
              <m:rPr/>
              <w:rPr>
                <w:rFonts w:ascii="Cambria Math" w:hAnsi="Cambria Math"/>
              </w:rPr>
              <m:t>(k)</m:t>
            </m:r>
            <m:ctrlPr>
              <w:rPr>
                <w:rFonts w:ascii="Cambria Math" w:hAnsi="Cambria Math"/>
              </w:rPr>
            </m:ctrlPr>
          </m:sup>
        </m:sSup>
        <m:sSup>
          <m:sSupPr>
            <m:ctrlPr>
              <w:rPr>
                <w:rFonts w:ascii="Cambria Math" w:hAnsi="Cambria Math"/>
              </w:rPr>
            </m:ctrlPr>
          </m:sSupPr>
          <m:e>
            <m:r>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8</w:t>
      </w:r>
      <w:r>
        <w:fldChar w:fldCharType="end"/>
      </w:r>
      <w:r>
        <w:rPr>
          <w:rFonts w:ascii="Times New Roman" w:hAnsi="Times New Roman" w:eastAsia="宋体"/>
          <w:b w:val="0"/>
          <w:i w:val="0"/>
          <w:color w:val="000000"/>
          <w:sz w:val="22"/>
        </w:rPr>
        <w:t>）</w:t>
      </w:r>
    </w:p>
    <w:p w14:paraId="3B4AE3C1">
      <w:pPr>
        <w:pStyle w:val="32"/>
        <w:jc w:val="both"/>
      </w:pPr>
      <w:r>
        <w:rPr>
          <w:rFonts w:ascii="Times New Roman" w:hAnsi="Times New Roman" w:eastAsia="宋体"/>
          <w:b w:val="0"/>
          <w:i w:val="0"/>
          <w:color w:val="000000"/>
          <w:sz w:val="24"/>
        </w:rPr>
        <w:t>以上为一般层的教学表达。卷积网络对应卷积算子的梯度；特征拼接、注意力和多尺度分支由自动微分按计算图累积梯度。若用梯度下降说明更新方向，则参数沿负梯度调整；本设计实际使用 AdamW 优化器[7]。</w:t>
      </w:r>
    </w:p>
    <w:p w14:paraId="46881AE9">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rad>
            <m:r>
              <m:rPr/>
              <w:rPr>
                <w:rFonts w:ascii="Cambria Math" w:hAnsi="Cambria Math"/>
              </w:rPr>
              <m:t xml:space="preserve"> + ε</m:t>
            </m:r>
            <m:ctrlPr>
              <w:rPr>
                <w:rFonts w:ascii="Cambria Math" w:hAnsi="Cambria Math"/>
              </w:rPr>
            </m:ctrlPr>
          </m:den>
        </m:f>
        <m:r>
          <m:rPr/>
          <w:rPr>
            <w:rFonts w:ascii="Cambria Math" w:hAnsi="Cambria Math"/>
          </w:rPr>
          <m:t xml:space="preserve"> − </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λ </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9</w:t>
      </w:r>
      <w:r>
        <w:fldChar w:fldCharType="end"/>
      </w:r>
      <w:r>
        <w:rPr>
          <w:rFonts w:ascii="Times New Roman" w:hAnsi="Times New Roman" w:eastAsia="宋体"/>
          <w:b w:val="0"/>
          <w:i w:val="0"/>
          <w:color w:val="000000"/>
          <w:sz w:val="22"/>
        </w:rPr>
        <w:t>）</w:t>
      </w:r>
    </w:p>
    <w:p w14:paraId="39F4E5B6">
      <w:pPr>
        <w:pStyle w:val="32"/>
        <w:jc w:val="both"/>
      </w:pPr>
      <w:r>
        <w:rPr>
          <w:rFonts w:ascii="Times New Roman" w:hAnsi="Times New Roman" w:eastAsia="宋体"/>
          <w:b w:val="0"/>
          <w:i w:val="0"/>
          <w:color w:val="000000"/>
          <w:sz w:val="24"/>
        </w:rPr>
        <w:t>式中 θ 为可训练参数，η 为学习率，m̂、v̂ 为经偏差校正的一阶与二阶梯度矩估计，ε 为数值稳定项，λ 为权重衰减系数。AdamW 根据梯度历史调整步长，并将权重衰减与梯度更新分离；不进行衰减的参数组取 λ=0。</w:t>
      </w:r>
    </w:p>
    <w:p w14:paraId="11978F4E">
      <w:pPr>
        <w:pStyle w:val="34"/>
        <w:keepNext/>
        <w:spacing w:before="120" w:after="100"/>
        <w:jc w:val="center"/>
      </w:pPr>
      <w:r>
        <w:rPr>
          <w:rFonts w:ascii="Times New Roman" w:hAnsi="Times New Roman" w:eastAsia="宋体"/>
          <w:b w:val="0"/>
          <w:i w:val="0"/>
          <w:color w:val="000000"/>
          <w:sz w:val="22"/>
        </w:rPr>
        <w:t xml:space="preserve">表 </w:t>
      </w:r>
      <w:r>
        <w:fldChar w:fldCharType="begin"/>
      </w:r>
      <w:r>
        <w:instrText xml:space="preserve"> SEQ Table \* ARABIC </w:instrText>
      </w:r>
      <w:r>
        <w:fldChar w:fldCharType="separate"/>
      </w:r>
      <w:r>
        <w:t>3</w:t>
      </w:r>
      <w:r>
        <w:fldChar w:fldCharType="end"/>
      </w:r>
      <w:r>
        <w:rPr>
          <w:rFonts w:ascii="Times New Roman" w:hAnsi="Times New Roman" w:eastAsia="宋体"/>
          <w:b w:val="0"/>
          <w:i w:val="0"/>
          <w:color w:val="000000"/>
          <w:sz w:val="22"/>
        </w:rPr>
        <w:t xml:space="preserve">  YOLO11s 训练参数设置</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100" w:type="dxa"/>
          <w:bottom w:w="75" w:type="dxa"/>
          <w:right w:w="100" w:type="dxa"/>
        </w:tblCellMar>
      </w:tblPr>
      <w:tblGrid>
        <w:gridCol w:w="2324"/>
        <w:gridCol w:w="6746"/>
      </w:tblGrid>
      <w:tr w14:paraId="12A68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100" w:type="dxa"/>
            <w:bottom w:w="75" w:type="dxa"/>
            <w:right w:w="100" w:type="dxa"/>
          </w:tblCellMar>
        </w:tblPrEx>
        <w:trPr>
          <w:cantSplit/>
          <w:tblHeader/>
          <w:jc w:val="center"/>
        </w:trPr>
        <w:tc>
          <w:tcPr>
            <w:tcW w:w="2324" w:type="dxa"/>
            <w:shd w:val="clear" w:color="auto" w:fill="EEEEEE"/>
            <w:vAlign w:val="center"/>
          </w:tcPr>
          <w:p w14:paraId="29F49FF8">
            <w:pPr>
              <w:pStyle w:val="32"/>
              <w:keepNext/>
              <w:keepLines/>
              <w:spacing w:before="0" w:after="0" w:line="276" w:lineRule="auto"/>
              <w:ind w:left="0" w:right="0" w:firstLine="0"/>
              <w:jc w:val="left"/>
            </w:pPr>
            <w:r>
              <w:rPr>
                <w:rFonts w:ascii="Times New Roman" w:hAnsi="Times New Roman" w:eastAsia="宋体"/>
                <w:b/>
                <w:i w:val="0"/>
                <w:color w:val="000000"/>
                <w:sz w:val="21"/>
              </w:rPr>
              <w:t>训练项目</w:t>
            </w:r>
          </w:p>
        </w:tc>
        <w:tc>
          <w:tcPr>
            <w:tcW w:w="6746" w:type="dxa"/>
            <w:shd w:val="clear" w:color="auto" w:fill="EEEEEE"/>
            <w:vAlign w:val="center"/>
          </w:tcPr>
          <w:p w14:paraId="28A9BC38">
            <w:pPr>
              <w:pStyle w:val="32"/>
              <w:keepNext/>
              <w:keepLines/>
              <w:spacing w:before="0" w:after="0" w:line="276" w:lineRule="auto"/>
              <w:ind w:left="0" w:right="0" w:firstLine="0"/>
              <w:jc w:val="left"/>
            </w:pPr>
            <w:r>
              <w:rPr>
                <w:rFonts w:ascii="Times New Roman" w:hAnsi="Times New Roman" w:eastAsia="宋体"/>
                <w:b/>
                <w:i w:val="0"/>
                <w:color w:val="000000"/>
                <w:sz w:val="21"/>
              </w:rPr>
              <w:t>本设计设置</w:t>
            </w:r>
          </w:p>
        </w:tc>
      </w:tr>
      <w:tr w14:paraId="2B8193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100" w:type="dxa"/>
            <w:bottom w:w="75" w:type="dxa"/>
            <w:right w:w="100" w:type="dxa"/>
          </w:tblCellMar>
        </w:tblPrEx>
        <w:trPr>
          <w:cantSplit/>
          <w:jc w:val="center"/>
        </w:trPr>
        <w:tc>
          <w:tcPr>
            <w:tcW w:w="2324" w:type="dxa"/>
            <w:vAlign w:val="center"/>
          </w:tcPr>
          <w:p w14:paraId="18FC0B2A">
            <w:pPr>
              <w:pStyle w:val="32"/>
              <w:keepNext/>
              <w:keepLines/>
              <w:spacing w:before="0" w:after="0" w:line="276" w:lineRule="auto"/>
              <w:ind w:left="0" w:right="0" w:firstLine="0"/>
              <w:jc w:val="left"/>
            </w:pPr>
            <w:r>
              <w:rPr>
                <w:rFonts w:ascii="Times New Roman" w:hAnsi="Times New Roman" w:eastAsia="宋体"/>
                <w:b w:val="0"/>
                <w:i w:val="0"/>
                <w:color w:val="000000"/>
                <w:sz w:val="21"/>
              </w:rPr>
              <w:t>初始化与训练规模</w:t>
            </w:r>
          </w:p>
        </w:tc>
        <w:tc>
          <w:tcPr>
            <w:tcW w:w="6746" w:type="dxa"/>
            <w:vAlign w:val="center"/>
          </w:tcPr>
          <w:p w14:paraId="18450946">
            <w:pPr>
              <w:pStyle w:val="32"/>
              <w:keepNext/>
              <w:keepLines/>
              <w:spacing w:before="0" w:after="0" w:line="276" w:lineRule="auto"/>
              <w:ind w:left="0" w:right="0" w:firstLine="0"/>
              <w:jc w:val="left"/>
            </w:pPr>
            <w:r>
              <w:rPr>
                <w:rFonts w:ascii="Times New Roman" w:hAnsi="Times New Roman" w:eastAsia="宋体"/>
                <w:b w:val="0"/>
                <w:i w:val="0"/>
                <w:color w:val="000000"/>
                <w:sz w:val="21"/>
              </w:rPr>
              <w:t>YOLO11s 预训练初始化  100 轮  675 个训练体积</w:t>
            </w:r>
          </w:p>
        </w:tc>
      </w:tr>
      <w:tr w14:paraId="64FFA8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100" w:type="dxa"/>
            <w:bottom w:w="75" w:type="dxa"/>
            <w:right w:w="100" w:type="dxa"/>
          </w:tblCellMar>
        </w:tblPrEx>
        <w:trPr>
          <w:cantSplit/>
          <w:jc w:val="center"/>
        </w:trPr>
        <w:tc>
          <w:tcPr>
            <w:tcW w:w="2324" w:type="dxa"/>
            <w:vAlign w:val="center"/>
          </w:tcPr>
          <w:p w14:paraId="24F344A6">
            <w:pPr>
              <w:pStyle w:val="32"/>
              <w:keepNext/>
              <w:keepLines/>
              <w:spacing w:before="0" w:after="0" w:line="276" w:lineRule="auto"/>
              <w:ind w:left="0" w:right="0" w:firstLine="0"/>
              <w:jc w:val="left"/>
            </w:pPr>
            <w:r>
              <w:rPr>
                <w:rFonts w:ascii="Times New Roman" w:hAnsi="Times New Roman" w:eastAsia="宋体"/>
                <w:b w:val="0"/>
                <w:i w:val="0"/>
                <w:color w:val="000000"/>
                <w:sz w:val="21"/>
              </w:rPr>
              <w:t>输入与批量</w:t>
            </w:r>
          </w:p>
        </w:tc>
        <w:tc>
          <w:tcPr>
            <w:tcW w:w="6746" w:type="dxa"/>
            <w:vAlign w:val="center"/>
          </w:tcPr>
          <w:p w14:paraId="239D4F80">
            <w:pPr>
              <w:pStyle w:val="32"/>
              <w:keepNext/>
              <w:keepLines/>
              <w:spacing w:before="0" w:after="0" w:line="276" w:lineRule="auto"/>
              <w:ind w:left="0" w:right="0" w:firstLine="0"/>
              <w:jc w:val="left"/>
            </w:pPr>
            <w:r>
              <w:rPr>
                <w:rFonts w:ascii="Times New Roman" w:hAnsi="Times New Roman" w:eastAsia="宋体"/>
                <w:b w:val="0"/>
                <w:i w:val="0"/>
                <w:color w:val="000000"/>
                <w:sz w:val="21"/>
              </w:rPr>
              <w:t>640×640 像素  批量 8</w:t>
            </w:r>
          </w:p>
        </w:tc>
      </w:tr>
      <w:tr w14:paraId="435407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100" w:type="dxa"/>
            <w:bottom w:w="75" w:type="dxa"/>
            <w:right w:w="100" w:type="dxa"/>
          </w:tblCellMar>
        </w:tblPrEx>
        <w:trPr>
          <w:cantSplit/>
          <w:jc w:val="center"/>
        </w:trPr>
        <w:tc>
          <w:tcPr>
            <w:tcW w:w="2324" w:type="dxa"/>
            <w:vAlign w:val="center"/>
          </w:tcPr>
          <w:p w14:paraId="3EDD2BA5">
            <w:pPr>
              <w:pStyle w:val="32"/>
              <w:keepNext/>
              <w:keepLines/>
              <w:spacing w:before="0" w:after="0" w:line="276" w:lineRule="auto"/>
              <w:ind w:left="0" w:right="0" w:firstLine="0"/>
              <w:jc w:val="left"/>
            </w:pPr>
            <w:r>
              <w:rPr>
                <w:rFonts w:ascii="Times New Roman" w:hAnsi="Times New Roman" w:eastAsia="宋体"/>
                <w:b w:val="0"/>
                <w:i w:val="0"/>
                <w:color w:val="000000"/>
                <w:sz w:val="21"/>
              </w:rPr>
              <w:t>优化与学习率</w:t>
            </w:r>
          </w:p>
        </w:tc>
        <w:tc>
          <w:tcPr>
            <w:tcW w:w="6746" w:type="dxa"/>
            <w:vAlign w:val="center"/>
          </w:tcPr>
          <w:p w14:paraId="45E02764">
            <w:pPr>
              <w:pStyle w:val="32"/>
              <w:keepNext/>
              <w:keepLines/>
              <w:spacing w:before="0" w:after="0" w:line="276" w:lineRule="auto"/>
              <w:ind w:left="0" w:right="0" w:firstLine="0"/>
              <w:jc w:val="left"/>
            </w:pPr>
            <w:r>
              <w:rPr>
                <w:rFonts w:ascii="Times New Roman" w:hAnsi="Times New Roman" w:eastAsia="宋体"/>
                <w:b w:val="0"/>
                <w:i w:val="0"/>
                <w:color w:val="000000"/>
                <w:sz w:val="21"/>
              </w:rPr>
              <w:t>AdamW  初始学习率 0.001  预热 3 轮</w:t>
            </w:r>
          </w:p>
        </w:tc>
      </w:tr>
      <w:tr w14:paraId="6E4C5B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100" w:type="dxa"/>
            <w:bottom w:w="75" w:type="dxa"/>
            <w:right w:w="100" w:type="dxa"/>
          </w:tblCellMar>
        </w:tblPrEx>
        <w:trPr>
          <w:cantSplit/>
          <w:jc w:val="center"/>
        </w:trPr>
        <w:tc>
          <w:tcPr>
            <w:tcW w:w="2324" w:type="dxa"/>
            <w:vAlign w:val="center"/>
          </w:tcPr>
          <w:p w14:paraId="09C33487">
            <w:pPr>
              <w:pStyle w:val="32"/>
              <w:keepNext/>
              <w:keepLines/>
              <w:spacing w:before="0" w:after="0" w:line="276" w:lineRule="auto"/>
              <w:ind w:left="0" w:right="0" w:firstLine="0"/>
              <w:jc w:val="left"/>
            </w:pPr>
            <w:r>
              <w:rPr>
                <w:rFonts w:ascii="Times New Roman" w:hAnsi="Times New Roman" w:eastAsia="宋体"/>
                <w:b w:val="0"/>
                <w:i w:val="0"/>
                <w:color w:val="000000"/>
                <w:sz w:val="21"/>
              </w:rPr>
              <w:t>增强原则</w:t>
            </w:r>
          </w:p>
        </w:tc>
        <w:tc>
          <w:tcPr>
            <w:tcW w:w="6746" w:type="dxa"/>
            <w:vAlign w:val="center"/>
          </w:tcPr>
          <w:p w14:paraId="20C2DAB0">
            <w:pPr>
              <w:pStyle w:val="32"/>
              <w:keepNext/>
              <w:keepLines/>
              <w:spacing w:before="0" w:after="0" w:line="276" w:lineRule="auto"/>
              <w:ind w:left="0" w:right="0" w:firstLine="0"/>
              <w:jc w:val="left"/>
            </w:pPr>
            <w:r>
              <w:rPr>
                <w:rFonts w:ascii="Times New Roman" w:hAnsi="Times New Roman" w:eastAsia="宋体"/>
                <w:b w:val="0"/>
                <w:i w:val="0"/>
                <w:color w:val="000000"/>
                <w:sz w:val="21"/>
              </w:rPr>
              <w:t>三个切片及标签同步变换  关闭颜色扰动与通道交换</w:t>
            </w:r>
          </w:p>
        </w:tc>
      </w:tr>
      <w:tr w14:paraId="1FB723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100" w:type="dxa"/>
            <w:bottom w:w="75" w:type="dxa"/>
            <w:right w:w="100" w:type="dxa"/>
          </w:tblCellMar>
        </w:tblPrEx>
        <w:trPr>
          <w:cantSplit/>
          <w:jc w:val="center"/>
        </w:trPr>
        <w:tc>
          <w:tcPr>
            <w:tcW w:w="2324" w:type="dxa"/>
            <w:vAlign w:val="center"/>
          </w:tcPr>
          <w:p w14:paraId="026E1E63">
            <w:pPr>
              <w:pStyle w:val="32"/>
              <w:keepNext w:val="0"/>
              <w:keepLines/>
              <w:spacing w:before="0" w:after="0" w:line="276" w:lineRule="auto"/>
              <w:ind w:left="0" w:right="0" w:firstLine="0"/>
              <w:jc w:val="left"/>
            </w:pPr>
            <w:r>
              <w:rPr>
                <w:rFonts w:ascii="Times New Roman" w:hAnsi="Times New Roman" w:eastAsia="宋体"/>
                <w:b w:val="0"/>
                <w:i w:val="0"/>
                <w:color w:val="000000"/>
                <w:sz w:val="21"/>
              </w:rPr>
              <w:t>权重选择</w:t>
            </w:r>
          </w:p>
        </w:tc>
        <w:tc>
          <w:tcPr>
            <w:tcW w:w="6746" w:type="dxa"/>
            <w:vAlign w:val="center"/>
          </w:tcPr>
          <w:p w14:paraId="55906673">
            <w:pPr>
              <w:pStyle w:val="32"/>
              <w:keepNext w:val="0"/>
              <w:keepLines/>
              <w:spacing w:before="0" w:after="0" w:line="276" w:lineRule="auto"/>
              <w:ind w:left="0" w:right="0" w:firstLine="0"/>
              <w:jc w:val="left"/>
            </w:pPr>
            <w:r>
              <w:rPr>
                <w:rFonts w:ascii="Times New Roman" w:hAnsi="Times New Roman" w:eastAsia="宋体"/>
                <w:b w:val="0"/>
                <w:i w:val="0"/>
                <w:color w:val="000000"/>
                <w:sz w:val="21"/>
              </w:rPr>
              <w:t>完整验证 CT 在 1 FP/scan 约束下的敏感性  最终选择第 90 轮</w:t>
            </w:r>
          </w:p>
        </w:tc>
      </w:tr>
    </w:tbl>
    <w:p w14:paraId="05A309B7">
      <w:pPr>
        <w:pStyle w:val="32"/>
        <w:jc w:val="both"/>
      </w:pPr>
      <w:r>
        <w:rPr>
          <w:rFonts w:ascii="Times New Roman" w:hAnsi="Times New Roman" w:eastAsia="宋体"/>
          <w:b w:val="0"/>
          <w:i w:val="0"/>
          <w:color w:val="000000"/>
          <w:sz w:val="24"/>
        </w:rPr>
        <w:t>训练过程中切片 mAP 用于观察检测性能，完整 CT 的结节级指标用于主权重选择。验证仅计算指标，不通过反向传播更新权重。</w:t>
      </w:r>
    </w:p>
    <w:p w14:paraId="1B9B4A6B">
      <w:pPr>
        <w:pStyle w:val="33"/>
        <w:ind w:left="0" w:firstLine="0"/>
        <w:jc w:val="left"/>
      </w:pPr>
      <w:r>
        <w:rPr>
          <w:rFonts w:ascii="Times New Roman" w:hAnsi="Times New Roman" w:eastAsia="黑体"/>
          <w:b/>
          <w:i w:val="0"/>
          <w:color w:val="000000"/>
          <w:sz w:val="24"/>
        </w:rPr>
        <w:t>2.4.3 YOLO11s 训练程序流程</w:t>
      </w:r>
    </w:p>
    <w:p w14:paraId="34B7C786">
      <w:pPr>
        <w:pStyle w:val="32"/>
        <w:keepNext/>
        <w:jc w:val="both"/>
      </w:pPr>
      <w:r>
        <w:rPr>
          <w:rFonts w:ascii="Times New Roman" w:hAnsi="Times New Roman" w:eastAsia="宋体"/>
          <w:b w:val="0"/>
          <w:i w:val="0"/>
          <w:color w:val="000000"/>
          <w:sz w:val="24"/>
        </w:rPr>
        <w:t>训练程序的关键控制逻辑为批次循环与轮次循环。每个训练批次依次完成前向传播、损失计算、反向传播和参数更新；验证结束后记录结果并判断是否继续训练。该流程可代替报告中的训练代码。</w:t>
      </w:r>
    </w:p>
    <w:p w14:paraId="42217C31">
      <w:pPr>
        <w:pStyle w:val="32"/>
        <w:keepNext/>
        <w:keepLines/>
        <w:spacing w:before="100" w:after="0" w:line="240" w:lineRule="auto"/>
        <w:ind w:firstLine="0"/>
        <w:jc w:val="center"/>
      </w:pPr>
      <w:r>
        <w:drawing>
          <wp:inline distT="0" distB="0" distL="0" distR="0">
            <wp:extent cx="4895850" cy="4955540"/>
            <wp:effectExtent l="0" t="0" r="0" b="0"/>
            <wp:docPr id="16" name="Figure 6" descr="YOLO11s 训练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6" descr="YOLO11s 训练程序流程图"/>
                    <pic:cNvPicPr>
                      <a:picLocks noChangeAspect="1"/>
                    </pic:cNvPicPr>
                  </pic:nvPicPr>
                  <pic:blipFill>
                    <a:blip r:embed="rId10"/>
                    <a:srcRect r="123" b="485"/>
                    <a:stretch>
                      <a:fillRect/>
                    </a:stretch>
                  </pic:blipFill>
                  <pic:spPr>
                    <a:xfrm>
                      <a:off x="0" y="0"/>
                      <a:ext cx="4896000" cy="4956073"/>
                    </a:xfrm>
                    <a:prstGeom prst="rect">
                      <a:avLst/>
                    </a:prstGeom>
                    <a:noFill/>
                    <a:ln>
                      <a:noFill/>
                    </a:ln>
                  </pic:spPr>
                </pic:pic>
              </a:graphicData>
            </a:graphic>
          </wp:inline>
        </w:drawing>
      </w:r>
    </w:p>
    <w:p w14:paraId="35CC1492">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6</w:t>
      </w:r>
      <w:r>
        <w:fldChar w:fldCharType="end"/>
      </w:r>
      <w:r>
        <w:rPr>
          <w:rFonts w:ascii="Times New Roman" w:hAnsi="Times New Roman" w:eastAsia="宋体"/>
          <w:b w:val="0"/>
          <w:i w:val="0"/>
          <w:color w:val="000000"/>
          <w:sz w:val="22"/>
        </w:rPr>
        <w:t xml:space="preserve">  YOLO11s 训练程序流程图</w:t>
      </w:r>
    </w:p>
    <w:p w14:paraId="1DD39803">
      <w:pPr>
        <w:pStyle w:val="32"/>
        <w:jc w:val="both"/>
      </w:pPr>
      <w:r>
        <w:rPr>
          <w:rFonts w:ascii="Times New Roman" w:hAnsi="Times New Roman" w:eastAsia="宋体"/>
          <w:b w:val="0"/>
          <w:i w:val="0"/>
          <w:color w:val="000000"/>
          <w:sz w:val="24"/>
        </w:rPr>
        <w:t>停止条件包括达到轮次上限或满足预设的完整 CT 评价早停规则。保存的训练结束权重与最终选用权重可以不同，本设计采用完整 CT 评价表现更好的第 90 轮权重。</w:t>
      </w:r>
    </w:p>
    <w:p w14:paraId="1C1CF485">
      <w:pPr>
        <w:pStyle w:val="3"/>
        <w:ind w:left="0" w:firstLine="0"/>
        <w:jc w:val="left"/>
      </w:pPr>
      <w:r>
        <w:rPr>
          <w:rFonts w:ascii="Times New Roman" w:hAnsi="Times New Roman" w:eastAsia="黑体"/>
          <w:b/>
          <w:i w:val="0"/>
          <w:color w:val="000000"/>
          <w:sz w:val="28"/>
        </w:rPr>
        <w:t>2.5 完整体积推理与候选合并算法</w:t>
      </w:r>
    </w:p>
    <w:p w14:paraId="546B696E">
      <w:pPr>
        <w:pStyle w:val="32"/>
        <w:jc w:val="both"/>
      </w:pPr>
      <w:r>
        <w:rPr>
          <w:rFonts w:ascii="Times New Roman" w:hAnsi="Times New Roman" w:eastAsia="宋体"/>
          <w:b w:val="0"/>
          <w:i w:val="0"/>
          <w:color w:val="000000"/>
          <w:sz w:val="24"/>
        </w:rPr>
        <w:t>应用阶段对完整 CT 的每个中心层构建三切片输入，使用训练完成的 YOLO11s 权重生成二维候选。推理只执行前向传播，不计算用于更新权重的梯度。候选起始评分阈值为 0.01，切片内 NMS 的 IoU 阈值为 0.70，单层候选上限为 300。</w:t>
      </w:r>
    </w:p>
    <w:p w14:paraId="3E452D0F">
      <w:pPr>
        <w:pStyle w:val="33"/>
        <w:ind w:left="0" w:firstLine="0"/>
        <w:jc w:val="left"/>
      </w:pPr>
      <w:r>
        <w:rPr>
          <w:rFonts w:ascii="Times New Roman" w:hAnsi="Times New Roman" w:eastAsia="黑体"/>
          <w:b/>
          <w:i w:val="0"/>
          <w:color w:val="000000"/>
          <w:sz w:val="24"/>
        </w:rPr>
        <w:t>2.5.1 切片内非极大值抑制</w:t>
      </w:r>
    </w:p>
    <w:p w14:paraId="3655A4C6">
      <w:pPr>
        <w:pStyle w:val="32"/>
        <w:keepNext/>
        <w:jc w:val="both"/>
      </w:pPr>
      <w:r>
        <w:rPr>
          <w:rFonts w:ascii="Times New Roman" w:hAnsi="Times New Roman" w:eastAsia="宋体"/>
          <w:b w:val="0"/>
          <w:i w:val="0"/>
          <w:color w:val="000000"/>
          <w:sz w:val="24"/>
        </w:rPr>
        <w:t>同一目标附近可能产生多个重叠框。非极大值抑制 NMS 先选出评分最高的框 Bm，再删除与其高度重叠的候选，随后对余下框重复操作：</w:t>
      </w:r>
    </w:p>
    <w:p w14:paraId="6405C7F2">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
          <m:rPr/>
          <w:rPr>
            <w:rFonts w:ascii="Cambria Math" w:hAnsi="Cambria Math"/>
          </w:rPr>
          <m:t xml:space="preserve">remove </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if IoU(</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 xml:space="preserve">) &gt; </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NMS</m:t>
            </m:r>
            <m:ctrlPr>
              <w:rPr>
                <w:rFonts w:ascii="Cambria Math" w:hAnsi="Cambria Math"/>
              </w:rPr>
            </m:ctrlPr>
          </m:sub>
        </m:sSub>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10</w:t>
      </w:r>
      <w:r>
        <w:fldChar w:fldCharType="end"/>
      </w:r>
      <w:r>
        <w:rPr>
          <w:rFonts w:ascii="Times New Roman" w:hAnsi="Times New Roman" w:eastAsia="宋体"/>
          <w:b w:val="0"/>
          <w:i w:val="0"/>
          <w:color w:val="000000"/>
          <w:sz w:val="22"/>
        </w:rPr>
        <w:t>）</w:t>
      </w:r>
    </w:p>
    <w:p w14:paraId="713D9D2B">
      <w:pPr>
        <w:pStyle w:val="32"/>
        <w:jc w:val="both"/>
      </w:pPr>
      <w:r>
        <w:rPr>
          <w:rFonts w:ascii="Times New Roman" w:hAnsi="Times New Roman" w:eastAsia="宋体"/>
          <w:b w:val="0"/>
          <w:i w:val="0"/>
          <w:color w:val="000000"/>
          <w:sz w:val="24"/>
        </w:rPr>
        <w:t>NMS 解决同一切片内重叠框的重复输出问题。它不判断影像是否为真实结节，也不能直接消除血管等结构造成的假阳性。此类候选需要局部分类与阈值筛选进一步判别。</w:t>
      </w:r>
    </w:p>
    <w:p w14:paraId="12ED39DD">
      <w:pPr>
        <w:pStyle w:val="33"/>
        <w:ind w:left="0" w:firstLine="0"/>
        <w:jc w:val="left"/>
      </w:pPr>
      <w:r>
        <w:rPr>
          <w:rFonts w:ascii="Times New Roman" w:hAnsi="Times New Roman" w:eastAsia="黑体"/>
          <w:b/>
          <w:i w:val="0"/>
          <w:color w:val="000000"/>
          <w:sz w:val="24"/>
        </w:rPr>
        <w:t>2.5.2 毫米空间的跨层合并</w:t>
      </w:r>
    </w:p>
    <w:p w14:paraId="297E8EEF">
      <w:pPr>
        <w:pStyle w:val="32"/>
        <w:keepNext/>
        <w:jc w:val="both"/>
      </w:pPr>
      <w:r>
        <w:rPr>
          <w:rFonts w:ascii="Times New Roman" w:hAnsi="Times New Roman" w:eastAsia="宋体"/>
          <w:b w:val="0"/>
          <w:i w:val="0"/>
          <w:color w:val="000000"/>
          <w:sz w:val="24"/>
        </w:rPr>
        <w:t>相邻层检测到同一结节时，会产生多个二维候选。先将各候选中心映射到 CT 的三维毫米坐标，再按 YOLO 评分从高到低选取尚未分组的种子。设种子中心为 pm，候选中心为 pi，则本设计的归组条件为：</w:t>
      </w:r>
    </w:p>
    <w:p w14:paraId="51EFF626">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ad>
          <m:radPr>
            <m:degHide m:val="1"/>
            <m:ctrlPr>
              <w:rPr>
                <w:rFonts w:ascii="Cambria Math" w:hAnsi="Cambria Math"/>
              </w:rPr>
            </m:ctrlPr>
          </m:radPr>
          <m:deg>
            <m:ctrlPr>
              <w:rPr>
                <w:rFonts w:ascii="Cambria Math" w:hAnsi="Cambria Math"/>
              </w:rPr>
            </m:ctrlPr>
          </m:deg>
          <m:e>
            <m:nary>
              <m:naryPr>
                <m:chr m:val="∑"/>
                <m:limLoc m:val="subSup"/>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3</m:t>
                </m:r>
                <m:ctrlPr>
                  <w:rPr>
                    <w:rFonts w:ascii="Cambria Math" w:hAnsi="Cambria Math"/>
                  </w:rPr>
                </m:ctrlPr>
              </m:sup>
              <m:e>
                <m:sSup>
                  <m:sSupPr>
                    <m:ctrlPr>
                      <w:rPr>
                        <w:rFonts w:ascii="Cambria Math" w:hAnsi="Cambria Math"/>
                      </w:rPr>
                    </m:ctrlPr>
                  </m:sSupPr>
                  <m:e>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m,k</m:t>
                        </m:r>
                        <m:ctrlPr>
                          <w:rPr>
                            <w:rFonts w:ascii="Cambria Math" w:hAnsi="Cambria Math"/>
                          </w:rPr>
                        </m:ctrlPr>
                      </m:sub>
                    </m:sSub>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r>
          <m:rPr/>
          <w:rPr>
            <w:rFonts w:ascii="Cambria Math" w:hAnsi="Cambria Math"/>
          </w:rPr>
          <m:t xml:space="preserve"> ≤ 3 mm</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11</w:t>
      </w:r>
      <w:r>
        <w:fldChar w:fldCharType="end"/>
      </w:r>
      <w:r>
        <w:rPr>
          <w:rFonts w:ascii="Times New Roman" w:hAnsi="Times New Roman" w:eastAsia="宋体"/>
          <w:b w:val="0"/>
          <w:i w:val="0"/>
          <w:color w:val="000000"/>
          <w:sz w:val="22"/>
        </w:rPr>
        <w:t>）</w:t>
      </w:r>
    </w:p>
    <w:p w14:paraId="34525984">
      <w:pPr>
        <w:pStyle w:val="32"/>
        <w:keepNext/>
        <w:jc w:val="both"/>
      </w:pPr>
      <w:r>
        <w:rPr>
          <w:rFonts w:ascii="Times New Roman" w:hAnsi="Times New Roman" w:eastAsia="宋体"/>
          <w:b w:val="0"/>
          <w:i w:val="0"/>
          <w:color w:val="000000"/>
          <w:sz w:val="24"/>
        </w:rPr>
        <w:t>将满足条件且尚未分组的候选归入种子组，组中心保持为种子中心。该规则按种子距离分组，不采用连续相连即可加入的链式合并，因此可避免组范围无约束地延长。组评分为各成员相应路径评分的最大值：</w:t>
      </w:r>
    </w:p>
    <w:p w14:paraId="06A3EF28">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group</m:t>
            </m:r>
            <m:ctrlPr>
              <w:rPr>
                <w:rFonts w:ascii="Cambria Math" w:hAnsi="Cambria Math"/>
              </w:rPr>
            </m:ctrlPr>
          </m:sub>
        </m:sSub>
        <m:r>
          <m:rPr/>
          <w:rPr>
            <w:rFonts w:ascii="Cambria Math" w:hAnsi="Cambria Math"/>
          </w:rPr>
          <m:t xml:space="preserve"> = max { </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 xml:space="preserve"> : j ∈ group }</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12</w:t>
      </w:r>
      <w:r>
        <w:fldChar w:fldCharType="end"/>
      </w:r>
      <w:r>
        <w:rPr>
          <w:rFonts w:ascii="Times New Roman" w:hAnsi="Times New Roman" w:eastAsia="宋体"/>
          <w:b w:val="0"/>
          <w:i w:val="0"/>
          <w:color w:val="000000"/>
          <w:sz w:val="22"/>
        </w:rPr>
        <w:t>）</w:t>
      </w:r>
    </w:p>
    <w:p w14:paraId="7BA36F0B">
      <w:pPr>
        <w:pStyle w:val="32"/>
        <w:jc w:val="both"/>
      </w:pPr>
      <w:r>
        <w:rPr>
          <w:rFonts w:ascii="Times New Roman" w:hAnsi="Times New Roman" w:eastAsia="宋体"/>
          <w:b w:val="0"/>
          <w:i w:val="0"/>
          <w:color w:val="000000"/>
          <w:sz w:val="24"/>
        </w:rPr>
        <w:t>对主检测路径，sj 为 YOLO 评分；对二阶段对照路径，sj 可为 YOLO 与 ResNet18 的乘积评分。分组保持相同空间规则，使两条路径能进行一致的结节级评价。</w:t>
      </w:r>
    </w:p>
    <w:p w14:paraId="48118B8E">
      <w:pPr>
        <w:pStyle w:val="32"/>
        <w:jc w:val="both"/>
      </w:pPr>
      <w:r>
        <w:rPr>
          <w:rFonts w:ascii="Times New Roman" w:hAnsi="Times New Roman" w:eastAsia="宋体"/>
          <w:b w:val="0"/>
          <w:i w:val="0"/>
          <w:color w:val="000000"/>
          <w:sz w:val="24"/>
        </w:rPr>
        <w:t>3 mm 是工程后处理参数，不表示结节直径。过近的不同结节可能被合并，较长结节也可能产生多个候选组。因此需要保留成员位置用于结果核对。跨层合并属于候选关联，不产生结节轮廓或精确三维分割。</w:t>
      </w:r>
    </w:p>
    <w:p w14:paraId="38621FCF">
      <w:pPr>
        <w:pStyle w:val="3"/>
        <w:ind w:left="0" w:firstLine="0"/>
        <w:jc w:val="left"/>
      </w:pPr>
      <w:r>
        <w:rPr>
          <w:rFonts w:ascii="Times New Roman" w:hAnsi="Times New Roman" w:eastAsia="黑体"/>
          <w:b/>
          <w:i w:val="0"/>
          <w:color w:val="000000"/>
          <w:sz w:val="28"/>
        </w:rPr>
        <w:t>2.6 ResNet18 扩展实验</w:t>
      </w:r>
    </w:p>
    <w:p w14:paraId="1BF7BBE6">
      <w:pPr>
        <w:pStyle w:val="32"/>
        <w:jc w:val="both"/>
      </w:pPr>
      <w:r>
        <w:rPr>
          <w:rFonts w:ascii="Times New Roman" w:hAnsi="Times New Roman" w:eastAsia="宋体"/>
          <w:b w:val="0"/>
          <w:i w:val="0"/>
          <w:color w:val="000000"/>
          <w:sz w:val="24"/>
        </w:rPr>
        <w:t>扩展路径在候选中心附近裁剪固定 50 mm 物理视野，将三个相邻轴向层重采样为 3×96×96 张量，再由 ResNet18 输出结节概率。固定视野不随真实结节直径变化，避免推理时借用未知标准答案。ResNet18 采用残差结构[5]，输入归一化与训练一致。</w:t>
      </w:r>
    </w:p>
    <w:p w14:paraId="4C8AA6CB">
      <w:pPr>
        <w:pStyle w:val="33"/>
        <w:ind w:left="0" w:firstLine="0"/>
        <w:jc w:val="left"/>
      </w:pPr>
      <w:r>
        <w:rPr>
          <w:rFonts w:ascii="Times New Roman" w:hAnsi="Times New Roman" w:eastAsia="黑体"/>
          <w:b/>
          <w:i w:val="0"/>
          <w:color w:val="000000"/>
          <w:sz w:val="24"/>
        </w:rPr>
        <w:t>2.6.1 ResNet18 前向传播与反向传播</w:t>
      </w:r>
    </w:p>
    <w:p w14:paraId="7129DA9F">
      <w:pPr>
        <w:pStyle w:val="32"/>
        <w:jc w:val="both"/>
      </w:pPr>
      <w:r>
        <w:rPr>
          <w:rFonts w:ascii="Times New Roman" w:hAnsi="Times New Roman" w:eastAsia="宋体"/>
          <w:b w:val="0"/>
          <w:i w:val="0"/>
          <w:color w:val="000000"/>
          <w:sz w:val="24"/>
        </w:rPr>
        <w:t>以候选中心为基准，在三个相邻轴向层裁剪固定 50 mm 平面视野，重采样为 3×96×96 的局部张量。固定视野与真实结节直径无关，使推理无需知道标准答案。输入灰度范围和归一化参数保持与分类器训练一致。</w:t>
      </w:r>
    </w:p>
    <w:p w14:paraId="568C081B">
      <w:pPr>
        <w:pStyle w:val="32"/>
        <w:keepNext/>
        <w:jc w:val="both"/>
      </w:pPr>
      <w:r>
        <w:rPr>
          <w:rFonts w:ascii="Times New Roman" w:hAnsi="Times New Roman" w:eastAsia="宋体"/>
          <w:b w:val="0"/>
          <w:i w:val="0"/>
          <w:color w:val="000000"/>
          <w:sz w:val="24"/>
        </w:rPr>
        <w:t>经过残差特征提取后，全局平均池化将每个通道的空间响应汇总为一个值。设第 c 个通道特征为 Ac，特征图尺寸为 Hf×Wf，则：</w:t>
      </w:r>
    </w:p>
    <w:p w14:paraId="3DF45CB7">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 xml:space="preserve"> = </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f</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den>
        </m:f>
        <m:nary>
          <m:naryPr>
            <m:chr m:val="∑"/>
            <m:limLoc m:val="subSup"/>
            <m:ctrlPr>
              <w:rPr>
                <w:rFonts w:ascii="Cambria Math" w:hAnsi="Cambria Math"/>
              </w:rPr>
            </m:ctrlPr>
          </m:naryPr>
          <m:sub>
            <m:r>
              <m:rPr/>
              <w:rPr>
                <w:rFonts w:ascii="Cambria Math" w:hAnsi="Cambria Math"/>
              </w:rPr>
              <m:t>i=1</m:t>
            </m:r>
            <m:ctrlPr>
              <w:rPr>
                <w:rFonts w:ascii="Cambria Math" w:hAnsi="Cambria Math"/>
              </w:rPr>
            </m:ctrlPr>
          </m:sub>
          <m:sup>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p>
          <m:e>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c,i,j</m:t>
                    </m:r>
                    <m:ctrlPr>
                      <w:rPr>
                        <w:rFonts w:ascii="Cambria Math" w:hAnsi="Cambria Math"/>
                      </w:rPr>
                    </m:ctrlPr>
                  </m:sub>
                </m:sSub>
                <m:ctrlPr>
                  <w:rPr>
                    <w:rFonts w:ascii="Cambria Math" w:hAnsi="Cambria Math"/>
                  </w:rPr>
                </m:ctrlPr>
              </m:e>
            </m:nary>
            <m:ctrlPr>
              <w:rPr>
                <w:rFonts w:ascii="Cambria Math" w:hAnsi="Cambria Math"/>
              </w:rPr>
            </m:ctrlPr>
          </m:e>
        </m:nary>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13</w:t>
      </w:r>
      <w:r>
        <w:fldChar w:fldCharType="end"/>
      </w:r>
      <w:r>
        <w:rPr>
          <w:rFonts w:ascii="Times New Roman" w:hAnsi="Times New Roman" w:eastAsia="宋体"/>
          <w:b w:val="0"/>
          <w:i w:val="0"/>
          <w:color w:val="000000"/>
          <w:sz w:val="22"/>
        </w:rPr>
        <w:t>）</w:t>
      </w:r>
    </w:p>
    <w:p w14:paraId="04886F4B">
      <w:pPr>
        <w:pStyle w:val="32"/>
        <w:keepNext/>
        <w:jc w:val="both"/>
      </w:pPr>
      <w:r>
        <w:rPr>
          <w:rFonts w:ascii="Times New Roman" w:hAnsi="Times New Roman" w:eastAsia="宋体"/>
          <w:b w:val="0"/>
          <w:i w:val="0"/>
          <w:color w:val="000000"/>
          <w:sz w:val="24"/>
        </w:rPr>
        <w:t>512 维汇总特征经全连接层得到两个 logit a0、a1，分别对应非结节和结节。Softmax 将其转换为两类评分，取结节评分 p1：</w:t>
      </w:r>
    </w:p>
    <w:p w14:paraId="4BBBAD76">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 xml:space="preserve"> = </m:t>
        </m:r>
        <m:f>
          <m:fPr>
            <m:ctrlPr>
              <w:rPr>
                <w:rFonts w:ascii="Cambria Math" w:hAnsi="Cambria Math"/>
              </w:rPr>
            </m:ctrlPr>
          </m:fPr>
          <m:num>
            <m:sSup>
              <m:sSupPr>
                <m:ctrlPr>
                  <w:rPr>
                    <w:rFonts w:ascii="Cambria Math" w:hAnsi="Cambria Math"/>
                  </w:rPr>
                </m:ctrlPr>
              </m:sSupPr>
              <m:e>
                <m:r>
                  <m:rPr/>
                  <w:rPr>
                    <w:rFonts w:ascii="Cambria Math" w:hAnsi="Cambria Math"/>
                  </w:rPr>
                  <m:t>e</m:t>
                </m:r>
                <m:ctrlPr>
                  <w:rPr>
                    <w:rFonts w:ascii="Cambria Math" w:hAnsi="Cambria Math"/>
                  </w:rPr>
                </m:ctrlPr>
              </m:e>
              <m:sup>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rPr>
                  <m:t>e</m:t>
                </m:r>
                <m:ctrlPr>
                  <w:rPr>
                    <w:rFonts w:ascii="Cambria Math" w:hAnsi="Cambria Math"/>
                  </w:rPr>
                </m:ctrlPr>
              </m:e>
              <m:sup>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sup>
            </m:sSup>
            <m:r>
              <m:rPr/>
              <w:rPr>
                <w:rFonts w:ascii="Cambria Math" w:hAnsi="Cambria Math"/>
              </w:rPr>
              <m:t xml:space="preserve"> + </m:t>
            </m:r>
            <m:sSup>
              <m:sSupPr>
                <m:ctrlPr>
                  <w:rPr>
                    <w:rFonts w:ascii="Cambria Math" w:hAnsi="Cambria Math"/>
                  </w:rPr>
                </m:ctrlPr>
              </m:sSupPr>
              <m:e>
                <m:r>
                  <m:rPr/>
                  <w:rPr>
                    <w:rFonts w:ascii="Cambria Math" w:hAnsi="Cambria Math"/>
                  </w:rPr>
                  <m:t>e</m:t>
                </m:r>
                <m:ctrlPr>
                  <w:rPr>
                    <w:rFonts w:ascii="Cambria Math" w:hAnsi="Cambria Math"/>
                  </w:rPr>
                </m:ctrlPr>
              </m:e>
              <m:sup>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sup>
            </m:sSup>
            <m:ctrlPr>
              <w:rPr>
                <w:rFonts w:ascii="Cambria Math" w:hAnsi="Cambria Math"/>
              </w:rPr>
            </m:ctrlPr>
          </m:den>
        </m:f>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14</w:t>
      </w:r>
      <w:r>
        <w:fldChar w:fldCharType="end"/>
      </w:r>
      <w:r>
        <w:rPr>
          <w:rFonts w:ascii="Times New Roman" w:hAnsi="Times New Roman" w:eastAsia="宋体"/>
          <w:b w:val="0"/>
          <w:i w:val="0"/>
          <w:color w:val="000000"/>
          <w:sz w:val="22"/>
        </w:rPr>
        <w:t>）</w:t>
      </w:r>
    </w:p>
    <w:p w14:paraId="5E4DC497">
      <w:pPr>
        <w:pStyle w:val="32"/>
        <w:keepNext/>
        <w:jc w:val="both"/>
      </w:pPr>
      <w:r>
        <w:rPr>
          <w:rFonts w:ascii="Times New Roman" w:hAnsi="Times New Roman" w:eastAsia="宋体"/>
          <w:b w:val="0"/>
          <w:i w:val="0"/>
          <w:color w:val="000000"/>
          <w:sz w:val="24"/>
        </w:rPr>
        <w:t>训练采用两类交叉熵；现有分类器使用 0.05 的标签平滑。设真实类别为 y，平滑系数为 εs，类别数为 2，则目标分布与平均损失写为：</w:t>
      </w:r>
    </w:p>
    <w:p w14:paraId="0D8D909E">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i,c</m:t>
            </m:r>
            <m:ctrlPr>
              <w:rPr>
                <w:rFonts w:ascii="Cambria Math" w:hAnsi="Cambria Math"/>
              </w:rPr>
            </m:ctrlPr>
          </m:sub>
        </m:sSub>
        <m:r>
          <m:rPr/>
          <w:rPr>
            <w:rFonts w:ascii="Cambria Math" w:hAnsi="Cambria Math"/>
          </w:rPr>
          <m:t xml:space="preserve"> = (1−</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 1[</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=c] + </m:t>
        </m:r>
        <m:f>
          <m:fPr>
            <m:ctrlPr>
              <w:rPr>
                <w:rFonts w:ascii="Cambria Math" w:hAnsi="Cambria Math"/>
              </w:rPr>
            </m:ctrlPr>
          </m:fPr>
          <m:num>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15</w:t>
      </w:r>
      <w:r>
        <w:fldChar w:fldCharType="end"/>
      </w:r>
      <w:r>
        <w:rPr>
          <w:rFonts w:ascii="Times New Roman" w:hAnsi="Times New Roman" w:eastAsia="宋体"/>
          <w:b w:val="0"/>
          <w:i w:val="0"/>
          <w:color w:val="000000"/>
          <w:sz w:val="22"/>
        </w:rPr>
        <w:t>）</w:t>
      </w:r>
    </w:p>
    <w:p w14:paraId="785991A4">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ResNet</m:t>
            </m:r>
            <m:ctrlPr>
              <w:rPr>
                <w:rFonts w:ascii="Cambria Math" w:hAnsi="Cambria Math"/>
              </w:rPr>
            </m:ctrlPr>
          </m:sub>
        </m:sSub>
        <m:r>
          <m:rPr/>
          <w:rPr>
            <w:rFonts w:ascii="Cambria Math" w:hAnsi="Cambria Math"/>
          </w:rPr>
          <m:t xml:space="preserve"> = −</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subSup"/>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nary>
              <m:naryPr>
                <m:chr m:val="∑"/>
                <m:limLoc m:val="subSup"/>
                <m:ctrlPr>
                  <w:rPr>
                    <w:rFonts w:ascii="Cambria Math" w:hAnsi="Cambria Math"/>
                  </w:rPr>
                </m:ctrlPr>
              </m:naryPr>
              <m:sub>
                <m:r>
                  <m:rPr/>
                  <w:rPr>
                    <w:rFonts w:ascii="Cambria Math" w:hAnsi="Cambria Math"/>
                  </w:rPr>
                  <m:t>c=0</m:t>
                </m:r>
                <m:ctrlPr>
                  <w:rPr>
                    <w:rFonts w:ascii="Cambria Math" w:hAnsi="Cambria Math"/>
                  </w:rPr>
                </m:ctrlPr>
              </m:sub>
              <m:sup>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i,c</m:t>
                    </m:r>
                    <m:ctrlPr>
                      <w:rPr>
                        <w:rFonts w:ascii="Cambria Math" w:hAnsi="Cambria Math"/>
                      </w:rPr>
                    </m:ctrlPr>
                  </m:sub>
                </m:sSub>
                <m:r>
                  <m:rPr/>
                  <w:rPr>
                    <w:rFonts w:ascii="Cambria Math" w:hAnsi="Cambria Math"/>
                  </w:rPr>
                  <m:t xml:space="preserve"> ln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i,c</m:t>
                    </m:r>
                    <m:ctrlPr>
                      <w:rPr>
                        <w:rFonts w:ascii="Cambria Math" w:hAnsi="Cambria Math"/>
                      </w:rPr>
                    </m:ctrlPr>
                  </m:sub>
                </m:sSub>
                <m:ctrlPr>
                  <w:rPr>
                    <w:rFonts w:ascii="Cambria Math" w:hAnsi="Cambria Math"/>
                  </w:rPr>
                </m:ctrlPr>
              </m:e>
            </m:nary>
            <m:ctrlPr>
              <w:rPr>
                <w:rFonts w:ascii="Cambria Math" w:hAnsi="Cambria Math"/>
              </w:rPr>
            </m:ctrlPr>
          </m:e>
        </m:nary>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16</w:t>
      </w:r>
      <w:r>
        <w:fldChar w:fldCharType="end"/>
      </w:r>
      <w:r>
        <w:rPr>
          <w:rFonts w:ascii="Times New Roman" w:hAnsi="Times New Roman" w:eastAsia="宋体"/>
          <w:b w:val="0"/>
          <w:i w:val="0"/>
          <w:color w:val="000000"/>
          <w:sz w:val="22"/>
        </w:rPr>
        <w:t>）</w:t>
      </w:r>
    </w:p>
    <w:p w14:paraId="568CF103">
      <w:pPr>
        <w:pStyle w:val="32"/>
        <w:jc w:val="both"/>
      </w:pPr>
      <w:r>
        <w:rPr>
          <w:rFonts w:ascii="Times New Roman" w:hAnsi="Times New Roman" w:eastAsia="宋体"/>
          <w:b w:val="0"/>
          <w:i w:val="0"/>
          <w:color w:val="000000"/>
          <w:sz w:val="24"/>
        </w:rPr>
        <w:t>式中 N 为批次样本数，指示函数 1[y=c] 在条件成立时取 1。模型若把非结节赋予较高结节评分，会产生较大的分类损失；反向传播将这一误差传回特征提取层。</w:t>
      </w:r>
    </w:p>
    <w:p w14:paraId="28B38182">
      <w:pPr>
        <w:pStyle w:val="32"/>
        <w:keepNext/>
        <w:jc w:val="both"/>
      </w:pPr>
      <w:r>
        <w:rPr>
          <w:rFonts w:ascii="Times New Roman" w:hAnsi="Times New Roman" w:eastAsia="宋体"/>
          <w:b w:val="0"/>
          <w:i w:val="0"/>
          <w:color w:val="000000"/>
          <w:sz w:val="24"/>
        </w:rPr>
        <w:t>对于恒等捷径的残差块，令 u=x+F(x)，则按链式法则：</w:t>
      </w:r>
    </w:p>
    <w:p w14:paraId="02C37EFC">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f>
          <m:fPr>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∂x</m:t>
            </m:r>
            <m:ctrlPr>
              <w:rPr>
                <w:rFonts w:ascii="Cambria Math" w:hAnsi="Cambria Math"/>
              </w:rPr>
            </m:ctrlPr>
          </m:den>
        </m:f>
        <m:r>
          <m:rPr/>
          <w:rPr>
            <w:rFonts w:ascii="Cambria Math" w:hAnsi="Cambria Math"/>
          </w:rPr>
          <m:t xml:space="preserve"> = </m:t>
        </m:r>
        <m:sSup>
          <m:sSupPr>
            <m:ctrlPr>
              <w:rPr>
                <w:rFonts w:ascii="Cambria Math" w:hAnsi="Cambria Math"/>
              </w:rPr>
            </m:ctrlPr>
          </m:sSupPr>
          <m:e>
            <m:r>
              <m:rPr/>
              <w:rPr>
                <w:rFonts w:ascii="Cambria Math" w:hAnsi="Cambria Math"/>
              </w:rPr>
              <m:t xml:space="preserve">(I + </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∂x</m:t>
                </m:r>
                <m:ctrlPr>
                  <w:rPr>
                    <w:rFonts w:ascii="Cambria Math" w:hAnsi="Cambria Math"/>
                  </w:rPr>
                </m:ctrlPr>
              </m:den>
            </m:f>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 xml:space="preserve"> [</m:t>
        </m:r>
        <m:f>
          <m:fPr>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∂y</m:t>
            </m:r>
            <m:ctrlPr>
              <w:rPr>
                <w:rFonts w:ascii="Cambria Math" w:hAnsi="Cambria Math"/>
              </w:rPr>
            </m:ctrlPr>
          </m:den>
        </m:f>
        <m:r>
          <m:rPr/>
          <w:rPr>
            <w:rFonts w:ascii="Cambria Math" w:hAnsi="Cambria Math"/>
          </w:rPr>
          <m:t xml:space="preserve"> ⊙ ReLU'(u)]</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17</w:t>
      </w:r>
      <w:r>
        <w:fldChar w:fldCharType="end"/>
      </w:r>
      <w:r>
        <w:rPr>
          <w:rFonts w:ascii="Times New Roman" w:hAnsi="Times New Roman" w:eastAsia="宋体"/>
          <w:b w:val="0"/>
          <w:i w:val="0"/>
          <w:color w:val="000000"/>
          <w:sz w:val="22"/>
        </w:rPr>
        <w:t>）</w:t>
      </w:r>
    </w:p>
    <w:p w14:paraId="0158FC7D">
      <w:pPr>
        <w:pStyle w:val="32"/>
        <w:jc w:val="both"/>
      </w:pPr>
      <w:r>
        <w:rPr>
          <w:rFonts w:ascii="Times New Roman" w:hAnsi="Times New Roman" w:eastAsia="宋体"/>
          <w:b w:val="0"/>
          <w:i w:val="0"/>
          <w:color w:val="000000"/>
          <w:sz w:val="24"/>
        </w:rPr>
        <w:t>I 表示恒等映射的雅可比矩阵。捷径提供了不必穿过残差分支全部变换的梯度通路，使较深网络更容易优化，缓解深度增加引起的训练退化。投影捷径时，I 换为投影的雅可比矩阵。残差连接改善训练条件；假阳性削减则来自有监督的结节与非结节判别，两者作用应分别说明。</w:t>
      </w:r>
    </w:p>
    <w:p w14:paraId="190A1C85">
      <w:pPr>
        <w:pStyle w:val="33"/>
        <w:ind w:left="0" w:firstLine="0"/>
        <w:jc w:val="left"/>
      </w:pPr>
      <w:r>
        <w:rPr>
          <w:rFonts w:ascii="Times New Roman" w:hAnsi="Times New Roman" w:eastAsia="黑体"/>
          <w:b/>
          <w:i w:val="0"/>
          <w:color w:val="000000"/>
          <w:sz w:val="24"/>
        </w:rPr>
        <w:t>2.6.2 ResNet18 假阳性削减程序流程</w:t>
      </w:r>
    </w:p>
    <w:p w14:paraId="3635B516">
      <w:pPr>
        <w:pStyle w:val="32"/>
        <w:keepNext/>
        <w:jc w:val="both"/>
      </w:pPr>
      <w:r>
        <w:rPr>
          <w:rFonts w:ascii="Times New Roman" w:hAnsi="Times New Roman" w:eastAsia="宋体"/>
          <w:b w:val="0"/>
          <w:i w:val="0"/>
          <w:color w:val="000000"/>
          <w:sz w:val="24"/>
        </w:rPr>
        <w:t>以下流程显示网页扩展模式的局部分类与阈值控制。完整 CT 离线对照可保留全部分类评分，按乘积评分形成 FROC 操作点；两者均应使用相同的局部裁剪和输入归一化。</w:t>
      </w:r>
    </w:p>
    <w:p w14:paraId="22AC3CB1">
      <w:pPr>
        <w:pStyle w:val="32"/>
        <w:keepNext/>
        <w:keepLines/>
        <w:spacing w:before="100" w:after="0" w:line="240" w:lineRule="auto"/>
        <w:ind w:firstLine="0"/>
        <w:jc w:val="center"/>
      </w:pPr>
      <w:r>
        <w:drawing>
          <wp:inline distT="0" distB="0" distL="0" distR="0">
            <wp:extent cx="4895850" cy="4391660"/>
            <wp:effectExtent l="0" t="0" r="0" b="10160"/>
            <wp:docPr id="21" name="Figure 7" descr="ResNet18 候选分类与假阳性削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7" descr="ResNet18 候选分类与假阳性削减流程图"/>
                    <pic:cNvPicPr>
                      <a:picLocks noChangeAspect="1"/>
                    </pic:cNvPicPr>
                  </pic:nvPicPr>
                  <pic:blipFill>
                    <a:blip r:embed="rId11"/>
                    <a:stretch>
                      <a:fillRect/>
                    </a:stretch>
                  </pic:blipFill>
                  <pic:spPr>
                    <a:xfrm>
                      <a:off x="0" y="0"/>
                      <a:ext cx="4896000" cy="4392000"/>
                    </a:xfrm>
                    <a:prstGeom prst="rect">
                      <a:avLst/>
                    </a:prstGeom>
                    <a:noFill/>
                    <a:ln w="9525">
                      <a:noFill/>
                    </a:ln>
                  </pic:spPr>
                </pic:pic>
              </a:graphicData>
            </a:graphic>
          </wp:inline>
        </w:drawing>
      </w:r>
    </w:p>
    <w:p w14:paraId="751640E4">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7</w:t>
      </w:r>
      <w:r>
        <w:fldChar w:fldCharType="end"/>
      </w:r>
      <w:r>
        <w:rPr>
          <w:rFonts w:ascii="Times New Roman" w:hAnsi="Times New Roman" w:eastAsia="宋体"/>
          <w:b w:val="0"/>
          <w:i w:val="0"/>
          <w:color w:val="000000"/>
          <w:sz w:val="22"/>
        </w:rPr>
        <w:t xml:space="preserve">  ResNet18 候选分类与假阳性削减流程图</w:t>
      </w:r>
    </w:p>
    <w:p w14:paraId="608F03CC">
      <w:pPr>
        <w:pStyle w:val="2"/>
        <w:pageBreakBefore/>
        <w:ind w:left="0" w:firstLine="0"/>
        <w:jc w:val="left"/>
      </w:pPr>
      <w:r>
        <w:rPr>
          <w:rFonts w:ascii="Times New Roman" w:hAnsi="Times New Roman" w:eastAsia="黑体"/>
          <w:b/>
          <w:i w:val="0"/>
          <w:color w:val="000000"/>
          <w:sz w:val="32"/>
        </w:rPr>
        <w:t>三、设计结果</w:t>
      </w:r>
    </w:p>
    <w:p w14:paraId="148FFE7A">
      <w:pPr>
        <w:pStyle w:val="3"/>
        <w:ind w:left="0" w:firstLine="0"/>
        <w:jc w:val="left"/>
      </w:pPr>
      <w:r>
        <w:rPr>
          <w:rFonts w:ascii="Times New Roman" w:hAnsi="Times New Roman" w:eastAsia="黑体"/>
          <w:b/>
          <w:i w:val="0"/>
          <w:color w:val="000000"/>
          <w:sz w:val="28"/>
        </w:rPr>
        <w:t>3.1 实验环境与评价定义</w:t>
      </w:r>
    </w:p>
    <w:p w14:paraId="476A3061">
      <w:pPr>
        <w:pStyle w:val="32"/>
        <w:jc w:val="both"/>
      </w:pPr>
      <w:r>
        <w:rPr>
          <w:rFonts w:ascii="Times New Roman" w:hAnsi="Times New Roman" w:eastAsia="宋体"/>
          <w:b w:val="0"/>
          <w:i w:val="0"/>
          <w:color w:val="000000"/>
          <w:sz w:val="24"/>
        </w:rPr>
        <w:t>实验在 NVIDIA GeForce RTX 4060 Laptop GPU 上执行，实际环境为 PyTorch 2.11.0+cu128、CUDA 12.8、Ultralytics 8.4.60。完整验证逐例处理 125 个 CT 体积，并核对全部 33,398 个中心层的完成记录。原始数据与冻结划分、旧模型和新模型分别记录校验值，本轮没有通过修改旧权重改变对照结果。</w:t>
      </w:r>
    </w:p>
    <w:p w14:paraId="5B5093DC">
      <w:pPr>
        <w:pStyle w:val="32"/>
        <w:jc w:val="both"/>
      </w:pPr>
      <w:r>
        <w:rPr>
          <w:rFonts w:ascii="Times New Roman" w:hAnsi="Times New Roman" w:eastAsia="宋体"/>
          <w:b w:val="0"/>
          <w:i w:val="0"/>
          <w:color w:val="000000"/>
          <w:sz w:val="24"/>
        </w:rPr>
        <w:t>设预测中心为 p，真实结节中心为 g，标注直径为 d，式（18）给出本轮的严格命中条件。重复命中同一纳入结节只贡献一个 TP，其余重复命中按官方脚本规则忽略；命中排除标注的候选不计 TP 或 FP。排除标注中直径未知的情况按评价脚本使用 10 mm 直径。未检出的纳入结节仍计入 FN 和 179 个目标的分母[2]。</w:t>
      </w:r>
    </w:p>
    <w:p w14:paraId="583664DE">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
          <m:rPr/>
          <m:t>‖p − g‖₂ &lt; d / 2</m:t>
        </m:r>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18</w:t>
      </w:r>
      <w:r>
        <w:fldChar w:fldCharType="end"/>
      </w:r>
      <w:r>
        <w:rPr>
          <w:rFonts w:ascii="Times New Roman" w:hAnsi="Times New Roman" w:eastAsia="宋体"/>
          <w:b w:val="0"/>
          <w:i w:val="0"/>
          <w:color w:val="000000"/>
          <w:sz w:val="22"/>
        </w:rPr>
        <w:t>）</w:t>
      </w:r>
    </w:p>
    <w:p w14:paraId="76459DC2">
      <w:pPr>
        <w:pStyle w:val="32"/>
        <w:jc w:val="both"/>
      </w:pPr>
      <w:r>
        <w:rPr>
          <w:rFonts w:ascii="Times New Roman" w:hAnsi="Times New Roman" w:eastAsia="宋体"/>
          <w:b w:val="0"/>
          <w:i w:val="0"/>
          <w:color w:val="000000"/>
          <w:sz w:val="24"/>
        </w:rPr>
        <w:t>敏感性也称检出率，按式（19）计算；平均误报按式（20）计算。FP/scan 是每个完整 CT 扫描的平均误报数，不是每秒或每张切片的误报数。平均不超过 1 次不表示每个病例都最多出现一个误报，某些扫描可以出现多个。</w:t>
      </w:r>
    </w:p>
    <w:p w14:paraId="2868C9A8">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
          <m:rPr/>
          <m:t>Sensitivity =</m:t>
        </m:r>
        <m:f>
          <m:fPr/>
          <m:num>
            <m:r>
              <m:rPr/>
              <m:t>TP</m:t>
            </m:r>
          </m:num>
          <m:den>
            <m:r>
              <m:rPr/>
              <m:t>TP + FN</m:t>
            </m:r>
          </m:den>
        </m:f>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19</w:t>
      </w:r>
      <w:r>
        <w:fldChar w:fldCharType="end"/>
      </w:r>
      <w:r>
        <w:rPr>
          <w:rFonts w:ascii="Times New Roman" w:hAnsi="Times New Roman" w:eastAsia="宋体"/>
          <w:b w:val="0"/>
          <w:i w:val="0"/>
          <w:color w:val="000000"/>
          <w:sz w:val="22"/>
        </w:rPr>
        <w:t>）</w:t>
      </w:r>
    </w:p>
    <w:p w14:paraId="40B8EB5B">
      <w:pPr>
        <w:pStyle w:val="32"/>
        <w:keepLines/>
        <w:tabs>
          <w:tab w:val="center" w:pos="4535"/>
          <w:tab w:val="right" w:pos="8957"/>
        </w:tabs>
        <w:spacing w:before="100" w:after="140" w:line="288" w:lineRule="auto"/>
        <w:ind w:firstLine="0"/>
        <w:jc w:val="left"/>
      </w:pPr>
      <w:r>
        <w:rPr>
          <w:rFonts w:ascii="Times New Roman" w:hAnsi="Times New Roman" w:eastAsia="宋体"/>
          <w:b w:val="0"/>
          <w:i w:val="0"/>
          <w:color w:val="000000"/>
          <w:sz w:val="24"/>
        </w:rPr>
        <w:tab/>
      </w:r>
      <m:oMath>
        <m:r>
          <m:rPr/>
          <m:t>FP/scan =</m:t>
        </m:r>
        <m:f>
          <m:fPr/>
          <m:num>
            <m:r>
              <m:rPr/>
              <m:t>总 FP</m:t>
            </m:r>
          </m:num>
          <m:den>
            <m:r>
              <m:rPr/>
              <m:t>完整 CT 数</m:t>
            </m:r>
          </m:den>
        </m:f>
      </m:oMath>
      <w:r>
        <w:rPr>
          <w:rFonts w:ascii="Times New Roman" w:hAnsi="Times New Roman" w:eastAsia="宋体"/>
          <w:b w:val="0"/>
          <w:i w:val="0"/>
          <w:color w:val="000000"/>
          <w:sz w:val="22"/>
        </w:rPr>
        <w:tab/>
      </w:r>
      <w:r>
        <w:rPr>
          <w:rFonts w:ascii="Times New Roman" w:hAnsi="Times New Roman" w:eastAsia="宋体"/>
          <w:b w:val="0"/>
          <w:i w:val="0"/>
          <w:color w:val="000000"/>
          <w:sz w:val="22"/>
        </w:rPr>
        <w:t>（</w:t>
      </w:r>
      <w:r>
        <w:fldChar w:fldCharType="begin"/>
      </w:r>
      <w:r>
        <w:instrText xml:space="preserve"> SEQ Equation \* ARABIC </w:instrText>
      </w:r>
      <w:r>
        <w:fldChar w:fldCharType="separate"/>
      </w:r>
      <w:r>
        <w:t>20</w:t>
      </w:r>
      <w:r>
        <w:fldChar w:fldCharType="end"/>
      </w:r>
      <w:r>
        <w:rPr>
          <w:rFonts w:ascii="Times New Roman" w:hAnsi="Times New Roman" w:eastAsia="宋体"/>
          <w:b w:val="0"/>
          <w:i w:val="0"/>
          <w:color w:val="000000"/>
          <w:sz w:val="22"/>
        </w:rPr>
        <w:t>）</w:t>
      </w:r>
    </w:p>
    <w:p w14:paraId="38D01B19">
      <w:pPr>
        <w:pStyle w:val="32"/>
        <w:jc w:val="both"/>
      </w:pPr>
      <w:r>
        <w:rPr>
          <w:rFonts w:ascii="Times New Roman" w:hAnsi="Times New Roman" w:eastAsia="宋体"/>
          <w:b w:val="0"/>
          <w:i w:val="0"/>
          <w:color w:val="000000"/>
          <w:sz w:val="24"/>
        </w:rPr>
        <w:t>FROC 表示不同评分阈值下敏感性与平均误报的关系。按照 LUNA16 评价定义，读取 0.125、0.25、0.5、1、2、4、8 FP/scan 七个操作点的敏感性并取平均得到 CPM[6]。本轮按完整 CT 有放回抽样 1,000 次计算置信区间，并对 Python3 迁移后的评价曲线与官方规则实现作一致性核对。</w:t>
      </w:r>
    </w:p>
    <w:p w14:paraId="61F4986E">
      <w:pPr>
        <w:pStyle w:val="3"/>
        <w:ind w:left="0" w:firstLine="0"/>
        <w:jc w:val="left"/>
      </w:pPr>
      <w:r>
        <w:rPr>
          <w:rFonts w:ascii="Times New Roman" w:hAnsi="Times New Roman" w:eastAsia="黑体"/>
          <w:b/>
          <w:i w:val="0"/>
          <w:color w:val="000000"/>
          <w:sz w:val="28"/>
        </w:rPr>
        <w:t>3.2 完整 CT 检出率变化与权重选择</w:t>
      </w:r>
    </w:p>
    <w:p w14:paraId="2601D813">
      <w:pPr>
        <w:pStyle w:val="32"/>
        <w:keepNext/>
        <w:keepLines/>
        <w:spacing w:before="100" w:after="0" w:line="240" w:lineRule="auto"/>
        <w:ind w:firstLine="0"/>
        <w:jc w:val="center"/>
      </w:pPr>
      <w:r>
        <w:drawing>
          <wp:inline distT="0" distB="0" distL="0" distR="0">
            <wp:extent cx="5687695" cy="3305810"/>
            <wp:effectExtent l="0" t="0" r="6350" b="5080"/>
            <wp:docPr id="3" name="Figure 8" descr="完整 CT 在平均误报不超过 1 FP/scan 时的检出率变化"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8" descr="完整 CT 在平均误报不超过 1 FP/scan 时的检出率变化" title="图2"/>
                    <pic:cNvPicPr>
                      <a:picLocks noChangeAspect="1"/>
                    </pic:cNvPicPr>
                  </pic:nvPicPr>
                  <pic:blipFill>
                    <a:blip r:embed="rId12"/>
                    <a:stretch>
                      <a:fillRect/>
                    </a:stretch>
                  </pic:blipFill>
                  <pic:spPr>
                    <a:xfrm>
                      <a:off x="0" y="0"/>
                      <a:ext cx="5688000" cy="3305923"/>
                    </a:xfrm>
                    <a:prstGeom prst="rect">
                      <a:avLst/>
                    </a:prstGeom>
                  </pic:spPr>
                </pic:pic>
              </a:graphicData>
            </a:graphic>
          </wp:inline>
        </w:drawing>
      </w:r>
    </w:p>
    <w:p w14:paraId="63F1E7CB">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8</w:t>
      </w:r>
      <w:r>
        <w:fldChar w:fldCharType="end"/>
      </w:r>
      <w:r>
        <w:rPr>
          <w:rFonts w:ascii="Times New Roman" w:hAnsi="Times New Roman" w:eastAsia="宋体"/>
          <w:b w:val="0"/>
          <w:i w:val="0"/>
          <w:color w:val="000000"/>
          <w:sz w:val="22"/>
        </w:rPr>
        <w:t xml:space="preserve">  完整 CT 在平均误报不超过 1 FP/scan 时的检出率变化</w:t>
      </w:r>
    </w:p>
    <w:p w14:paraId="73A9E78A">
      <w:pPr>
        <w:pStyle w:val="32"/>
        <w:jc w:val="both"/>
      </w:pPr>
      <w:r>
        <w:rPr>
          <w:rFonts w:ascii="Times New Roman" w:hAnsi="Times New Roman" w:eastAsia="宋体"/>
          <w:b w:val="0"/>
          <w:i w:val="0"/>
          <w:color w:val="000000"/>
          <w:sz w:val="24"/>
        </w:rPr>
        <w:t>图 8 只绘制实际执行完整评价的第 20、30、40、50、60、70、80、90、100 轮，共九个点。每个点均以相同的 125 个 CT、179 个结节为分母，并在各自的可实现评分阈值下满足总 FP 不超过 125。没有完整评价的轮次不补造检出率；点间连线仅便于观察趋势。灰色虚线是上一轮三切片 YOLO 在相同流程中的 82.68%。</w:t>
      </w:r>
    </w:p>
    <w:p w14:paraId="1D68C47A">
      <w:pPr>
        <w:pStyle w:val="32"/>
        <w:jc w:val="both"/>
      </w:pPr>
      <w:r>
        <w:rPr>
          <w:rFonts w:ascii="Times New Roman" w:hAnsi="Times New Roman" w:eastAsia="宋体"/>
          <w:b w:val="0"/>
          <w:i w:val="0"/>
          <w:color w:val="000000"/>
          <w:sz w:val="24"/>
        </w:rPr>
        <w:t>第 20 轮检出 138 个结节，77.09%；第 50 轮升至 151 个，84.36%；第 60、70 轮均为 148 个，82.68%。第 80 轮检出 152 个，第 90 轮检出 154 个，达到本轮最高的 86.03%；第 100 轮为 153 个，85.47%。因此最终采用第 90 轮，而不是把训练结束轮次当作最佳轮次。</w:t>
      </w:r>
    </w:p>
    <w:p w14:paraId="3FE5BF1B">
      <w:pPr>
        <w:pStyle w:val="32"/>
        <w:jc w:val="both"/>
      </w:pPr>
      <w:r>
        <w:rPr>
          <w:rFonts w:ascii="Times New Roman" w:hAnsi="Times New Roman" w:eastAsia="宋体"/>
          <w:b w:val="0"/>
          <w:i w:val="0"/>
          <w:color w:val="000000"/>
          <w:sz w:val="24"/>
        </w:rPr>
        <w:t>切片 mAP50–95 的最高记录出现在第 28 轮，为 0.37843；但该权重在完整 CT 的同一误报约束下只检出 143 个结节，检出率为79.89%。第 90 轮的切片 mAP50–95 为 0.34800，完整 CT 检出数却更高为86.03% 。考虑到该系统是为医疗检测检测出更多样本，辅助医生防止漏检，故而应该以检出率为标准，最终选定90轮为最优权重。</w:t>
      </w:r>
    </w:p>
    <w:p w14:paraId="0D36334A">
      <w:pPr>
        <w:pStyle w:val="3"/>
        <w:ind w:left="0" w:firstLine="0"/>
        <w:jc w:val="left"/>
      </w:pPr>
      <w:r>
        <w:rPr>
          <w:rFonts w:ascii="Times New Roman" w:hAnsi="Times New Roman" w:eastAsia="黑体"/>
          <w:b/>
          <w:i w:val="0"/>
          <w:color w:val="000000"/>
          <w:sz w:val="28"/>
        </w:rPr>
        <w:t>3.3 同条件模型对照</w:t>
      </w:r>
    </w:p>
    <w:p w14:paraId="7ED39D99">
      <w:pPr>
        <w:pStyle w:val="34"/>
        <w:keepNext/>
        <w:spacing w:before="120" w:after="100"/>
        <w:jc w:val="center"/>
      </w:pPr>
      <w:r>
        <w:rPr>
          <w:rFonts w:ascii="Times New Roman" w:hAnsi="Times New Roman" w:eastAsia="宋体"/>
          <w:b w:val="0"/>
          <w:i w:val="0"/>
          <w:color w:val="000000"/>
          <w:sz w:val="22"/>
        </w:rPr>
        <w:t xml:space="preserve">表 </w:t>
      </w:r>
      <w:r>
        <w:fldChar w:fldCharType="begin"/>
      </w:r>
      <w:r>
        <w:instrText xml:space="preserve"> SEQ Table \* ARABIC </w:instrText>
      </w:r>
      <w:r>
        <w:fldChar w:fldCharType="separate"/>
      </w:r>
      <w:r>
        <w:t>4</w:t>
      </w:r>
      <w:r>
        <w:fldChar w:fldCharType="end"/>
      </w:r>
      <w:r>
        <w:rPr>
          <w:rFonts w:ascii="Times New Roman" w:hAnsi="Times New Roman" w:eastAsia="宋体"/>
          <w:b w:val="0"/>
          <w:i w:val="0"/>
          <w:color w:val="000000"/>
          <w:sz w:val="22"/>
        </w:rPr>
        <w:t xml:space="preserve">  同一完整验证集在平均误报不超过 1 FP/scan 时的结果</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85" w:type="dxa"/>
          <w:bottom w:w="65" w:type="dxa"/>
          <w:right w:w="85" w:type="dxa"/>
        </w:tblCellMar>
      </w:tblPr>
      <w:tblGrid>
        <w:gridCol w:w="3288"/>
        <w:gridCol w:w="624"/>
        <w:gridCol w:w="624"/>
        <w:gridCol w:w="624"/>
        <w:gridCol w:w="1474"/>
        <w:gridCol w:w="1191"/>
        <w:gridCol w:w="1247"/>
      </w:tblGrid>
      <w:tr w14:paraId="054785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tblHeader/>
          <w:jc w:val="center"/>
        </w:trPr>
        <w:tc>
          <w:tcPr>
            <w:tcW w:w="3288" w:type="dxa"/>
            <w:shd w:val="clear" w:color="auto" w:fill="EEEEEE"/>
            <w:vAlign w:val="center"/>
          </w:tcPr>
          <w:p w14:paraId="2141B852">
            <w:pPr>
              <w:pStyle w:val="32"/>
              <w:keepNext/>
              <w:keepLines/>
              <w:spacing w:before="0" w:after="0" w:line="276" w:lineRule="auto"/>
              <w:ind w:left="0" w:right="0" w:firstLine="0"/>
              <w:jc w:val="left"/>
            </w:pPr>
            <w:r>
              <w:rPr>
                <w:rFonts w:ascii="Times New Roman" w:hAnsi="Times New Roman" w:eastAsia="宋体"/>
                <w:b/>
                <w:i w:val="0"/>
                <w:color w:val="000000"/>
                <w:sz w:val="21"/>
              </w:rPr>
              <w:t>模型</w:t>
            </w:r>
          </w:p>
        </w:tc>
        <w:tc>
          <w:tcPr>
            <w:tcW w:w="624" w:type="dxa"/>
            <w:shd w:val="clear" w:color="auto" w:fill="EEEEEE"/>
            <w:vAlign w:val="center"/>
          </w:tcPr>
          <w:p w14:paraId="040405B0">
            <w:pPr>
              <w:pStyle w:val="32"/>
              <w:keepNext/>
              <w:keepLines/>
              <w:spacing w:before="0" w:after="0" w:line="276" w:lineRule="auto"/>
              <w:ind w:left="0" w:right="0" w:firstLine="0"/>
              <w:jc w:val="center"/>
            </w:pPr>
            <w:r>
              <w:rPr>
                <w:rFonts w:ascii="Times New Roman" w:hAnsi="Times New Roman" w:eastAsia="宋体"/>
                <w:b/>
                <w:i w:val="0"/>
                <w:color w:val="000000"/>
                <w:sz w:val="21"/>
              </w:rPr>
              <w:t>TP</w:t>
            </w:r>
          </w:p>
        </w:tc>
        <w:tc>
          <w:tcPr>
            <w:tcW w:w="624" w:type="dxa"/>
            <w:shd w:val="clear" w:color="auto" w:fill="EEEEEE"/>
            <w:vAlign w:val="center"/>
          </w:tcPr>
          <w:p w14:paraId="55661B0C">
            <w:pPr>
              <w:pStyle w:val="32"/>
              <w:keepNext/>
              <w:keepLines/>
              <w:spacing w:before="0" w:after="0" w:line="276" w:lineRule="auto"/>
              <w:ind w:left="0" w:right="0" w:firstLine="0"/>
              <w:jc w:val="center"/>
            </w:pPr>
            <w:r>
              <w:rPr>
                <w:rFonts w:ascii="Times New Roman" w:hAnsi="Times New Roman" w:eastAsia="宋体"/>
                <w:b/>
                <w:i w:val="0"/>
                <w:color w:val="000000"/>
                <w:sz w:val="21"/>
              </w:rPr>
              <w:t>FP</w:t>
            </w:r>
          </w:p>
        </w:tc>
        <w:tc>
          <w:tcPr>
            <w:tcW w:w="624" w:type="dxa"/>
            <w:shd w:val="clear" w:color="auto" w:fill="EEEEEE"/>
            <w:vAlign w:val="center"/>
          </w:tcPr>
          <w:p w14:paraId="4BBCE2A4">
            <w:pPr>
              <w:pStyle w:val="32"/>
              <w:keepNext/>
              <w:keepLines/>
              <w:spacing w:before="0" w:after="0" w:line="276" w:lineRule="auto"/>
              <w:ind w:left="0" w:right="0" w:firstLine="0"/>
              <w:jc w:val="center"/>
            </w:pPr>
            <w:r>
              <w:rPr>
                <w:rFonts w:ascii="Times New Roman" w:hAnsi="Times New Roman" w:eastAsia="宋体"/>
                <w:b/>
                <w:i w:val="0"/>
                <w:color w:val="000000"/>
                <w:sz w:val="21"/>
              </w:rPr>
              <w:t>FN</w:t>
            </w:r>
          </w:p>
        </w:tc>
        <w:tc>
          <w:tcPr>
            <w:tcW w:w="1474" w:type="dxa"/>
            <w:shd w:val="clear" w:color="auto" w:fill="EEEEEE"/>
            <w:vAlign w:val="center"/>
          </w:tcPr>
          <w:p w14:paraId="0577950F">
            <w:pPr>
              <w:pStyle w:val="32"/>
              <w:keepNext/>
              <w:keepLines/>
              <w:spacing w:before="0" w:after="0" w:line="276" w:lineRule="auto"/>
              <w:ind w:left="0" w:right="0" w:firstLine="0"/>
              <w:jc w:val="center"/>
            </w:pPr>
            <w:r>
              <w:rPr>
                <w:rFonts w:ascii="Times New Roman" w:hAnsi="Times New Roman" w:eastAsia="宋体"/>
                <w:b/>
                <w:i w:val="0"/>
                <w:color w:val="000000"/>
                <w:sz w:val="21"/>
              </w:rPr>
              <w:t>检出率</w:t>
            </w:r>
          </w:p>
        </w:tc>
        <w:tc>
          <w:tcPr>
            <w:tcW w:w="1191" w:type="dxa"/>
            <w:shd w:val="clear" w:color="auto" w:fill="EEEEEE"/>
            <w:vAlign w:val="center"/>
          </w:tcPr>
          <w:p w14:paraId="4EA46B72">
            <w:pPr>
              <w:pStyle w:val="32"/>
              <w:keepNext/>
              <w:keepLines/>
              <w:spacing w:before="0" w:after="0" w:line="276" w:lineRule="auto"/>
              <w:ind w:left="0" w:right="0" w:firstLine="0"/>
              <w:jc w:val="center"/>
            </w:pPr>
            <w:r>
              <w:rPr>
                <w:rFonts w:ascii="Times New Roman" w:hAnsi="Times New Roman" w:eastAsia="宋体"/>
                <w:b/>
                <w:i w:val="0"/>
                <w:color w:val="000000"/>
                <w:sz w:val="21"/>
              </w:rPr>
              <w:t>FP/scan</w:t>
            </w:r>
          </w:p>
        </w:tc>
        <w:tc>
          <w:tcPr>
            <w:tcW w:w="1247" w:type="dxa"/>
            <w:shd w:val="clear" w:color="auto" w:fill="EEEEEE"/>
            <w:vAlign w:val="center"/>
          </w:tcPr>
          <w:p w14:paraId="27EC3A75">
            <w:pPr>
              <w:pStyle w:val="32"/>
              <w:keepNext/>
              <w:keepLines/>
              <w:spacing w:before="0" w:after="0" w:line="276" w:lineRule="auto"/>
              <w:ind w:left="0" w:right="0" w:firstLine="0"/>
              <w:jc w:val="center"/>
            </w:pPr>
            <w:r>
              <w:rPr>
                <w:rFonts w:ascii="Times New Roman" w:hAnsi="Times New Roman" w:eastAsia="宋体"/>
                <w:b/>
                <w:i w:val="0"/>
                <w:color w:val="000000"/>
                <w:sz w:val="21"/>
              </w:rPr>
              <w:t>CPM</w:t>
            </w:r>
          </w:p>
        </w:tc>
      </w:tr>
      <w:tr w14:paraId="1AEDD8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3288" w:type="dxa"/>
            <w:vAlign w:val="center"/>
          </w:tcPr>
          <w:p w14:paraId="142C2EA1">
            <w:pPr>
              <w:pStyle w:val="32"/>
              <w:keepNext/>
              <w:keepLines/>
              <w:spacing w:before="0" w:after="0" w:line="276" w:lineRule="auto"/>
              <w:ind w:left="0" w:right="0" w:firstLine="0"/>
              <w:jc w:val="left"/>
            </w:pPr>
            <w:r>
              <w:rPr>
                <w:rFonts w:hint="eastAsia" w:ascii="Times New Roman" w:hAnsi="Times New Roman" w:eastAsia="宋体"/>
                <w:b w:val="0"/>
                <w:i w:val="0"/>
                <w:color w:val="000000"/>
                <w:sz w:val="21"/>
                <w:lang w:val="en-US" w:eastAsia="zh-CN"/>
              </w:rPr>
              <w:t>第一轮</w:t>
            </w:r>
            <w:r>
              <w:rPr>
                <w:rFonts w:ascii="Times New Roman" w:hAnsi="Times New Roman" w:eastAsia="宋体"/>
                <w:b w:val="0"/>
                <w:i w:val="0"/>
                <w:color w:val="000000"/>
                <w:sz w:val="21"/>
              </w:rPr>
              <w:t>轮 YOLO（498例）</w:t>
            </w:r>
          </w:p>
        </w:tc>
        <w:tc>
          <w:tcPr>
            <w:tcW w:w="624" w:type="dxa"/>
            <w:vAlign w:val="center"/>
          </w:tcPr>
          <w:p w14:paraId="5BB998E8">
            <w:pPr>
              <w:pStyle w:val="32"/>
              <w:keepNext/>
              <w:keepLines/>
              <w:spacing w:before="0" w:after="0" w:line="276" w:lineRule="auto"/>
              <w:ind w:left="0" w:right="0" w:firstLine="0"/>
              <w:jc w:val="center"/>
            </w:pPr>
            <w:r>
              <w:rPr>
                <w:rFonts w:ascii="Times New Roman" w:hAnsi="Times New Roman" w:eastAsia="宋体"/>
                <w:b w:val="0"/>
                <w:i w:val="0"/>
                <w:color w:val="000000"/>
                <w:sz w:val="21"/>
              </w:rPr>
              <w:t>148</w:t>
            </w:r>
          </w:p>
        </w:tc>
        <w:tc>
          <w:tcPr>
            <w:tcW w:w="624" w:type="dxa"/>
            <w:vAlign w:val="center"/>
          </w:tcPr>
          <w:p w14:paraId="56CCA77F">
            <w:pPr>
              <w:pStyle w:val="32"/>
              <w:keepNext/>
              <w:keepLines/>
              <w:spacing w:before="0" w:after="0" w:line="276" w:lineRule="auto"/>
              <w:ind w:left="0" w:right="0" w:firstLine="0"/>
              <w:jc w:val="center"/>
            </w:pPr>
            <w:r>
              <w:rPr>
                <w:rFonts w:ascii="Times New Roman" w:hAnsi="Times New Roman" w:eastAsia="宋体"/>
                <w:b w:val="0"/>
                <w:i w:val="0"/>
                <w:color w:val="000000"/>
                <w:sz w:val="21"/>
              </w:rPr>
              <w:t>125</w:t>
            </w:r>
          </w:p>
        </w:tc>
        <w:tc>
          <w:tcPr>
            <w:tcW w:w="624" w:type="dxa"/>
            <w:vAlign w:val="center"/>
          </w:tcPr>
          <w:p w14:paraId="289955FE">
            <w:pPr>
              <w:pStyle w:val="32"/>
              <w:keepNext/>
              <w:keepLines/>
              <w:spacing w:before="0" w:after="0" w:line="276" w:lineRule="auto"/>
              <w:ind w:left="0" w:right="0" w:firstLine="0"/>
              <w:jc w:val="center"/>
            </w:pPr>
            <w:r>
              <w:rPr>
                <w:rFonts w:ascii="Times New Roman" w:hAnsi="Times New Roman" w:eastAsia="宋体"/>
                <w:b w:val="0"/>
                <w:i w:val="0"/>
                <w:color w:val="000000"/>
                <w:sz w:val="21"/>
              </w:rPr>
              <w:t>31</w:t>
            </w:r>
          </w:p>
        </w:tc>
        <w:tc>
          <w:tcPr>
            <w:tcW w:w="1474" w:type="dxa"/>
            <w:vAlign w:val="center"/>
          </w:tcPr>
          <w:p w14:paraId="798F2F17">
            <w:pPr>
              <w:pStyle w:val="32"/>
              <w:keepNext/>
              <w:keepLines/>
              <w:spacing w:before="0" w:after="0" w:line="276" w:lineRule="auto"/>
              <w:ind w:left="0" w:right="0" w:firstLine="0"/>
              <w:jc w:val="center"/>
            </w:pPr>
            <w:r>
              <w:rPr>
                <w:rFonts w:ascii="Times New Roman" w:hAnsi="Times New Roman" w:eastAsia="宋体"/>
                <w:b w:val="0"/>
                <w:i w:val="0"/>
                <w:color w:val="000000"/>
                <w:sz w:val="21"/>
              </w:rPr>
              <w:t>82.68%</w:t>
            </w:r>
          </w:p>
        </w:tc>
        <w:tc>
          <w:tcPr>
            <w:tcW w:w="1191" w:type="dxa"/>
            <w:vAlign w:val="center"/>
          </w:tcPr>
          <w:p w14:paraId="5B088EBD">
            <w:pPr>
              <w:pStyle w:val="32"/>
              <w:keepNext/>
              <w:keepLines/>
              <w:spacing w:before="0" w:after="0" w:line="276" w:lineRule="auto"/>
              <w:ind w:left="0" w:right="0" w:firstLine="0"/>
              <w:jc w:val="center"/>
            </w:pPr>
            <w:r>
              <w:rPr>
                <w:rFonts w:ascii="Times New Roman" w:hAnsi="Times New Roman" w:eastAsia="宋体"/>
                <w:b w:val="0"/>
                <w:i w:val="0"/>
                <w:color w:val="000000"/>
                <w:sz w:val="21"/>
              </w:rPr>
              <w:t>1.000</w:t>
            </w:r>
          </w:p>
        </w:tc>
        <w:tc>
          <w:tcPr>
            <w:tcW w:w="1247" w:type="dxa"/>
            <w:vAlign w:val="center"/>
          </w:tcPr>
          <w:p w14:paraId="31A41549">
            <w:pPr>
              <w:pStyle w:val="32"/>
              <w:keepNext/>
              <w:keepLines/>
              <w:spacing w:before="0" w:after="0" w:line="276" w:lineRule="auto"/>
              <w:ind w:left="0" w:right="0" w:firstLine="0"/>
              <w:jc w:val="center"/>
            </w:pPr>
            <w:r>
              <w:rPr>
                <w:rFonts w:ascii="Times New Roman" w:hAnsi="Times New Roman" w:eastAsia="宋体"/>
                <w:b w:val="0"/>
                <w:i w:val="0"/>
                <w:color w:val="000000"/>
                <w:sz w:val="21"/>
              </w:rPr>
              <w:t>0.7869</w:t>
            </w:r>
          </w:p>
        </w:tc>
      </w:tr>
      <w:tr w14:paraId="306F56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3288" w:type="dxa"/>
            <w:vAlign w:val="center"/>
          </w:tcPr>
          <w:p w14:paraId="53026F1B">
            <w:pPr>
              <w:pStyle w:val="32"/>
              <w:keepNext/>
              <w:keepLines/>
              <w:spacing w:before="0" w:after="0" w:line="276" w:lineRule="auto"/>
              <w:ind w:left="0" w:right="0" w:firstLine="0"/>
              <w:jc w:val="left"/>
            </w:pPr>
            <w:r>
              <w:rPr>
                <w:rFonts w:hint="eastAsia" w:ascii="Times New Roman" w:hAnsi="Times New Roman" w:eastAsia="宋体"/>
                <w:b w:val="0"/>
                <w:i w:val="0"/>
                <w:color w:val="000000"/>
                <w:sz w:val="21"/>
                <w:lang w:val="en-US" w:eastAsia="zh-CN"/>
              </w:rPr>
              <w:t>第</w:t>
            </w:r>
            <w:r>
              <w:rPr>
                <w:rFonts w:ascii="Times New Roman" w:hAnsi="Times New Roman" w:eastAsia="宋体"/>
                <w:b w:val="0"/>
                <w:i w:val="0"/>
                <w:color w:val="000000"/>
                <w:sz w:val="21"/>
              </w:rPr>
              <w:t>一轮 YOLO＋扩充 ResNet</w:t>
            </w:r>
          </w:p>
        </w:tc>
        <w:tc>
          <w:tcPr>
            <w:tcW w:w="624" w:type="dxa"/>
            <w:vAlign w:val="center"/>
          </w:tcPr>
          <w:p w14:paraId="7BF6DE15">
            <w:pPr>
              <w:pStyle w:val="32"/>
              <w:keepNext/>
              <w:keepLines/>
              <w:spacing w:before="0" w:after="0" w:line="276" w:lineRule="auto"/>
              <w:ind w:left="0" w:right="0" w:firstLine="0"/>
              <w:jc w:val="center"/>
            </w:pPr>
            <w:r>
              <w:rPr>
                <w:rFonts w:ascii="Times New Roman" w:hAnsi="Times New Roman" w:eastAsia="宋体"/>
                <w:b w:val="0"/>
                <w:i w:val="0"/>
                <w:color w:val="000000"/>
                <w:sz w:val="21"/>
              </w:rPr>
              <w:t>150</w:t>
            </w:r>
          </w:p>
        </w:tc>
        <w:tc>
          <w:tcPr>
            <w:tcW w:w="624" w:type="dxa"/>
            <w:vAlign w:val="center"/>
          </w:tcPr>
          <w:p w14:paraId="545F5F77">
            <w:pPr>
              <w:pStyle w:val="32"/>
              <w:keepNext/>
              <w:keepLines/>
              <w:spacing w:before="0" w:after="0" w:line="276" w:lineRule="auto"/>
              <w:ind w:left="0" w:right="0" w:firstLine="0"/>
              <w:jc w:val="center"/>
            </w:pPr>
            <w:r>
              <w:rPr>
                <w:rFonts w:ascii="Times New Roman" w:hAnsi="Times New Roman" w:eastAsia="宋体"/>
                <w:b w:val="0"/>
                <w:i w:val="0"/>
                <w:color w:val="000000"/>
                <w:sz w:val="21"/>
              </w:rPr>
              <w:t>125</w:t>
            </w:r>
          </w:p>
        </w:tc>
        <w:tc>
          <w:tcPr>
            <w:tcW w:w="624" w:type="dxa"/>
            <w:vAlign w:val="center"/>
          </w:tcPr>
          <w:p w14:paraId="3D9950AC">
            <w:pPr>
              <w:pStyle w:val="32"/>
              <w:keepNext/>
              <w:keepLines/>
              <w:spacing w:before="0" w:after="0" w:line="276" w:lineRule="auto"/>
              <w:ind w:left="0" w:right="0" w:firstLine="0"/>
              <w:jc w:val="center"/>
            </w:pPr>
            <w:r>
              <w:rPr>
                <w:rFonts w:ascii="Times New Roman" w:hAnsi="Times New Roman" w:eastAsia="宋体"/>
                <w:b w:val="0"/>
                <w:i w:val="0"/>
                <w:color w:val="000000"/>
                <w:sz w:val="21"/>
              </w:rPr>
              <w:t>29</w:t>
            </w:r>
          </w:p>
        </w:tc>
        <w:tc>
          <w:tcPr>
            <w:tcW w:w="1474" w:type="dxa"/>
            <w:vAlign w:val="center"/>
          </w:tcPr>
          <w:p w14:paraId="1926EBF5">
            <w:pPr>
              <w:pStyle w:val="32"/>
              <w:keepNext/>
              <w:keepLines/>
              <w:spacing w:before="0" w:after="0" w:line="276" w:lineRule="auto"/>
              <w:ind w:left="0" w:right="0" w:firstLine="0"/>
              <w:jc w:val="center"/>
            </w:pPr>
            <w:r>
              <w:rPr>
                <w:rFonts w:ascii="Times New Roman" w:hAnsi="Times New Roman" w:eastAsia="宋体"/>
                <w:b w:val="0"/>
                <w:i w:val="0"/>
                <w:color w:val="000000"/>
                <w:sz w:val="21"/>
              </w:rPr>
              <w:t>83.80%</w:t>
            </w:r>
          </w:p>
        </w:tc>
        <w:tc>
          <w:tcPr>
            <w:tcW w:w="1191" w:type="dxa"/>
            <w:vAlign w:val="center"/>
          </w:tcPr>
          <w:p w14:paraId="0AF698AC">
            <w:pPr>
              <w:pStyle w:val="32"/>
              <w:keepNext/>
              <w:keepLines/>
              <w:spacing w:before="0" w:after="0" w:line="276" w:lineRule="auto"/>
              <w:ind w:left="0" w:right="0" w:firstLine="0"/>
              <w:jc w:val="center"/>
            </w:pPr>
            <w:r>
              <w:rPr>
                <w:rFonts w:ascii="Times New Roman" w:hAnsi="Times New Roman" w:eastAsia="宋体"/>
                <w:b w:val="0"/>
                <w:i w:val="0"/>
                <w:color w:val="000000"/>
                <w:sz w:val="21"/>
              </w:rPr>
              <w:t>1.000</w:t>
            </w:r>
          </w:p>
        </w:tc>
        <w:tc>
          <w:tcPr>
            <w:tcW w:w="1247" w:type="dxa"/>
            <w:vAlign w:val="center"/>
          </w:tcPr>
          <w:p w14:paraId="5FE5E067">
            <w:pPr>
              <w:pStyle w:val="32"/>
              <w:keepNext/>
              <w:keepLines/>
              <w:spacing w:before="0" w:after="0" w:line="276" w:lineRule="auto"/>
              <w:ind w:left="0" w:right="0" w:firstLine="0"/>
              <w:jc w:val="center"/>
            </w:pPr>
            <w:r>
              <w:rPr>
                <w:rFonts w:ascii="Times New Roman" w:hAnsi="Times New Roman" w:eastAsia="宋体"/>
                <w:b w:val="0"/>
                <w:i w:val="0"/>
                <w:color w:val="000000"/>
                <w:sz w:val="21"/>
              </w:rPr>
              <w:t>0.8077</w:t>
            </w:r>
          </w:p>
        </w:tc>
      </w:tr>
      <w:tr w14:paraId="7A2DF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3288" w:type="dxa"/>
            <w:vAlign w:val="center"/>
          </w:tcPr>
          <w:p w14:paraId="77DC684D">
            <w:pPr>
              <w:pStyle w:val="32"/>
              <w:keepNext/>
              <w:keepLines/>
              <w:spacing w:before="0" w:after="0" w:line="276" w:lineRule="auto"/>
              <w:ind w:left="0" w:right="0" w:firstLine="0"/>
              <w:jc w:val="left"/>
            </w:pPr>
            <w:r>
              <w:rPr>
                <w:rFonts w:hint="eastAsia" w:ascii="Times New Roman" w:hAnsi="Times New Roman" w:eastAsia="宋体"/>
                <w:b w:val="0"/>
                <w:i w:val="0"/>
                <w:color w:val="000000"/>
                <w:sz w:val="21"/>
                <w:lang w:val="en-US" w:eastAsia="zh-CN"/>
              </w:rPr>
              <w:t>第二</w:t>
            </w:r>
            <w:r>
              <w:rPr>
                <w:rFonts w:ascii="Times New Roman" w:hAnsi="Times New Roman" w:eastAsia="宋体"/>
                <w:b w:val="0"/>
                <w:i w:val="0"/>
                <w:color w:val="000000"/>
                <w:sz w:val="21"/>
              </w:rPr>
              <w:t>轮 YOLO（第90轮）</w:t>
            </w:r>
          </w:p>
        </w:tc>
        <w:tc>
          <w:tcPr>
            <w:tcW w:w="624" w:type="dxa"/>
            <w:vAlign w:val="center"/>
          </w:tcPr>
          <w:p w14:paraId="6195F8BC">
            <w:pPr>
              <w:pStyle w:val="32"/>
              <w:keepNext/>
              <w:keepLines/>
              <w:spacing w:before="0" w:after="0" w:line="276" w:lineRule="auto"/>
              <w:ind w:left="0" w:right="0" w:firstLine="0"/>
              <w:jc w:val="center"/>
            </w:pPr>
            <w:r>
              <w:rPr>
                <w:rFonts w:ascii="Times New Roman" w:hAnsi="Times New Roman" w:eastAsia="宋体"/>
                <w:b w:val="0"/>
                <w:i w:val="0"/>
                <w:color w:val="000000"/>
                <w:sz w:val="21"/>
              </w:rPr>
              <w:t>154</w:t>
            </w:r>
          </w:p>
        </w:tc>
        <w:tc>
          <w:tcPr>
            <w:tcW w:w="624" w:type="dxa"/>
            <w:vAlign w:val="center"/>
          </w:tcPr>
          <w:p w14:paraId="4D634CE7">
            <w:pPr>
              <w:pStyle w:val="32"/>
              <w:keepNext/>
              <w:keepLines/>
              <w:spacing w:before="0" w:after="0" w:line="276" w:lineRule="auto"/>
              <w:ind w:left="0" w:right="0" w:firstLine="0"/>
              <w:jc w:val="center"/>
            </w:pPr>
            <w:r>
              <w:rPr>
                <w:rFonts w:ascii="Times New Roman" w:hAnsi="Times New Roman" w:eastAsia="宋体"/>
                <w:b w:val="0"/>
                <w:i w:val="0"/>
                <w:color w:val="000000"/>
                <w:sz w:val="21"/>
              </w:rPr>
              <w:t>121</w:t>
            </w:r>
          </w:p>
        </w:tc>
        <w:tc>
          <w:tcPr>
            <w:tcW w:w="624" w:type="dxa"/>
            <w:vAlign w:val="center"/>
          </w:tcPr>
          <w:p w14:paraId="196B6AD8">
            <w:pPr>
              <w:pStyle w:val="32"/>
              <w:keepNext/>
              <w:keepLines/>
              <w:spacing w:before="0" w:after="0" w:line="276" w:lineRule="auto"/>
              <w:ind w:left="0" w:right="0" w:firstLine="0"/>
              <w:jc w:val="center"/>
            </w:pPr>
            <w:r>
              <w:rPr>
                <w:rFonts w:ascii="Times New Roman" w:hAnsi="Times New Roman" w:eastAsia="宋体"/>
                <w:b w:val="0"/>
                <w:i w:val="0"/>
                <w:color w:val="000000"/>
                <w:sz w:val="21"/>
              </w:rPr>
              <w:t>25</w:t>
            </w:r>
          </w:p>
        </w:tc>
        <w:tc>
          <w:tcPr>
            <w:tcW w:w="1474" w:type="dxa"/>
            <w:vAlign w:val="center"/>
          </w:tcPr>
          <w:p w14:paraId="47EB99AB">
            <w:pPr>
              <w:pStyle w:val="32"/>
              <w:keepNext/>
              <w:keepLines/>
              <w:spacing w:before="0" w:after="0" w:line="276" w:lineRule="auto"/>
              <w:ind w:left="0" w:right="0" w:firstLine="0"/>
              <w:jc w:val="center"/>
            </w:pPr>
            <w:r>
              <w:rPr>
                <w:rFonts w:ascii="Times New Roman" w:hAnsi="Times New Roman" w:eastAsia="宋体"/>
                <w:b w:val="0"/>
                <w:i w:val="0"/>
                <w:color w:val="000000"/>
                <w:sz w:val="21"/>
              </w:rPr>
              <w:t>86.03%</w:t>
            </w:r>
          </w:p>
        </w:tc>
        <w:tc>
          <w:tcPr>
            <w:tcW w:w="1191" w:type="dxa"/>
            <w:vAlign w:val="center"/>
          </w:tcPr>
          <w:p w14:paraId="557FB56A">
            <w:pPr>
              <w:pStyle w:val="32"/>
              <w:keepNext/>
              <w:keepLines/>
              <w:spacing w:before="0" w:after="0" w:line="276" w:lineRule="auto"/>
              <w:ind w:left="0" w:right="0" w:firstLine="0"/>
              <w:jc w:val="center"/>
            </w:pPr>
            <w:r>
              <w:rPr>
                <w:rFonts w:ascii="Times New Roman" w:hAnsi="Times New Roman" w:eastAsia="宋体"/>
                <w:b w:val="0"/>
                <w:i w:val="0"/>
                <w:color w:val="000000"/>
                <w:sz w:val="21"/>
              </w:rPr>
              <w:t>0.968</w:t>
            </w:r>
          </w:p>
        </w:tc>
        <w:tc>
          <w:tcPr>
            <w:tcW w:w="1247" w:type="dxa"/>
            <w:vAlign w:val="center"/>
          </w:tcPr>
          <w:p w14:paraId="08CF87C5">
            <w:pPr>
              <w:pStyle w:val="32"/>
              <w:keepNext/>
              <w:keepLines/>
              <w:spacing w:before="0" w:after="0" w:line="276" w:lineRule="auto"/>
              <w:ind w:left="0" w:right="0" w:firstLine="0"/>
              <w:jc w:val="center"/>
            </w:pPr>
            <w:r>
              <w:rPr>
                <w:rFonts w:ascii="Times New Roman" w:hAnsi="Times New Roman" w:eastAsia="宋体"/>
                <w:b w:val="0"/>
                <w:i w:val="0"/>
                <w:color w:val="000000"/>
                <w:sz w:val="21"/>
              </w:rPr>
              <w:t>0.7749</w:t>
            </w:r>
          </w:p>
        </w:tc>
      </w:tr>
      <w:tr w14:paraId="209E27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3288" w:type="dxa"/>
            <w:vAlign w:val="center"/>
          </w:tcPr>
          <w:p w14:paraId="6EC16D32">
            <w:pPr>
              <w:pStyle w:val="32"/>
              <w:keepNext w:val="0"/>
              <w:keepLines/>
              <w:spacing w:before="0" w:after="0" w:line="276" w:lineRule="auto"/>
              <w:ind w:left="0" w:right="0" w:firstLine="0"/>
              <w:jc w:val="left"/>
            </w:pPr>
            <w:r>
              <w:rPr>
                <w:rFonts w:hint="eastAsia" w:ascii="Times New Roman" w:hAnsi="Times New Roman" w:eastAsia="宋体"/>
                <w:b w:val="0"/>
                <w:i w:val="0"/>
                <w:color w:val="000000"/>
                <w:sz w:val="21"/>
                <w:lang w:val="en-US" w:eastAsia="zh-CN"/>
              </w:rPr>
              <w:t>第二</w:t>
            </w:r>
            <w:r>
              <w:rPr>
                <w:rFonts w:ascii="Times New Roman" w:hAnsi="Times New Roman" w:eastAsia="宋体"/>
                <w:b w:val="0"/>
                <w:i w:val="0"/>
                <w:color w:val="000000"/>
                <w:sz w:val="21"/>
              </w:rPr>
              <w:t>轮YOLO＋扩充 ResNet</w:t>
            </w:r>
          </w:p>
        </w:tc>
        <w:tc>
          <w:tcPr>
            <w:tcW w:w="624" w:type="dxa"/>
            <w:vAlign w:val="center"/>
          </w:tcPr>
          <w:p w14:paraId="7A4BC504">
            <w:pPr>
              <w:pStyle w:val="32"/>
              <w:keepNext w:val="0"/>
              <w:keepLines/>
              <w:spacing w:before="0" w:after="0" w:line="276" w:lineRule="auto"/>
              <w:ind w:left="0" w:right="0" w:firstLine="0"/>
              <w:jc w:val="center"/>
            </w:pPr>
            <w:r>
              <w:rPr>
                <w:rFonts w:ascii="Times New Roman" w:hAnsi="Times New Roman" w:eastAsia="宋体"/>
                <w:b w:val="0"/>
                <w:i w:val="0"/>
                <w:color w:val="000000"/>
                <w:sz w:val="21"/>
              </w:rPr>
              <w:t>147</w:t>
            </w:r>
          </w:p>
        </w:tc>
        <w:tc>
          <w:tcPr>
            <w:tcW w:w="624" w:type="dxa"/>
            <w:vAlign w:val="center"/>
          </w:tcPr>
          <w:p w14:paraId="6931E505">
            <w:pPr>
              <w:pStyle w:val="32"/>
              <w:keepNext w:val="0"/>
              <w:keepLines/>
              <w:spacing w:before="0" w:after="0" w:line="276" w:lineRule="auto"/>
              <w:ind w:left="0" w:right="0" w:firstLine="0"/>
              <w:jc w:val="center"/>
            </w:pPr>
            <w:r>
              <w:rPr>
                <w:rFonts w:ascii="Times New Roman" w:hAnsi="Times New Roman" w:eastAsia="宋体"/>
                <w:b w:val="0"/>
                <w:i w:val="0"/>
                <w:color w:val="000000"/>
                <w:sz w:val="21"/>
              </w:rPr>
              <w:t>120</w:t>
            </w:r>
          </w:p>
        </w:tc>
        <w:tc>
          <w:tcPr>
            <w:tcW w:w="624" w:type="dxa"/>
            <w:vAlign w:val="center"/>
          </w:tcPr>
          <w:p w14:paraId="0A2E672A">
            <w:pPr>
              <w:pStyle w:val="32"/>
              <w:keepNext w:val="0"/>
              <w:keepLines/>
              <w:spacing w:before="0" w:after="0" w:line="276" w:lineRule="auto"/>
              <w:ind w:left="0" w:right="0" w:firstLine="0"/>
              <w:jc w:val="center"/>
            </w:pPr>
            <w:r>
              <w:rPr>
                <w:rFonts w:ascii="Times New Roman" w:hAnsi="Times New Roman" w:eastAsia="宋体"/>
                <w:b w:val="0"/>
                <w:i w:val="0"/>
                <w:color w:val="000000"/>
                <w:sz w:val="21"/>
              </w:rPr>
              <w:t>32</w:t>
            </w:r>
          </w:p>
        </w:tc>
        <w:tc>
          <w:tcPr>
            <w:tcW w:w="1474" w:type="dxa"/>
            <w:vAlign w:val="center"/>
          </w:tcPr>
          <w:p w14:paraId="755C7677">
            <w:pPr>
              <w:pStyle w:val="32"/>
              <w:keepNext w:val="0"/>
              <w:keepLines/>
              <w:spacing w:before="0" w:after="0" w:line="276" w:lineRule="auto"/>
              <w:ind w:left="0" w:right="0" w:firstLine="0"/>
              <w:jc w:val="center"/>
            </w:pPr>
            <w:r>
              <w:rPr>
                <w:rFonts w:ascii="Times New Roman" w:hAnsi="Times New Roman" w:eastAsia="宋体"/>
                <w:b w:val="0"/>
                <w:i w:val="0"/>
                <w:color w:val="000000"/>
                <w:sz w:val="21"/>
              </w:rPr>
              <w:t>82.12%</w:t>
            </w:r>
          </w:p>
        </w:tc>
        <w:tc>
          <w:tcPr>
            <w:tcW w:w="1191" w:type="dxa"/>
            <w:vAlign w:val="center"/>
          </w:tcPr>
          <w:p w14:paraId="6C028E1F">
            <w:pPr>
              <w:pStyle w:val="32"/>
              <w:keepNext w:val="0"/>
              <w:keepLines/>
              <w:spacing w:before="0" w:after="0" w:line="276" w:lineRule="auto"/>
              <w:ind w:left="0" w:right="0" w:firstLine="0"/>
              <w:jc w:val="center"/>
            </w:pPr>
            <w:r>
              <w:rPr>
                <w:rFonts w:ascii="Times New Roman" w:hAnsi="Times New Roman" w:eastAsia="宋体"/>
                <w:b w:val="0"/>
                <w:i w:val="0"/>
                <w:color w:val="000000"/>
                <w:sz w:val="21"/>
              </w:rPr>
              <w:t>0.960</w:t>
            </w:r>
          </w:p>
        </w:tc>
        <w:tc>
          <w:tcPr>
            <w:tcW w:w="1247" w:type="dxa"/>
            <w:vAlign w:val="center"/>
          </w:tcPr>
          <w:p w14:paraId="5CD3A7BE">
            <w:pPr>
              <w:pStyle w:val="32"/>
              <w:keepNext w:val="0"/>
              <w:keepLines/>
              <w:spacing w:before="0" w:after="0" w:line="276" w:lineRule="auto"/>
              <w:ind w:left="0" w:right="0" w:firstLine="0"/>
              <w:jc w:val="center"/>
            </w:pPr>
            <w:r>
              <w:rPr>
                <w:rFonts w:ascii="Times New Roman" w:hAnsi="Times New Roman" w:eastAsia="宋体"/>
                <w:b w:val="0"/>
                <w:i w:val="0"/>
                <w:color w:val="000000"/>
                <w:sz w:val="21"/>
              </w:rPr>
              <w:t>0.7765</w:t>
            </w:r>
          </w:p>
        </w:tc>
      </w:tr>
    </w:tbl>
    <w:p w14:paraId="5F7EDB54">
      <w:pPr>
        <w:pStyle w:val="32"/>
        <w:jc w:val="both"/>
      </w:pPr>
      <w:r>
        <w:rPr>
          <w:rFonts w:ascii="Times New Roman" w:hAnsi="Times New Roman" w:eastAsia="宋体"/>
          <w:b w:val="0"/>
          <w:i w:val="0"/>
          <w:color w:val="000000"/>
          <w:sz w:val="24"/>
        </w:rPr>
        <w:t>表4中的上一轮 YOLO 是使用 498 个训练体积得到的三切片模型；新 YOLO 使用 675 个训练体积，并按完整 CT 指标选中第 90 轮。两条 ResNet 扩展路径使用同一个扩充训练后的现有 ResNet18。输入窗口、推理尺寸、候选起始阈值、NMS、三维合并、排除规则与验证体积均一致；每条路径在验证集上选择满足误报约束的操作点。</w:t>
      </w:r>
    </w:p>
    <w:p w14:paraId="53B0005C">
      <w:pPr>
        <w:pStyle w:val="32"/>
        <w:jc w:val="both"/>
      </w:pPr>
      <w:r>
        <w:rPr>
          <w:rFonts w:ascii="Times New Roman" w:hAnsi="Times New Roman" w:eastAsia="宋体"/>
          <w:b w:val="0"/>
          <w:i w:val="0"/>
          <w:color w:val="000000"/>
          <w:sz w:val="24"/>
        </w:rPr>
        <w:t>新 YOLO 从 148 个检出增至 154 个，净增加 6 个，敏感性提高 3.35 个百分点；漏检由 31 个降至 25 个，总误报由 125 个降至 121 个，即 0.968 FP/scan。该操作点的组评分阈值为 0.57053，必须与当前冻结的预处理、NMS 和 3 mm 分组规则一起使用。</w:t>
      </w:r>
    </w:p>
    <w:p w14:paraId="1E9571FB">
      <w:pPr>
        <w:pStyle w:val="32"/>
        <w:jc w:val="both"/>
      </w:pPr>
      <w:r>
        <w:rPr>
          <w:rFonts w:ascii="Times New Roman" w:hAnsi="Times New Roman" w:eastAsia="宋体"/>
          <w:b w:val="0"/>
          <w:i w:val="0"/>
          <w:color w:val="000000"/>
          <w:sz w:val="24"/>
        </w:rPr>
        <w:t>新模型的 CPM 为 0.77494，上一轮为 0.78691，下降约 1.20 个百分点。虽然 1 FP/scan 附近有所改善，七个操作点的平均表现没有提高，因此总体结论是提升有限。1 FP/scan 敏感性的 95% 置信区间约为旧模型 75.33%–90.06%、新模型 78.03%–91.10%；</w:t>
      </w:r>
    </w:p>
    <w:p w14:paraId="657AAB15">
      <w:pPr>
        <w:pStyle w:val="32"/>
        <w:jc w:val="both"/>
      </w:pPr>
      <w:r>
        <w:rPr>
          <w:rFonts w:ascii="Times New Roman" w:hAnsi="Times New Roman" w:eastAsia="宋体"/>
          <w:b w:val="0"/>
          <w:i w:val="0"/>
          <w:color w:val="000000"/>
          <w:sz w:val="24"/>
        </w:rPr>
        <w:t>现有 ResNet 接到新 YOLO 后，在自己的操作点检出 147 个结节、产生 120 个误报，敏感性 82.12%。相较新 YOLO 单独使用，仅少 1 个误报却少检出 7 个结节，因而没有作为当前主检测路径。这个结果反映的是固定分类器对新候选的适配，但不代表所有二阶段网络或重新构建新候选训练样本后都不会改善。</w:t>
      </w:r>
    </w:p>
    <w:p w14:paraId="08F193A9">
      <w:pPr>
        <w:pStyle w:val="3"/>
        <w:ind w:left="0" w:firstLine="0"/>
        <w:jc w:val="left"/>
      </w:pPr>
      <w:r>
        <w:rPr>
          <w:rFonts w:ascii="Times New Roman" w:hAnsi="Times New Roman" w:eastAsia="黑体"/>
          <w:b/>
          <w:i w:val="0"/>
          <w:color w:val="000000"/>
          <w:sz w:val="28"/>
        </w:rPr>
        <w:t>3.4 漏检变化与结节尺寸</w:t>
      </w:r>
    </w:p>
    <w:p w14:paraId="3FCD961B">
      <w:pPr>
        <w:pStyle w:val="32"/>
        <w:jc w:val="both"/>
      </w:pPr>
      <w:r>
        <w:rPr>
          <w:rFonts w:ascii="Times New Roman" w:hAnsi="Times New Roman" w:eastAsia="宋体"/>
          <w:b w:val="0"/>
          <w:i w:val="0"/>
          <w:color w:val="000000"/>
          <w:sz w:val="24"/>
        </w:rPr>
        <w:t>逐结节核对显示，两个 YOLO 共同检出 141 个结节，新模型另外检出 13 个旧模型未检出的结节，同时漏掉 7 个旧模型曾检出的结节；两个模型都漏掉 18 个。</w:t>
      </w:r>
    </w:p>
    <w:p w14:paraId="36DDA78F">
      <w:pPr>
        <w:pStyle w:val="34"/>
        <w:keepNext/>
        <w:spacing w:before="120" w:after="100"/>
        <w:jc w:val="center"/>
      </w:pPr>
      <w:r>
        <w:rPr>
          <w:rFonts w:ascii="Times New Roman" w:hAnsi="Times New Roman" w:eastAsia="宋体"/>
          <w:b w:val="0"/>
          <w:i w:val="0"/>
          <w:color w:val="000000"/>
          <w:sz w:val="22"/>
        </w:rPr>
        <w:t xml:space="preserve">表 </w:t>
      </w:r>
      <w:r>
        <w:fldChar w:fldCharType="begin"/>
      </w:r>
      <w:r>
        <w:instrText xml:space="preserve"> SEQ Table \* ARABIC </w:instrText>
      </w:r>
      <w:r>
        <w:fldChar w:fldCharType="separate"/>
      </w:r>
      <w:r>
        <w:t>5</w:t>
      </w:r>
      <w:r>
        <w:fldChar w:fldCharType="end"/>
      </w:r>
      <w:r>
        <w:rPr>
          <w:rFonts w:ascii="Times New Roman" w:hAnsi="Times New Roman" w:eastAsia="宋体"/>
          <w:b w:val="0"/>
          <w:i w:val="0"/>
          <w:color w:val="000000"/>
          <w:sz w:val="22"/>
        </w:rPr>
        <w:t xml:space="preserve">  同一操作点按标注直径分组的 YOLO 检出情况</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85" w:type="dxa"/>
          <w:bottom w:w="65" w:type="dxa"/>
          <w:right w:w="85" w:type="dxa"/>
        </w:tblCellMar>
      </w:tblPr>
      <w:tblGrid>
        <w:gridCol w:w="2268"/>
        <w:gridCol w:w="1701"/>
        <w:gridCol w:w="1701"/>
        <w:gridCol w:w="1701"/>
        <w:gridCol w:w="1701"/>
      </w:tblGrid>
      <w:tr w14:paraId="05D8BF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tblHeader/>
          <w:jc w:val="center"/>
        </w:trPr>
        <w:tc>
          <w:tcPr>
            <w:tcW w:w="2268" w:type="dxa"/>
            <w:shd w:val="clear" w:color="auto" w:fill="EEEEEE"/>
            <w:vAlign w:val="center"/>
          </w:tcPr>
          <w:p w14:paraId="59C6A45F">
            <w:pPr>
              <w:pStyle w:val="32"/>
              <w:keepNext/>
              <w:keepLines/>
              <w:spacing w:before="0" w:after="0" w:line="276" w:lineRule="auto"/>
              <w:ind w:left="0" w:right="0" w:firstLine="0"/>
              <w:jc w:val="left"/>
            </w:pPr>
            <w:r>
              <w:rPr>
                <w:rFonts w:ascii="Times New Roman" w:hAnsi="Times New Roman" w:eastAsia="宋体"/>
                <w:b/>
                <w:i w:val="0"/>
                <w:color w:val="000000"/>
                <w:sz w:val="21"/>
              </w:rPr>
              <w:t>标注直径</w:t>
            </w:r>
          </w:p>
        </w:tc>
        <w:tc>
          <w:tcPr>
            <w:tcW w:w="1701" w:type="dxa"/>
            <w:shd w:val="clear" w:color="auto" w:fill="EEEEEE"/>
            <w:vAlign w:val="center"/>
          </w:tcPr>
          <w:p w14:paraId="1A8EA2CE">
            <w:pPr>
              <w:pStyle w:val="32"/>
              <w:keepNext/>
              <w:keepLines/>
              <w:spacing w:before="0" w:after="0" w:line="276" w:lineRule="auto"/>
              <w:ind w:left="0" w:right="0" w:firstLine="0"/>
              <w:jc w:val="center"/>
            </w:pPr>
            <w:r>
              <w:rPr>
                <w:rFonts w:ascii="Times New Roman" w:hAnsi="Times New Roman" w:eastAsia="宋体"/>
                <w:b/>
                <w:i w:val="0"/>
                <w:color w:val="000000"/>
                <w:sz w:val="21"/>
              </w:rPr>
              <w:t>真实结节数</w:t>
            </w:r>
          </w:p>
        </w:tc>
        <w:tc>
          <w:tcPr>
            <w:tcW w:w="1701" w:type="dxa"/>
            <w:shd w:val="clear" w:color="auto" w:fill="EEEEEE"/>
            <w:vAlign w:val="center"/>
          </w:tcPr>
          <w:p w14:paraId="43193166">
            <w:pPr>
              <w:pStyle w:val="32"/>
              <w:keepNext/>
              <w:keepLines/>
              <w:spacing w:before="0" w:after="0" w:line="276" w:lineRule="auto"/>
              <w:ind w:left="0" w:right="0" w:firstLine="0"/>
              <w:jc w:val="center"/>
            </w:pPr>
            <w:r>
              <w:rPr>
                <w:rFonts w:ascii="Times New Roman" w:hAnsi="Times New Roman" w:eastAsia="宋体"/>
                <w:b/>
                <w:i w:val="0"/>
                <w:color w:val="000000"/>
                <w:sz w:val="21"/>
              </w:rPr>
              <w:t>上一轮检出</w:t>
            </w:r>
          </w:p>
        </w:tc>
        <w:tc>
          <w:tcPr>
            <w:tcW w:w="1701" w:type="dxa"/>
            <w:shd w:val="clear" w:color="auto" w:fill="EEEEEE"/>
            <w:vAlign w:val="center"/>
          </w:tcPr>
          <w:p w14:paraId="47D01797">
            <w:pPr>
              <w:pStyle w:val="32"/>
              <w:keepNext/>
              <w:keepLines/>
              <w:spacing w:before="0" w:after="0" w:line="276" w:lineRule="auto"/>
              <w:ind w:left="0" w:right="0" w:firstLine="0"/>
              <w:jc w:val="center"/>
            </w:pPr>
            <w:r>
              <w:rPr>
                <w:rFonts w:ascii="Times New Roman" w:hAnsi="Times New Roman" w:eastAsia="宋体"/>
                <w:b/>
                <w:i w:val="0"/>
                <w:color w:val="000000"/>
                <w:sz w:val="21"/>
              </w:rPr>
              <w:t>本轮检出</w:t>
            </w:r>
          </w:p>
        </w:tc>
        <w:tc>
          <w:tcPr>
            <w:tcW w:w="1701" w:type="dxa"/>
            <w:shd w:val="clear" w:color="auto" w:fill="EEEEEE"/>
            <w:vAlign w:val="center"/>
          </w:tcPr>
          <w:p w14:paraId="67987648">
            <w:pPr>
              <w:pStyle w:val="32"/>
              <w:keepNext/>
              <w:keepLines/>
              <w:spacing w:before="0" w:after="0" w:line="276" w:lineRule="auto"/>
              <w:ind w:left="0" w:right="0" w:firstLine="0"/>
              <w:jc w:val="center"/>
            </w:pPr>
            <w:r>
              <w:rPr>
                <w:rFonts w:ascii="Times New Roman" w:hAnsi="Times New Roman" w:eastAsia="宋体"/>
                <w:b/>
                <w:i w:val="0"/>
                <w:color w:val="000000"/>
                <w:sz w:val="21"/>
              </w:rPr>
              <w:t>本轮漏检</w:t>
            </w:r>
          </w:p>
        </w:tc>
      </w:tr>
      <w:tr w14:paraId="56F5D3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268" w:type="dxa"/>
            <w:vAlign w:val="center"/>
          </w:tcPr>
          <w:p w14:paraId="26CBB8E5">
            <w:pPr>
              <w:pStyle w:val="32"/>
              <w:keepNext/>
              <w:keepLines/>
              <w:spacing w:before="0" w:after="0" w:line="276" w:lineRule="auto"/>
              <w:ind w:left="0" w:right="0" w:firstLine="0"/>
              <w:jc w:val="left"/>
            </w:pPr>
            <w:r>
              <w:rPr>
                <w:rFonts w:ascii="Times New Roman" w:hAnsi="Times New Roman" w:eastAsia="宋体"/>
                <w:b w:val="0"/>
                <w:i w:val="0"/>
                <w:color w:val="000000"/>
                <w:sz w:val="21"/>
              </w:rPr>
              <w:t>小于 5 mm</w:t>
            </w:r>
          </w:p>
        </w:tc>
        <w:tc>
          <w:tcPr>
            <w:tcW w:w="1701" w:type="dxa"/>
            <w:vAlign w:val="center"/>
          </w:tcPr>
          <w:p w14:paraId="6B1DDE84">
            <w:pPr>
              <w:pStyle w:val="32"/>
              <w:keepNext/>
              <w:keepLines/>
              <w:spacing w:before="0" w:after="0" w:line="276" w:lineRule="auto"/>
              <w:ind w:left="0" w:right="0" w:firstLine="0"/>
              <w:jc w:val="center"/>
            </w:pPr>
            <w:r>
              <w:rPr>
                <w:rFonts w:ascii="Times New Roman" w:hAnsi="Times New Roman" w:eastAsia="宋体"/>
                <w:b w:val="0"/>
                <w:i w:val="0"/>
                <w:color w:val="000000"/>
                <w:sz w:val="21"/>
              </w:rPr>
              <w:t>55</w:t>
            </w:r>
          </w:p>
        </w:tc>
        <w:tc>
          <w:tcPr>
            <w:tcW w:w="1701" w:type="dxa"/>
            <w:vAlign w:val="center"/>
          </w:tcPr>
          <w:p w14:paraId="687E8563">
            <w:pPr>
              <w:pStyle w:val="32"/>
              <w:keepNext/>
              <w:keepLines/>
              <w:spacing w:before="0" w:after="0" w:line="276" w:lineRule="auto"/>
              <w:ind w:left="0" w:right="0" w:firstLine="0"/>
              <w:jc w:val="center"/>
            </w:pPr>
            <w:r>
              <w:rPr>
                <w:rFonts w:ascii="Times New Roman" w:hAnsi="Times New Roman" w:eastAsia="宋体"/>
                <w:b w:val="0"/>
                <w:i w:val="0"/>
                <w:color w:val="000000"/>
                <w:sz w:val="21"/>
              </w:rPr>
              <w:t>39</w:t>
            </w:r>
          </w:p>
        </w:tc>
        <w:tc>
          <w:tcPr>
            <w:tcW w:w="1701" w:type="dxa"/>
            <w:vAlign w:val="center"/>
          </w:tcPr>
          <w:p w14:paraId="5F5FE9FC">
            <w:pPr>
              <w:pStyle w:val="32"/>
              <w:keepNext/>
              <w:keepLines/>
              <w:spacing w:before="0" w:after="0" w:line="276" w:lineRule="auto"/>
              <w:ind w:left="0" w:right="0" w:firstLine="0"/>
              <w:jc w:val="center"/>
            </w:pPr>
            <w:r>
              <w:rPr>
                <w:rFonts w:ascii="Times New Roman" w:hAnsi="Times New Roman" w:eastAsia="宋体"/>
                <w:b w:val="0"/>
                <w:i w:val="0"/>
                <w:color w:val="000000"/>
                <w:sz w:val="21"/>
              </w:rPr>
              <w:t>42</w:t>
            </w:r>
          </w:p>
        </w:tc>
        <w:tc>
          <w:tcPr>
            <w:tcW w:w="1701" w:type="dxa"/>
            <w:vAlign w:val="center"/>
          </w:tcPr>
          <w:p w14:paraId="03B535E1">
            <w:pPr>
              <w:pStyle w:val="32"/>
              <w:keepNext/>
              <w:keepLines/>
              <w:spacing w:before="0" w:after="0" w:line="276" w:lineRule="auto"/>
              <w:ind w:left="0" w:right="0" w:firstLine="0"/>
              <w:jc w:val="center"/>
            </w:pPr>
            <w:r>
              <w:rPr>
                <w:rFonts w:ascii="Times New Roman" w:hAnsi="Times New Roman" w:eastAsia="宋体"/>
                <w:b w:val="0"/>
                <w:i w:val="0"/>
                <w:color w:val="000000"/>
                <w:sz w:val="21"/>
              </w:rPr>
              <w:t>13</w:t>
            </w:r>
          </w:p>
        </w:tc>
      </w:tr>
      <w:tr w14:paraId="0D0AFD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268" w:type="dxa"/>
            <w:vAlign w:val="center"/>
          </w:tcPr>
          <w:p w14:paraId="6F37C51F">
            <w:pPr>
              <w:pStyle w:val="32"/>
              <w:keepNext/>
              <w:keepLines/>
              <w:spacing w:before="0" w:after="0" w:line="276" w:lineRule="auto"/>
              <w:ind w:left="0" w:right="0" w:firstLine="0"/>
              <w:jc w:val="left"/>
            </w:pPr>
            <w:r>
              <w:rPr>
                <w:rFonts w:ascii="Times New Roman" w:hAnsi="Times New Roman" w:eastAsia="宋体"/>
                <w:b w:val="0"/>
                <w:i w:val="0"/>
                <w:color w:val="000000"/>
                <w:sz w:val="21"/>
              </w:rPr>
              <w:t>5 至小于 10 mm</w:t>
            </w:r>
          </w:p>
        </w:tc>
        <w:tc>
          <w:tcPr>
            <w:tcW w:w="1701" w:type="dxa"/>
            <w:vAlign w:val="center"/>
          </w:tcPr>
          <w:p w14:paraId="5ACBDAC6">
            <w:pPr>
              <w:pStyle w:val="32"/>
              <w:keepNext/>
              <w:keepLines/>
              <w:spacing w:before="0" w:after="0" w:line="276" w:lineRule="auto"/>
              <w:ind w:left="0" w:right="0" w:firstLine="0"/>
              <w:jc w:val="center"/>
            </w:pPr>
            <w:r>
              <w:rPr>
                <w:rFonts w:ascii="Times New Roman" w:hAnsi="Times New Roman" w:eastAsia="宋体"/>
                <w:b w:val="0"/>
                <w:i w:val="0"/>
                <w:color w:val="000000"/>
                <w:sz w:val="21"/>
              </w:rPr>
              <w:t>81</w:t>
            </w:r>
          </w:p>
        </w:tc>
        <w:tc>
          <w:tcPr>
            <w:tcW w:w="1701" w:type="dxa"/>
            <w:vAlign w:val="center"/>
          </w:tcPr>
          <w:p w14:paraId="6252031A">
            <w:pPr>
              <w:pStyle w:val="32"/>
              <w:keepNext/>
              <w:keepLines/>
              <w:spacing w:before="0" w:after="0" w:line="276" w:lineRule="auto"/>
              <w:ind w:left="0" w:right="0" w:firstLine="0"/>
              <w:jc w:val="center"/>
            </w:pPr>
            <w:r>
              <w:rPr>
                <w:rFonts w:ascii="Times New Roman" w:hAnsi="Times New Roman" w:eastAsia="宋体"/>
                <w:b w:val="0"/>
                <w:i w:val="0"/>
                <w:color w:val="000000"/>
                <w:sz w:val="21"/>
              </w:rPr>
              <w:t>74</w:t>
            </w:r>
          </w:p>
        </w:tc>
        <w:tc>
          <w:tcPr>
            <w:tcW w:w="1701" w:type="dxa"/>
            <w:vAlign w:val="center"/>
          </w:tcPr>
          <w:p w14:paraId="25EC8C84">
            <w:pPr>
              <w:pStyle w:val="32"/>
              <w:keepNext/>
              <w:keepLines/>
              <w:spacing w:before="0" w:after="0" w:line="276" w:lineRule="auto"/>
              <w:ind w:left="0" w:right="0" w:firstLine="0"/>
              <w:jc w:val="center"/>
            </w:pPr>
            <w:r>
              <w:rPr>
                <w:rFonts w:ascii="Times New Roman" w:hAnsi="Times New Roman" w:eastAsia="宋体"/>
                <w:b w:val="0"/>
                <w:i w:val="0"/>
                <w:color w:val="000000"/>
                <w:sz w:val="21"/>
              </w:rPr>
              <w:t>76</w:t>
            </w:r>
          </w:p>
        </w:tc>
        <w:tc>
          <w:tcPr>
            <w:tcW w:w="1701" w:type="dxa"/>
            <w:vAlign w:val="center"/>
          </w:tcPr>
          <w:p w14:paraId="56EE6BED">
            <w:pPr>
              <w:pStyle w:val="32"/>
              <w:keepNext/>
              <w:keepLines/>
              <w:spacing w:before="0" w:after="0" w:line="276" w:lineRule="auto"/>
              <w:ind w:left="0" w:right="0" w:firstLine="0"/>
              <w:jc w:val="center"/>
            </w:pPr>
            <w:r>
              <w:rPr>
                <w:rFonts w:ascii="Times New Roman" w:hAnsi="Times New Roman" w:eastAsia="宋体"/>
                <w:b w:val="0"/>
                <w:i w:val="0"/>
                <w:color w:val="000000"/>
                <w:sz w:val="21"/>
              </w:rPr>
              <w:t>5</w:t>
            </w:r>
          </w:p>
        </w:tc>
      </w:tr>
      <w:tr w14:paraId="68E384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268" w:type="dxa"/>
            <w:vAlign w:val="center"/>
          </w:tcPr>
          <w:p w14:paraId="14A0865A">
            <w:pPr>
              <w:pStyle w:val="32"/>
              <w:keepNext/>
              <w:keepLines/>
              <w:spacing w:before="0" w:after="0" w:line="276" w:lineRule="auto"/>
              <w:ind w:left="0" w:right="0" w:firstLine="0"/>
              <w:jc w:val="left"/>
            </w:pPr>
            <w:r>
              <w:rPr>
                <w:rFonts w:ascii="Times New Roman" w:hAnsi="Times New Roman" w:eastAsia="宋体"/>
                <w:b w:val="0"/>
                <w:i w:val="0"/>
                <w:color w:val="000000"/>
                <w:sz w:val="21"/>
              </w:rPr>
              <w:t>10 mm 及以上</w:t>
            </w:r>
          </w:p>
        </w:tc>
        <w:tc>
          <w:tcPr>
            <w:tcW w:w="1701" w:type="dxa"/>
            <w:vAlign w:val="center"/>
          </w:tcPr>
          <w:p w14:paraId="02F672E5">
            <w:pPr>
              <w:pStyle w:val="32"/>
              <w:keepNext/>
              <w:keepLines/>
              <w:spacing w:before="0" w:after="0" w:line="276" w:lineRule="auto"/>
              <w:ind w:left="0" w:right="0" w:firstLine="0"/>
              <w:jc w:val="center"/>
            </w:pPr>
            <w:r>
              <w:rPr>
                <w:rFonts w:ascii="Times New Roman" w:hAnsi="Times New Roman" w:eastAsia="宋体"/>
                <w:b w:val="0"/>
                <w:i w:val="0"/>
                <w:color w:val="000000"/>
                <w:sz w:val="21"/>
              </w:rPr>
              <w:t>43</w:t>
            </w:r>
          </w:p>
        </w:tc>
        <w:tc>
          <w:tcPr>
            <w:tcW w:w="1701" w:type="dxa"/>
            <w:vAlign w:val="center"/>
          </w:tcPr>
          <w:p w14:paraId="591CF662">
            <w:pPr>
              <w:pStyle w:val="32"/>
              <w:keepNext/>
              <w:keepLines/>
              <w:spacing w:before="0" w:after="0" w:line="276" w:lineRule="auto"/>
              <w:ind w:left="0" w:right="0" w:firstLine="0"/>
              <w:jc w:val="center"/>
            </w:pPr>
            <w:r>
              <w:rPr>
                <w:rFonts w:ascii="Times New Roman" w:hAnsi="Times New Roman" w:eastAsia="宋体"/>
                <w:b w:val="0"/>
                <w:i w:val="0"/>
                <w:color w:val="000000"/>
                <w:sz w:val="21"/>
              </w:rPr>
              <w:t>35</w:t>
            </w:r>
          </w:p>
        </w:tc>
        <w:tc>
          <w:tcPr>
            <w:tcW w:w="1701" w:type="dxa"/>
            <w:vAlign w:val="center"/>
          </w:tcPr>
          <w:p w14:paraId="61E088DC">
            <w:pPr>
              <w:pStyle w:val="32"/>
              <w:keepNext/>
              <w:keepLines/>
              <w:spacing w:before="0" w:after="0" w:line="276" w:lineRule="auto"/>
              <w:ind w:left="0" w:right="0" w:firstLine="0"/>
              <w:jc w:val="center"/>
            </w:pPr>
            <w:r>
              <w:rPr>
                <w:rFonts w:ascii="Times New Roman" w:hAnsi="Times New Roman" w:eastAsia="宋体"/>
                <w:b w:val="0"/>
                <w:i w:val="0"/>
                <w:color w:val="000000"/>
                <w:sz w:val="21"/>
              </w:rPr>
              <w:t>36</w:t>
            </w:r>
          </w:p>
        </w:tc>
        <w:tc>
          <w:tcPr>
            <w:tcW w:w="1701" w:type="dxa"/>
            <w:vAlign w:val="center"/>
          </w:tcPr>
          <w:p w14:paraId="23F59251">
            <w:pPr>
              <w:pStyle w:val="32"/>
              <w:keepNext/>
              <w:keepLines/>
              <w:spacing w:before="0" w:after="0" w:line="276" w:lineRule="auto"/>
              <w:ind w:left="0" w:right="0" w:firstLine="0"/>
              <w:jc w:val="center"/>
            </w:pPr>
            <w:r>
              <w:rPr>
                <w:rFonts w:ascii="Times New Roman" w:hAnsi="Times New Roman" w:eastAsia="宋体"/>
                <w:b w:val="0"/>
                <w:i w:val="0"/>
                <w:color w:val="000000"/>
                <w:sz w:val="21"/>
              </w:rPr>
              <w:t>7</w:t>
            </w:r>
          </w:p>
        </w:tc>
      </w:tr>
      <w:tr w14:paraId="3C2508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5" w:type="dxa"/>
            <w:bottom w:w="65" w:type="dxa"/>
            <w:right w:w="85" w:type="dxa"/>
          </w:tblCellMar>
        </w:tblPrEx>
        <w:trPr>
          <w:cantSplit/>
          <w:jc w:val="center"/>
        </w:trPr>
        <w:tc>
          <w:tcPr>
            <w:tcW w:w="2268" w:type="dxa"/>
            <w:vAlign w:val="center"/>
          </w:tcPr>
          <w:p w14:paraId="3DEB9656">
            <w:pPr>
              <w:pStyle w:val="32"/>
              <w:keepNext w:val="0"/>
              <w:keepLines/>
              <w:spacing w:before="0" w:after="0" w:line="276" w:lineRule="auto"/>
              <w:ind w:left="0" w:right="0" w:firstLine="0"/>
              <w:jc w:val="left"/>
            </w:pPr>
            <w:r>
              <w:rPr>
                <w:rFonts w:ascii="Times New Roman" w:hAnsi="Times New Roman" w:eastAsia="宋体"/>
                <w:b w:val="0"/>
                <w:i w:val="0"/>
                <w:color w:val="000000"/>
                <w:sz w:val="21"/>
              </w:rPr>
              <w:t>合计</w:t>
            </w:r>
          </w:p>
        </w:tc>
        <w:tc>
          <w:tcPr>
            <w:tcW w:w="1701" w:type="dxa"/>
            <w:vAlign w:val="center"/>
          </w:tcPr>
          <w:p w14:paraId="23443C5E">
            <w:pPr>
              <w:pStyle w:val="32"/>
              <w:keepNext w:val="0"/>
              <w:keepLines/>
              <w:spacing w:before="0" w:after="0" w:line="276" w:lineRule="auto"/>
              <w:ind w:left="0" w:right="0" w:firstLine="0"/>
              <w:jc w:val="center"/>
            </w:pPr>
            <w:r>
              <w:rPr>
                <w:rFonts w:ascii="Times New Roman" w:hAnsi="Times New Roman" w:eastAsia="宋体"/>
                <w:b w:val="0"/>
                <w:i w:val="0"/>
                <w:color w:val="000000"/>
                <w:sz w:val="21"/>
              </w:rPr>
              <w:t>179</w:t>
            </w:r>
          </w:p>
        </w:tc>
        <w:tc>
          <w:tcPr>
            <w:tcW w:w="1701" w:type="dxa"/>
            <w:vAlign w:val="center"/>
          </w:tcPr>
          <w:p w14:paraId="6C49EBDB">
            <w:pPr>
              <w:pStyle w:val="32"/>
              <w:keepNext w:val="0"/>
              <w:keepLines/>
              <w:spacing w:before="0" w:after="0" w:line="276" w:lineRule="auto"/>
              <w:ind w:left="0" w:right="0" w:firstLine="0"/>
              <w:jc w:val="center"/>
            </w:pPr>
            <w:r>
              <w:rPr>
                <w:rFonts w:ascii="Times New Roman" w:hAnsi="Times New Roman" w:eastAsia="宋体"/>
                <w:b w:val="0"/>
                <w:i w:val="0"/>
                <w:color w:val="000000"/>
                <w:sz w:val="21"/>
              </w:rPr>
              <w:t>148</w:t>
            </w:r>
          </w:p>
        </w:tc>
        <w:tc>
          <w:tcPr>
            <w:tcW w:w="1701" w:type="dxa"/>
            <w:vAlign w:val="center"/>
          </w:tcPr>
          <w:p w14:paraId="2C9579AC">
            <w:pPr>
              <w:pStyle w:val="32"/>
              <w:keepNext w:val="0"/>
              <w:keepLines/>
              <w:spacing w:before="0" w:after="0" w:line="276" w:lineRule="auto"/>
              <w:ind w:left="0" w:right="0" w:firstLine="0"/>
              <w:jc w:val="center"/>
            </w:pPr>
            <w:r>
              <w:rPr>
                <w:rFonts w:ascii="Times New Roman" w:hAnsi="Times New Roman" w:eastAsia="宋体"/>
                <w:b w:val="0"/>
                <w:i w:val="0"/>
                <w:color w:val="000000"/>
                <w:sz w:val="21"/>
              </w:rPr>
              <w:t>154</w:t>
            </w:r>
          </w:p>
        </w:tc>
        <w:tc>
          <w:tcPr>
            <w:tcW w:w="1701" w:type="dxa"/>
            <w:vAlign w:val="center"/>
          </w:tcPr>
          <w:p w14:paraId="580B9261">
            <w:pPr>
              <w:pStyle w:val="32"/>
              <w:keepNext w:val="0"/>
              <w:keepLines/>
              <w:spacing w:before="0" w:after="0" w:line="276" w:lineRule="auto"/>
              <w:ind w:left="0" w:right="0" w:firstLine="0"/>
              <w:jc w:val="center"/>
            </w:pPr>
            <w:r>
              <w:rPr>
                <w:rFonts w:ascii="Times New Roman" w:hAnsi="Times New Roman" w:eastAsia="宋体"/>
                <w:b w:val="0"/>
                <w:i w:val="0"/>
                <w:color w:val="000000"/>
                <w:sz w:val="21"/>
              </w:rPr>
              <w:t>25</w:t>
            </w:r>
          </w:p>
        </w:tc>
      </w:tr>
    </w:tbl>
    <w:p w14:paraId="59E4E063">
      <w:pPr>
        <w:pStyle w:val="32"/>
        <w:jc w:val="both"/>
      </w:pPr>
      <w:r>
        <w:rPr>
          <w:rFonts w:ascii="Times New Roman" w:hAnsi="Times New Roman" w:eastAsia="宋体"/>
          <w:b w:val="0"/>
          <w:i w:val="0"/>
          <w:color w:val="000000"/>
          <w:sz w:val="24"/>
        </w:rPr>
        <w:t>新模型仍漏检 13 个小于 5 mm 的目标，小结节占其漏检的一半以上；但也漏掉 7 个不小于 10 mm 的结节。在候选起始阈值 0.01 与固定合并规则下，第 90 轮候选池能覆盖 172/179 个真实结节，仍有 7 个结节在候选池中未命中。1 FP/scan 操作点最终检出 154 个，说明还有 18 个候选池可命中的结节因评分与误报约束未被保留。</w:t>
      </w:r>
    </w:p>
    <w:p w14:paraId="4090A1B6">
      <w:pPr>
        <w:pStyle w:val="3"/>
        <w:ind w:left="0" w:firstLine="0"/>
        <w:jc w:val="left"/>
      </w:pPr>
      <w:r>
        <w:rPr>
          <w:rFonts w:ascii="Times New Roman" w:hAnsi="Times New Roman" w:eastAsia="黑体"/>
          <w:b/>
          <w:i w:val="0"/>
          <w:color w:val="000000"/>
          <w:sz w:val="28"/>
        </w:rPr>
        <w:t>3.5 数据与工程核对</w:t>
      </w:r>
    </w:p>
    <w:p w14:paraId="0745C148">
      <w:pPr>
        <w:pStyle w:val="32"/>
        <w:jc w:val="both"/>
      </w:pPr>
      <w:r>
        <w:rPr>
          <w:rFonts w:ascii="Times New Roman" w:hAnsi="Times New Roman" w:eastAsia="宋体"/>
          <w:b w:val="0"/>
          <w:i w:val="0"/>
          <w:color w:val="000000"/>
          <w:sz w:val="24"/>
        </w:rPr>
        <w:t>数据层面核对了同层多目标合并、完整 UID、划分互斥和坐标往返。新增 subset7、subset8 后，原验证、测试与演示清单保持不变。推理层面记录每个体积的层数、候选数、物理中心、三维分组成员和模型文件校验值；评价层面保留逐结节命中、漏检、未匹配与排除记录。最终表中的 TP、FP、FN 已与保存的逐项记录核对。</w:t>
      </w:r>
    </w:p>
    <w:p w14:paraId="7DFAB543">
      <w:pPr>
        <w:pStyle w:val="32"/>
        <w:jc w:val="both"/>
      </w:pPr>
      <w:r>
        <w:rPr>
          <w:rFonts w:ascii="Times New Roman" w:hAnsi="Times New Roman" w:eastAsia="宋体"/>
          <w:b w:val="0"/>
          <w:i w:val="0"/>
          <w:color w:val="000000"/>
          <w:sz w:val="24"/>
        </w:rPr>
        <w:t>保存为 best_center.pt 的主权重与第 90 轮源权重逐参数核对一致，其文件校验值列于附件清单后。mAP 最佳权重、最后权重和每个完整评价轮次的检查点另行保存，避免把名称为 best.pt 的 mAP 权重误当作完整 CT 最优权重。新权重尚未替换旧网页运行副本的默认权重。</w:t>
      </w:r>
    </w:p>
    <w:p w14:paraId="455355D9">
      <w:pPr>
        <w:pStyle w:val="2"/>
        <w:pageBreakBefore/>
        <w:ind w:left="0" w:firstLine="0"/>
        <w:jc w:val="left"/>
      </w:pPr>
      <w:r>
        <w:rPr>
          <w:rFonts w:ascii="Times New Roman" w:hAnsi="Times New Roman" w:eastAsia="黑体"/>
          <w:b/>
          <w:i w:val="0"/>
          <w:color w:val="000000"/>
          <w:sz w:val="32"/>
        </w:rPr>
        <w:t>四、总结</w:t>
      </w:r>
    </w:p>
    <w:p w14:paraId="39637A2F">
      <w:pPr>
        <w:pStyle w:val="32"/>
        <w:jc w:val="both"/>
      </w:pPr>
      <w:r>
        <w:rPr>
          <w:rFonts w:ascii="Times New Roman" w:hAnsi="Times New Roman" w:eastAsia="宋体"/>
          <w:b w:val="0"/>
          <w:i w:val="0"/>
          <w:color w:val="000000"/>
          <w:sz w:val="24"/>
        </w:rPr>
        <w:t>本课程设计完成了一个基于 YOLO11s 3-Slice 2.5D 思路的 CT 肺结节辅助检测系统原型。系统从医学仪器软件角度出发，将医学图像数据预处理、深度学习目标检测、后端接口服务和前端可视化展示整合到同一个项目中，形成了较完整的“输入—处理—分析—显示”闭环。</w:t>
      </w:r>
    </w:p>
    <w:p w14:paraId="2DA2F61C">
      <w:pPr>
        <w:pStyle w:val="32"/>
        <w:jc w:val="both"/>
      </w:pPr>
      <w:r>
        <w:rPr>
          <w:rFonts w:ascii="Times New Roman" w:hAnsi="Times New Roman" w:eastAsia="宋体"/>
          <w:b w:val="0"/>
          <w:i w:val="0"/>
          <w:color w:val="000000"/>
          <w:sz w:val="24"/>
        </w:rPr>
        <w:t>在模型设计上，使用三张连续切片构造 RGB 输入，使模型能够获得一定层间上下文。这种方案实现成本较低，适合课程设计和本科阶段项目展示，也有助于理解医生连续阅片和模型输入设计之间的联系。</w:t>
      </w:r>
    </w:p>
    <w:p w14:paraId="20276E38">
      <w:pPr>
        <w:pStyle w:val="32"/>
        <w:jc w:val="both"/>
      </w:pPr>
      <w:r>
        <w:rPr>
          <w:rFonts w:ascii="Times New Roman" w:hAnsi="Times New Roman" w:eastAsia="宋体"/>
          <w:b w:val="0"/>
          <w:i w:val="0"/>
          <w:color w:val="000000"/>
          <w:sz w:val="24"/>
        </w:rPr>
        <w:t>本设计得到的最优模型数据为：检出率86.3%，mAP50-95为0.3632，mAP50为0.68。</w:t>
      </w:r>
    </w:p>
    <w:p w14:paraId="5B36B2C5">
      <w:pPr>
        <w:pStyle w:val="32"/>
        <w:keepNext/>
        <w:jc w:val="both"/>
      </w:pPr>
      <w:r>
        <w:rPr>
          <w:rFonts w:ascii="Times New Roman" w:hAnsi="Times New Roman" w:eastAsia="宋体"/>
          <w:b w:val="0"/>
          <w:i w:val="0"/>
          <w:color w:val="000000"/>
          <w:sz w:val="24"/>
        </w:rPr>
        <w:t>最终网页端系统流程图如下：</w:t>
      </w:r>
    </w:p>
    <w:p w14:paraId="02EB61D0">
      <w:pPr>
        <w:pStyle w:val="32"/>
        <w:keepNext/>
        <w:keepLines/>
        <w:spacing w:before="100" w:after="0" w:line="240" w:lineRule="auto"/>
        <w:ind w:firstLine="0"/>
        <w:jc w:val="center"/>
      </w:pPr>
      <w:r>
        <w:drawing>
          <wp:inline distT="0" distB="0" distL="0" distR="0">
            <wp:extent cx="5039995" cy="5040630"/>
            <wp:effectExtent l="0" t="0" r="0" b="0"/>
            <wp:docPr id="22" name="Figure 9" descr="前后端检测与可视化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9" descr="前后端检测与可视化程序流程图"/>
                    <pic:cNvPicPr>
                      <a:picLocks noChangeAspect="1"/>
                    </pic:cNvPicPr>
                  </pic:nvPicPr>
                  <pic:blipFill>
                    <a:blip r:embed="rId13"/>
                    <a:srcRect b="3500"/>
                    <a:stretch>
                      <a:fillRect/>
                    </a:stretch>
                  </pic:blipFill>
                  <pic:spPr>
                    <a:xfrm>
                      <a:off x="0" y="0"/>
                      <a:ext cx="5040000" cy="5040887"/>
                    </a:xfrm>
                    <a:prstGeom prst="rect">
                      <a:avLst/>
                    </a:prstGeom>
                    <a:noFill/>
                    <a:ln>
                      <a:noFill/>
                    </a:ln>
                  </pic:spPr>
                </pic:pic>
              </a:graphicData>
            </a:graphic>
          </wp:inline>
        </w:drawing>
      </w:r>
    </w:p>
    <w:p w14:paraId="25ED9676">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9</w:t>
      </w:r>
      <w:r>
        <w:fldChar w:fldCharType="end"/>
      </w:r>
      <w:r>
        <w:rPr>
          <w:rFonts w:ascii="Times New Roman" w:hAnsi="Times New Roman" w:eastAsia="宋体"/>
          <w:b w:val="0"/>
          <w:i w:val="0"/>
          <w:color w:val="000000"/>
          <w:sz w:val="22"/>
        </w:rPr>
        <w:t xml:space="preserve">  前后端检测与可视化程序流程图</w:t>
      </w:r>
    </w:p>
    <w:p w14:paraId="2E2EFB2A">
      <w:pPr>
        <w:pStyle w:val="32"/>
        <w:keepNext/>
        <w:keepLines/>
        <w:spacing w:before="100" w:after="0" w:line="240" w:lineRule="auto"/>
        <w:ind w:firstLine="0"/>
        <w:jc w:val="center"/>
      </w:pPr>
      <w:r>
        <w:drawing>
          <wp:inline distT="0" distB="0" distL="0" distR="0">
            <wp:extent cx="5687695" cy="2772410"/>
            <wp:effectExtent l="0" t="0" r="9525" b="6985"/>
            <wp:docPr id="31" name="Figure 10" descr="Web 端检测结果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 10" descr="Web 端检测结果示例"/>
                    <pic:cNvPicPr>
                      <a:picLocks noChangeAspect="1"/>
                    </pic:cNvPicPr>
                  </pic:nvPicPr>
                  <pic:blipFill>
                    <a:blip r:embed="rId14"/>
                    <a:stretch>
                      <a:fillRect/>
                    </a:stretch>
                  </pic:blipFill>
                  <pic:spPr>
                    <a:xfrm>
                      <a:off x="0" y="0"/>
                      <a:ext cx="5688000" cy="2772565"/>
                    </a:xfrm>
                    <a:prstGeom prst="rect">
                      <a:avLst/>
                    </a:prstGeom>
                    <a:noFill/>
                    <a:ln>
                      <a:noFill/>
                    </a:ln>
                  </pic:spPr>
                </pic:pic>
              </a:graphicData>
            </a:graphic>
          </wp:inline>
        </w:drawing>
      </w:r>
    </w:p>
    <w:p w14:paraId="04D141C4">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10</w:t>
      </w:r>
      <w:r>
        <w:fldChar w:fldCharType="end"/>
      </w:r>
      <w:r>
        <w:rPr>
          <w:rFonts w:ascii="Times New Roman" w:hAnsi="Times New Roman" w:eastAsia="宋体"/>
          <w:b w:val="0"/>
          <w:i w:val="0"/>
          <w:color w:val="000000"/>
          <w:sz w:val="22"/>
        </w:rPr>
        <w:t xml:space="preserve">  Web 端检测结果示例</w:t>
      </w:r>
    </w:p>
    <w:p w14:paraId="4DD675DF">
      <w:pPr>
        <w:pStyle w:val="32"/>
        <w:keepNext/>
        <w:keepLines/>
        <w:spacing w:before="100" w:after="0" w:line="240" w:lineRule="auto"/>
        <w:ind w:firstLine="0"/>
        <w:jc w:val="center"/>
      </w:pPr>
      <w:r>
        <w:drawing>
          <wp:inline distT="0" distB="0" distL="0" distR="0">
            <wp:extent cx="5687695" cy="3883660"/>
            <wp:effectExtent l="0" t="0" r="635" b="8890"/>
            <wp:docPr id="30" name="Figure 11" descr="病灶位置弹出与预测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e 11" descr="病灶位置弹出与预测示例"/>
                    <pic:cNvPicPr>
                      <a:picLocks noChangeAspect="1"/>
                    </pic:cNvPicPr>
                  </pic:nvPicPr>
                  <pic:blipFill>
                    <a:blip r:embed="rId15"/>
                    <a:stretch>
                      <a:fillRect/>
                    </a:stretch>
                  </pic:blipFill>
                  <pic:spPr>
                    <a:xfrm>
                      <a:off x="0" y="0"/>
                      <a:ext cx="5688000" cy="3884158"/>
                    </a:xfrm>
                    <a:prstGeom prst="rect">
                      <a:avLst/>
                    </a:prstGeom>
                    <a:noFill/>
                    <a:ln>
                      <a:noFill/>
                    </a:ln>
                  </pic:spPr>
                </pic:pic>
              </a:graphicData>
            </a:graphic>
          </wp:inline>
        </w:drawing>
      </w:r>
    </w:p>
    <w:p w14:paraId="73DF2DFF">
      <w:pPr>
        <w:pStyle w:val="34"/>
        <w:keepNext w:val="0"/>
        <w:keepLines/>
        <w:spacing w:before="80" w:after="200"/>
        <w:ind w:firstLine="0"/>
        <w:jc w:val="center"/>
      </w:pPr>
      <w:r>
        <w:rPr>
          <w:rFonts w:ascii="Times New Roman" w:hAnsi="Times New Roman" w:eastAsia="宋体"/>
          <w:b w:val="0"/>
          <w:i w:val="0"/>
          <w:color w:val="000000"/>
          <w:sz w:val="22"/>
        </w:rPr>
        <w:t xml:space="preserve">图 </w:t>
      </w:r>
      <w:r>
        <w:fldChar w:fldCharType="begin"/>
      </w:r>
      <w:r>
        <w:instrText xml:space="preserve"> SEQ Figure \* ARABIC </w:instrText>
      </w:r>
      <w:r>
        <w:fldChar w:fldCharType="separate"/>
      </w:r>
      <w:r>
        <w:t>11</w:t>
      </w:r>
      <w:r>
        <w:fldChar w:fldCharType="end"/>
      </w:r>
      <w:r>
        <w:rPr>
          <w:rFonts w:ascii="Times New Roman" w:hAnsi="Times New Roman" w:eastAsia="宋体"/>
          <w:b w:val="0"/>
          <w:i w:val="0"/>
          <w:color w:val="000000"/>
          <w:sz w:val="22"/>
        </w:rPr>
        <w:t xml:space="preserve">  病灶位置弹出与预测示例</w:t>
      </w:r>
    </w:p>
    <w:p w14:paraId="6629A3C7">
      <w:pPr>
        <w:pStyle w:val="2"/>
        <w:pageBreakBefore/>
        <w:ind w:left="0" w:firstLine="0"/>
        <w:jc w:val="left"/>
      </w:pPr>
      <w:r>
        <w:rPr>
          <w:rFonts w:ascii="Times New Roman" w:hAnsi="Times New Roman" w:eastAsia="黑体"/>
          <w:b/>
          <w:i w:val="0"/>
          <w:color w:val="000000"/>
          <w:sz w:val="32"/>
        </w:rPr>
        <w:t>参考文献</w:t>
      </w:r>
    </w:p>
    <w:p w14:paraId="0AE9917F">
      <w:pPr>
        <w:pStyle w:val="32"/>
        <w:spacing w:after="160" w:line="288" w:lineRule="auto"/>
        <w:ind w:left="360" w:hanging="360"/>
        <w:jc w:val="left"/>
      </w:pPr>
      <w:r>
        <w:rPr>
          <w:rFonts w:ascii="Times New Roman" w:hAnsi="Times New Roman" w:eastAsia="宋体"/>
          <w:b w:val="0"/>
          <w:i w:val="0"/>
          <w:color w:val="000000"/>
          <w:sz w:val="21"/>
        </w:rPr>
        <w:t>[1] ALZAHRANI T, SOLAIMAN S. Accurate Detection of Pulmonary Nodule and False Positive Reduction with Faster R-CNN and ResNet Models[J]. International Journal of Computer Science and Network Security, 2025, 25(2): 1–10. DOI: 10.22937/IJCSNS.2025.25.2.1.</w:t>
      </w:r>
    </w:p>
    <w:p w14:paraId="286733A0">
      <w:pPr>
        <w:pStyle w:val="32"/>
        <w:spacing w:after="160" w:line="288" w:lineRule="auto"/>
        <w:ind w:left="360" w:hanging="360"/>
        <w:jc w:val="left"/>
      </w:pPr>
      <w:r>
        <w:rPr>
          <w:rFonts w:ascii="Times New Roman" w:hAnsi="Times New Roman" w:eastAsia="宋体"/>
          <w:b w:val="0"/>
          <w:i w:val="0"/>
          <w:color w:val="000000"/>
          <w:sz w:val="21"/>
        </w:rPr>
        <w:t>[2] HENDRIX W, HENDRIX N, SCHOLTEN E T, et al. Deep learning for the detection of benign and malignant pulmonary nodules in non-screening chest CT scans[J]. Communications Medicine, 2023, 3: 156. DOI: 10.1038/s43856-023-00388-5.</w:t>
      </w:r>
    </w:p>
    <w:p w14:paraId="6D11AEC3">
      <w:pPr>
        <w:pStyle w:val="32"/>
        <w:spacing w:after="160" w:line="288" w:lineRule="auto"/>
        <w:ind w:left="360" w:hanging="360"/>
        <w:jc w:val="left"/>
      </w:pPr>
      <w:r>
        <w:rPr>
          <w:rFonts w:ascii="Times New Roman" w:hAnsi="Times New Roman" w:eastAsia="宋体"/>
          <w:b w:val="0"/>
          <w:i w:val="0"/>
          <w:color w:val="000000"/>
          <w:sz w:val="21"/>
        </w:rPr>
        <w:t>[3] SETIO A A A, TRAVERSO A, DE BEL T, et al. Validation, comparison, and combination of algorithms for automatic detection of pulmonary nodules in computed tomography images: The LUNA16 challenge[J]. Medical Image Analysis, 2017, 42: 1–13. DOI: 10.1016/j.media.2017.06.015.</w:t>
      </w:r>
    </w:p>
    <w:p w14:paraId="7D847993">
      <w:pPr>
        <w:pStyle w:val="32"/>
        <w:spacing w:after="160" w:line="288" w:lineRule="auto"/>
        <w:ind w:left="360" w:hanging="360"/>
        <w:jc w:val="left"/>
      </w:pPr>
      <w:r>
        <w:rPr>
          <w:rFonts w:ascii="Times New Roman" w:hAnsi="Times New Roman" w:eastAsia="宋体"/>
          <w:b w:val="0"/>
          <w:i w:val="0"/>
          <w:color w:val="000000"/>
          <w:sz w:val="21"/>
        </w:rPr>
        <w:t>[4] SimpleITK. Fundamental Concepts[EB/OL]. [2026-10-13]. https://simpleitk.readthedocs.io/en/master/fundamentalConcepts.html.</w:t>
      </w:r>
    </w:p>
    <w:p w14:paraId="7CB8C123">
      <w:pPr>
        <w:pStyle w:val="32"/>
        <w:spacing w:after="160" w:line="288" w:lineRule="auto"/>
        <w:ind w:left="360" w:hanging="360"/>
        <w:jc w:val="left"/>
      </w:pPr>
      <w:r>
        <w:rPr>
          <w:rFonts w:ascii="Times New Roman" w:hAnsi="Times New Roman" w:eastAsia="宋体"/>
          <w:b w:val="0"/>
          <w:i w:val="0"/>
          <w:color w:val="000000"/>
          <w:sz w:val="21"/>
        </w:rPr>
        <w:t>[5] HE K, ZHANG X, REN S, et al. Deep Residual Learning for Image Recognition[C]//Proceedings of the IEEE Conference on Computer Vision and Pattern Recognition. 2016: 770–778.</w:t>
      </w:r>
    </w:p>
    <w:p w14:paraId="3AA7064B">
      <w:pPr>
        <w:pStyle w:val="32"/>
        <w:spacing w:after="160" w:line="288" w:lineRule="auto"/>
        <w:ind w:left="360" w:hanging="360"/>
        <w:jc w:val="left"/>
      </w:pPr>
      <w:r>
        <w:rPr>
          <w:rFonts w:ascii="Times New Roman" w:hAnsi="Times New Roman" w:eastAsia="宋体"/>
          <w:b w:val="0"/>
          <w:i w:val="0"/>
          <w:color w:val="000000"/>
          <w:sz w:val="21"/>
        </w:rPr>
        <w:t>[6] LUNA16 Challenge Organizers. Evaluation[EB/OL]. [2026-10-13]. https://luna16.grand-challenge.org/Evaluation/.</w:t>
      </w:r>
    </w:p>
    <w:p w14:paraId="51313747">
      <w:pPr>
        <w:pStyle w:val="32"/>
        <w:spacing w:after="160" w:line="288" w:lineRule="auto"/>
        <w:ind w:left="360" w:hanging="360"/>
        <w:jc w:val="left"/>
      </w:pPr>
      <w:r>
        <w:rPr>
          <w:rFonts w:ascii="Times New Roman" w:hAnsi="Times New Roman" w:eastAsia="宋体"/>
          <w:b w:val="0"/>
          <w:i w:val="0"/>
          <w:color w:val="000000"/>
          <w:sz w:val="21"/>
        </w:rPr>
        <w:t>[7] Ultralytics. Model Training with Ultralytics YOLO[EB/OL]. [2026-10-13]. https://docs.ultralytics.com/modes/train/.</w:t>
      </w:r>
    </w:p>
    <w:sectPr>
      <w:footerReference r:id="rId3" w:type="default"/>
      <w:pgSz w:w="11906" w:h="16838"/>
      <w:pgMar w:top="907" w:right="1418" w:bottom="907" w:left="1418"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7133410"/>
      <w:docPartObj>
        <w:docPartGallery w:val="autotext"/>
      </w:docPartObj>
    </w:sdtPr>
    <w:sdtContent>
      <w:p w14:paraId="08A1FD8D">
        <w:pPr>
          <w:pStyle w:val="9"/>
          <w:jc w:val="right"/>
        </w:pPr>
        <w:r>
          <w:fldChar w:fldCharType="begin"/>
        </w:r>
        <w:r>
          <w:instrText xml:space="preserve"> PAGE   \* MERGEFORMAT </w:instrText>
        </w:r>
        <w:r>
          <w:fldChar w:fldCharType="separate"/>
        </w:r>
        <w:r>
          <w:rPr>
            <w:lang w:val="zh-CN"/>
          </w:rPr>
          <w:t>5</w:t>
        </w:r>
        <w:r>
          <w:rPr>
            <w:lang w:val="zh-CN"/>
          </w:rPr>
          <w:fldChar w:fldCharType="end"/>
        </w:r>
      </w:p>
    </w:sdtContent>
  </w:sdt>
  <w:p w14:paraId="1D31EE4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69ED0"/>
    <w:multiLevelType w:val="singleLevel"/>
    <w:tmpl w:val="BF669ED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68B"/>
    <w:rsid w:val="0000329C"/>
    <w:rsid w:val="00020918"/>
    <w:rsid w:val="00021037"/>
    <w:rsid w:val="00023E5E"/>
    <w:rsid w:val="00025CA1"/>
    <w:rsid w:val="0004212D"/>
    <w:rsid w:val="000601A4"/>
    <w:rsid w:val="000662B3"/>
    <w:rsid w:val="000667A2"/>
    <w:rsid w:val="00072BC8"/>
    <w:rsid w:val="00087DD2"/>
    <w:rsid w:val="00091D9C"/>
    <w:rsid w:val="00092C6F"/>
    <w:rsid w:val="000C1517"/>
    <w:rsid w:val="000C3363"/>
    <w:rsid w:val="000C3979"/>
    <w:rsid w:val="000D78FB"/>
    <w:rsid w:val="000E5D75"/>
    <w:rsid w:val="00110D2A"/>
    <w:rsid w:val="00111222"/>
    <w:rsid w:val="00112793"/>
    <w:rsid w:val="001147F9"/>
    <w:rsid w:val="00120824"/>
    <w:rsid w:val="001230A8"/>
    <w:rsid w:val="0012600D"/>
    <w:rsid w:val="00130FAA"/>
    <w:rsid w:val="00142B82"/>
    <w:rsid w:val="0014659A"/>
    <w:rsid w:val="001524F7"/>
    <w:rsid w:val="00161FA8"/>
    <w:rsid w:val="001727B1"/>
    <w:rsid w:val="00190A61"/>
    <w:rsid w:val="00192BD1"/>
    <w:rsid w:val="001A6DC9"/>
    <w:rsid w:val="001B5210"/>
    <w:rsid w:val="001B722D"/>
    <w:rsid w:val="001E21F4"/>
    <w:rsid w:val="001F52AF"/>
    <w:rsid w:val="002117C9"/>
    <w:rsid w:val="00214696"/>
    <w:rsid w:val="00223799"/>
    <w:rsid w:val="00232A8E"/>
    <w:rsid w:val="00242090"/>
    <w:rsid w:val="00244116"/>
    <w:rsid w:val="00245451"/>
    <w:rsid w:val="002472D8"/>
    <w:rsid w:val="00254006"/>
    <w:rsid w:val="00254DBE"/>
    <w:rsid w:val="0026689E"/>
    <w:rsid w:val="00266DD9"/>
    <w:rsid w:val="00267A0A"/>
    <w:rsid w:val="00287B80"/>
    <w:rsid w:val="002A2685"/>
    <w:rsid w:val="002A5097"/>
    <w:rsid w:val="002A5BC9"/>
    <w:rsid w:val="002B4E6D"/>
    <w:rsid w:val="002B502C"/>
    <w:rsid w:val="002B5BF2"/>
    <w:rsid w:val="002D7F1C"/>
    <w:rsid w:val="002E01F2"/>
    <w:rsid w:val="002E2ACC"/>
    <w:rsid w:val="002E7C70"/>
    <w:rsid w:val="002F6665"/>
    <w:rsid w:val="002F6D54"/>
    <w:rsid w:val="0030442F"/>
    <w:rsid w:val="00317853"/>
    <w:rsid w:val="003267E5"/>
    <w:rsid w:val="00361CAE"/>
    <w:rsid w:val="00363D01"/>
    <w:rsid w:val="00364FAD"/>
    <w:rsid w:val="003656CD"/>
    <w:rsid w:val="00367998"/>
    <w:rsid w:val="00385AB0"/>
    <w:rsid w:val="00395318"/>
    <w:rsid w:val="00397820"/>
    <w:rsid w:val="003A5B33"/>
    <w:rsid w:val="003B0D0D"/>
    <w:rsid w:val="003B68D2"/>
    <w:rsid w:val="003E71AD"/>
    <w:rsid w:val="003F11D8"/>
    <w:rsid w:val="003F39A1"/>
    <w:rsid w:val="003F4E0C"/>
    <w:rsid w:val="003F7017"/>
    <w:rsid w:val="00404AB3"/>
    <w:rsid w:val="00406E08"/>
    <w:rsid w:val="00420774"/>
    <w:rsid w:val="0042130E"/>
    <w:rsid w:val="00425C6F"/>
    <w:rsid w:val="004432E1"/>
    <w:rsid w:val="0045108E"/>
    <w:rsid w:val="00461AE7"/>
    <w:rsid w:val="0046286F"/>
    <w:rsid w:val="0046646D"/>
    <w:rsid w:val="00473558"/>
    <w:rsid w:val="00485ADE"/>
    <w:rsid w:val="00485DA4"/>
    <w:rsid w:val="00494F02"/>
    <w:rsid w:val="004971EE"/>
    <w:rsid w:val="004A54B7"/>
    <w:rsid w:val="004B43BE"/>
    <w:rsid w:val="004B4E64"/>
    <w:rsid w:val="004C4777"/>
    <w:rsid w:val="004C4E79"/>
    <w:rsid w:val="00511086"/>
    <w:rsid w:val="005164C5"/>
    <w:rsid w:val="00523C16"/>
    <w:rsid w:val="005327F9"/>
    <w:rsid w:val="0053474D"/>
    <w:rsid w:val="0056526F"/>
    <w:rsid w:val="00572D67"/>
    <w:rsid w:val="0057420A"/>
    <w:rsid w:val="005857D4"/>
    <w:rsid w:val="005A4DC7"/>
    <w:rsid w:val="005A51FF"/>
    <w:rsid w:val="005B43E0"/>
    <w:rsid w:val="005C4156"/>
    <w:rsid w:val="005C58B2"/>
    <w:rsid w:val="005C76EE"/>
    <w:rsid w:val="005D0E36"/>
    <w:rsid w:val="006120EC"/>
    <w:rsid w:val="00614779"/>
    <w:rsid w:val="00640322"/>
    <w:rsid w:val="00640F1C"/>
    <w:rsid w:val="006530B7"/>
    <w:rsid w:val="00680DAC"/>
    <w:rsid w:val="0069156F"/>
    <w:rsid w:val="00697260"/>
    <w:rsid w:val="006976C7"/>
    <w:rsid w:val="006A3C0D"/>
    <w:rsid w:val="006A6A3D"/>
    <w:rsid w:val="006B45E1"/>
    <w:rsid w:val="006C6711"/>
    <w:rsid w:val="006E0204"/>
    <w:rsid w:val="006F32E2"/>
    <w:rsid w:val="0070497B"/>
    <w:rsid w:val="00704DC6"/>
    <w:rsid w:val="00714DA6"/>
    <w:rsid w:val="007240C5"/>
    <w:rsid w:val="0073041E"/>
    <w:rsid w:val="007621B7"/>
    <w:rsid w:val="00762222"/>
    <w:rsid w:val="00775855"/>
    <w:rsid w:val="0078394C"/>
    <w:rsid w:val="00787A93"/>
    <w:rsid w:val="007955B8"/>
    <w:rsid w:val="007A137C"/>
    <w:rsid w:val="007C012F"/>
    <w:rsid w:val="007C5F55"/>
    <w:rsid w:val="007D1464"/>
    <w:rsid w:val="007D2DF8"/>
    <w:rsid w:val="007E347E"/>
    <w:rsid w:val="007E387E"/>
    <w:rsid w:val="007F729C"/>
    <w:rsid w:val="008032A6"/>
    <w:rsid w:val="008048F9"/>
    <w:rsid w:val="00826771"/>
    <w:rsid w:val="0082677B"/>
    <w:rsid w:val="008309EF"/>
    <w:rsid w:val="0085162D"/>
    <w:rsid w:val="00851F26"/>
    <w:rsid w:val="00853B13"/>
    <w:rsid w:val="0085589D"/>
    <w:rsid w:val="00865B10"/>
    <w:rsid w:val="00871521"/>
    <w:rsid w:val="008803EA"/>
    <w:rsid w:val="008822BF"/>
    <w:rsid w:val="008B3781"/>
    <w:rsid w:val="008B5647"/>
    <w:rsid w:val="008C4619"/>
    <w:rsid w:val="008E77BB"/>
    <w:rsid w:val="008F5754"/>
    <w:rsid w:val="009036E1"/>
    <w:rsid w:val="00905FD0"/>
    <w:rsid w:val="009143F6"/>
    <w:rsid w:val="009147E8"/>
    <w:rsid w:val="00925DA9"/>
    <w:rsid w:val="0093265B"/>
    <w:rsid w:val="0093338C"/>
    <w:rsid w:val="009421A1"/>
    <w:rsid w:val="00953A2C"/>
    <w:rsid w:val="00962728"/>
    <w:rsid w:val="00970421"/>
    <w:rsid w:val="009776CA"/>
    <w:rsid w:val="0098718E"/>
    <w:rsid w:val="00987B42"/>
    <w:rsid w:val="009C0368"/>
    <w:rsid w:val="009C11E3"/>
    <w:rsid w:val="009C7D51"/>
    <w:rsid w:val="009D50E1"/>
    <w:rsid w:val="009E431B"/>
    <w:rsid w:val="009F559F"/>
    <w:rsid w:val="00A02184"/>
    <w:rsid w:val="00A047C8"/>
    <w:rsid w:val="00A109B3"/>
    <w:rsid w:val="00A23D38"/>
    <w:rsid w:val="00A4321E"/>
    <w:rsid w:val="00A51E42"/>
    <w:rsid w:val="00A729C7"/>
    <w:rsid w:val="00A776D9"/>
    <w:rsid w:val="00A9610A"/>
    <w:rsid w:val="00AC0A03"/>
    <w:rsid w:val="00AE7CBA"/>
    <w:rsid w:val="00B15B01"/>
    <w:rsid w:val="00B17566"/>
    <w:rsid w:val="00B26329"/>
    <w:rsid w:val="00B30DAD"/>
    <w:rsid w:val="00B339A8"/>
    <w:rsid w:val="00B34A52"/>
    <w:rsid w:val="00B3502E"/>
    <w:rsid w:val="00B46925"/>
    <w:rsid w:val="00B50FEA"/>
    <w:rsid w:val="00B65505"/>
    <w:rsid w:val="00B75768"/>
    <w:rsid w:val="00B77136"/>
    <w:rsid w:val="00B855A3"/>
    <w:rsid w:val="00B96A72"/>
    <w:rsid w:val="00BA6753"/>
    <w:rsid w:val="00BB1934"/>
    <w:rsid w:val="00BB6622"/>
    <w:rsid w:val="00BC78D3"/>
    <w:rsid w:val="00BD3B27"/>
    <w:rsid w:val="00BF24CC"/>
    <w:rsid w:val="00C05F23"/>
    <w:rsid w:val="00C11291"/>
    <w:rsid w:val="00C15809"/>
    <w:rsid w:val="00C2178C"/>
    <w:rsid w:val="00C230E3"/>
    <w:rsid w:val="00C26757"/>
    <w:rsid w:val="00C31F77"/>
    <w:rsid w:val="00C35D0C"/>
    <w:rsid w:val="00C53607"/>
    <w:rsid w:val="00C55451"/>
    <w:rsid w:val="00C8453E"/>
    <w:rsid w:val="00C85EBD"/>
    <w:rsid w:val="00C876FC"/>
    <w:rsid w:val="00C93687"/>
    <w:rsid w:val="00CA2FBB"/>
    <w:rsid w:val="00CA44BF"/>
    <w:rsid w:val="00CB1A7D"/>
    <w:rsid w:val="00CC6EF9"/>
    <w:rsid w:val="00CE0C66"/>
    <w:rsid w:val="00CE1B8F"/>
    <w:rsid w:val="00D023A0"/>
    <w:rsid w:val="00D2007E"/>
    <w:rsid w:val="00D24EC3"/>
    <w:rsid w:val="00D2522B"/>
    <w:rsid w:val="00D64317"/>
    <w:rsid w:val="00D67D7A"/>
    <w:rsid w:val="00D90801"/>
    <w:rsid w:val="00D94ABB"/>
    <w:rsid w:val="00DA4F80"/>
    <w:rsid w:val="00DB758A"/>
    <w:rsid w:val="00DE2B69"/>
    <w:rsid w:val="00DF32B8"/>
    <w:rsid w:val="00DF6601"/>
    <w:rsid w:val="00E0468B"/>
    <w:rsid w:val="00E17622"/>
    <w:rsid w:val="00E55FDB"/>
    <w:rsid w:val="00E60F36"/>
    <w:rsid w:val="00E635B2"/>
    <w:rsid w:val="00E6415F"/>
    <w:rsid w:val="00E7382E"/>
    <w:rsid w:val="00E75D65"/>
    <w:rsid w:val="00E811B1"/>
    <w:rsid w:val="00E85219"/>
    <w:rsid w:val="00E8680C"/>
    <w:rsid w:val="00EA230A"/>
    <w:rsid w:val="00EB6CBA"/>
    <w:rsid w:val="00EC6833"/>
    <w:rsid w:val="00EC6C96"/>
    <w:rsid w:val="00ED34E4"/>
    <w:rsid w:val="00ED3E54"/>
    <w:rsid w:val="00F0185F"/>
    <w:rsid w:val="00F05A3A"/>
    <w:rsid w:val="00F12B4C"/>
    <w:rsid w:val="00F160D3"/>
    <w:rsid w:val="00F17E1D"/>
    <w:rsid w:val="00F338E3"/>
    <w:rsid w:val="00F419E5"/>
    <w:rsid w:val="00F57DD3"/>
    <w:rsid w:val="00F869C8"/>
    <w:rsid w:val="00F872DE"/>
    <w:rsid w:val="00F92CEA"/>
    <w:rsid w:val="00FA1BF6"/>
    <w:rsid w:val="00FA74B0"/>
    <w:rsid w:val="00FB04AC"/>
    <w:rsid w:val="00FB07C2"/>
    <w:rsid w:val="00FB6752"/>
    <w:rsid w:val="00FC746A"/>
    <w:rsid w:val="00FC7691"/>
    <w:rsid w:val="00FD57AA"/>
    <w:rsid w:val="00FE175F"/>
    <w:rsid w:val="00FF4BFC"/>
    <w:rsid w:val="00FF6FBC"/>
    <w:rsid w:val="021752BB"/>
    <w:rsid w:val="082E4194"/>
    <w:rsid w:val="12D54EBF"/>
    <w:rsid w:val="1A9354DB"/>
    <w:rsid w:val="1E647776"/>
    <w:rsid w:val="2DBA1180"/>
    <w:rsid w:val="2F5437CE"/>
    <w:rsid w:val="34726BE4"/>
    <w:rsid w:val="34A70D97"/>
    <w:rsid w:val="36B63768"/>
    <w:rsid w:val="382555FB"/>
    <w:rsid w:val="3D1D5EDD"/>
    <w:rsid w:val="3ED42222"/>
    <w:rsid w:val="449A2D54"/>
    <w:rsid w:val="4764581A"/>
    <w:rsid w:val="49D203AB"/>
    <w:rsid w:val="51877A52"/>
    <w:rsid w:val="525C44F6"/>
    <w:rsid w:val="5F662F35"/>
    <w:rsid w:val="63DF455D"/>
    <w:rsid w:val="6419343E"/>
    <w:rsid w:val="6712625D"/>
    <w:rsid w:val="6D59543E"/>
    <w:rsid w:val="70E1793E"/>
    <w:rsid w:val="777C6DE2"/>
    <w:rsid w:val="784F37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9"/>
    <w:pPr>
      <w:keepNext/>
      <w:keepLines/>
      <w:pageBreakBefore w:val="0"/>
      <w:spacing w:before="200" w:after="120" w:line="276" w:lineRule="auto"/>
      <w:ind w:left="0" w:firstLine="0"/>
      <w:outlineLvl w:val="0"/>
    </w:pPr>
    <w:rPr>
      <w:rFonts w:asciiTheme="majorHAnsi" w:hAnsiTheme="majorHAnsi" w:eastAsiaTheme="majorEastAsia" w:cstheme="majorBidi"/>
      <w:b/>
      <w:bCs/>
      <w:color w:val="000000"/>
      <w:sz w:val="32"/>
      <w:szCs w:val="28"/>
    </w:rPr>
  </w:style>
  <w:style w:type="paragraph" w:styleId="3">
    <w:name w:val="heading 2"/>
    <w:basedOn w:val="1"/>
    <w:next w:val="1"/>
    <w:unhideWhenUsed/>
    <w:qFormat/>
    <w:uiPriority w:val="9"/>
    <w:pPr>
      <w:keepNext/>
      <w:keepLines/>
      <w:pageBreakBefore w:val="0"/>
      <w:spacing w:before="200" w:after="120" w:line="276" w:lineRule="auto"/>
      <w:ind w:left="0" w:firstLine="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0"/>
    <w:semiHidden/>
    <w:unhideWhenUsed/>
    <w:qFormat/>
    <w:uiPriority w:val="99"/>
    <w:rPr>
      <w:rFonts w:ascii="宋体"/>
      <w:sz w:val="18"/>
      <w:szCs w:val="18"/>
    </w:rPr>
  </w:style>
  <w:style w:type="paragraph" w:styleId="5">
    <w:name w:val="annotation text"/>
    <w:basedOn w:val="1"/>
    <w:link w:val="25"/>
    <w:semiHidden/>
    <w:qFormat/>
    <w:uiPriority w:val="99"/>
    <w:pPr>
      <w:jc w:val="left"/>
    </w:pPr>
  </w:style>
  <w:style w:type="paragraph" w:styleId="6">
    <w:name w:val="Body Text Indent"/>
    <w:basedOn w:val="1"/>
    <w:link w:val="28"/>
    <w:qFormat/>
    <w:uiPriority w:val="99"/>
    <w:pPr>
      <w:widowControl/>
      <w:spacing w:after="120"/>
      <w:ind w:left="420" w:leftChars="200"/>
      <w:jc w:val="left"/>
    </w:pPr>
    <w:rPr>
      <w:kern w:val="0"/>
      <w:sz w:val="24"/>
      <w:szCs w:val="24"/>
    </w:rPr>
  </w:style>
  <w:style w:type="paragraph" w:styleId="7">
    <w:name w:val="Plain Text"/>
    <w:basedOn w:val="1"/>
    <w:link w:val="21"/>
    <w:qFormat/>
    <w:uiPriority w:val="99"/>
    <w:rPr>
      <w:rFonts w:ascii="宋体" w:hAnsi="Courier New" w:cs="宋体"/>
      <w:kern w:val="0"/>
    </w:rPr>
  </w:style>
  <w:style w:type="paragraph" w:styleId="8">
    <w:name w:val="Balloon Text"/>
    <w:basedOn w:val="1"/>
    <w:link w:val="27"/>
    <w:semiHidden/>
    <w:qFormat/>
    <w:uiPriority w:val="99"/>
    <w:rPr>
      <w:sz w:val="18"/>
      <w:szCs w:val="18"/>
    </w:rPr>
  </w:style>
  <w:style w:type="paragraph" w:styleId="9">
    <w:name w:val="footer"/>
    <w:basedOn w:val="1"/>
    <w:link w:val="20"/>
    <w:qFormat/>
    <w:uiPriority w:val="99"/>
    <w:pPr>
      <w:tabs>
        <w:tab w:val="center" w:pos="4153"/>
        <w:tab w:val="right" w:pos="8306"/>
      </w:tabs>
      <w:snapToGrid w:val="0"/>
      <w:jc w:val="left"/>
    </w:pPr>
    <w:rPr>
      <w:kern w:val="0"/>
      <w:sz w:val="18"/>
      <w:szCs w:val="18"/>
    </w:rPr>
  </w:style>
  <w:style w:type="paragraph" w:styleId="10">
    <w:name w:val="header"/>
    <w:basedOn w:val="1"/>
    <w:link w:val="23"/>
    <w:qFormat/>
    <w:uiPriority w:val="99"/>
    <w:pPr>
      <w:pBdr>
        <w:bottom w:val="single" w:color="auto" w:sz="6" w:space="1"/>
      </w:pBdr>
      <w:tabs>
        <w:tab w:val="center" w:pos="4153"/>
        <w:tab w:val="right" w:pos="8306"/>
      </w:tabs>
      <w:snapToGrid w:val="0"/>
      <w:jc w:val="center"/>
    </w:pPr>
    <w:rPr>
      <w:kern w:val="0"/>
      <w:sz w:val="18"/>
      <w:szCs w:val="18"/>
    </w:rPr>
  </w:style>
  <w:style w:type="paragraph" w:styleId="11">
    <w:name w:val="footnote text"/>
    <w:basedOn w:val="1"/>
    <w:link w:val="29"/>
    <w:semiHidden/>
    <w:qFormat/>
    <w:uiPriority w:val="99"/>
    <w:pPr>
      <w:snapToGrid w:val="0"/>
      <w:jc w:val="left"/>
    </w:pPr>
    <w:rPr>
      <w:sz w:val="18"/>
      <w:szCs w:val="20"/>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annotation subject"/>
    <w:basedOn w:val="5"/>
    <w:next w:val="5"/>
    <w:link w:val="26"/>
    <w:semiHidden/>
    <w:qFormat/>
    <w:uiPriority w:val="99"/>
    <w:rPr>
      <w:b/>
      <w:bCs/>
    </w:rPr>
  </w:style>
  <w:style w:type="character" w:styleId="16">
    <w:name w:val="Strong"/>
    <w:basedOn w:val="15"/>
    <w:qFormat/>
    <w:uiPriority w:val="22"/>
    <w:rPr>
      <w:b/>
    </w:rPr>
  </w:style>
  <w:style w:type="character" w:styleId="17">
    <w:name w:val="page number"/>
    <w:basedOn w:val="15"/>
    <w:qFormat/>
    <w:uiPriority w:val="99"/>
  </w:style>
  <w:style w:type="character" w:styleId="18">
    <w:name w:val="Hyperlink"/>
    <w:basedOn w:val="15"/>
    <w:semiHidden/>
    <w:unhideWhenUsed/>
    <w:qFormat/>
    <w:uiPriority w:val="99"/>
    <w:rPr>
      <w:color w:val="0000FF"/>
      <w:u w:val="single"/>
    </w:rPr>
  </w:style>
  <w:style w:type="character" w:styleId="19">
    <w:name w:val="annotation reference"/>
    <w:semiHidden/>
    <w:qFormat/>
    <w:uiPriority w:val="99"/>
    <w:rPr>
      <w:sz w:val="21"/>
      <w:szCs w:val="21"/>
    </w:rPr>
  </w:style>
  <w:style w:type="character" w:customStyle="1" w:styleId="20">
    <w:name w:val="页脚 Char"/>
    <w:link w:val="9"/>
    <w:qFormat/>
    <w:uiPriority w:val="99"/>
    <w:rPr>
      <w:rFonts w:ascii="Times New Roman" w:hAnsi="Times New Roman" w:eastAsia="宋体" w:cs="Times New Roman"/>
      <w:sz w:val="18"/>
      <w:szCs w:val="18"/>
    </w:rPr>
  </w:style>
  <w:style w:type="character" w:customStyle="1" w:styleId="21">
    <w:name w:val="纯文本 Char"/>
    <w:link w:val="7"/>
    <w:qFormat/>
    <w:uiPriority w:val="99"/>
    <w:rPr>
      <w:rFonts w:ascii="宋体" w:hAnsi="Courier New" w:eastAsia="宋体" w:cs="宋体"/>
      <w:sz w:val="21"/>
      <w:szCs w:val="21"/>
    </w:rPr>
  </w:style>
  <w:style w:type="character" w:customStyle="1" w:styleId="22">
    <w:name w:val="Char"/>
    <w:semiHidden/>
    <w:qFormat/>
    <w:uiPriority w:val="99"/>
    <w:rPr>
      <w:sz w:val="18"/>
      <w:szCs w:val="18"/>
    </w:rPr>
  </w:style>
  <w:style w:type="character" w:customStyle="1" w:styleId="23">
    <w:name w:val="页眉 Char"/>
    <w:link w:val="10"/>
    <w:qFormat/>
    <w:uiPriority w:val="99"/>
    <w:rPr>
      <w:rFonts w:ascii="Times New Roman" w:hAnsi="Times New Roman" w:cs="Times New Roman"/>
      <w:sz w:val="18"/>
      <w:szCs w:val="18"/>
    </w:rPr>
  </w:style>
  <w:style w:type="paragraph" w:customStyle="1" w:styleId="24">
    <w:name w:val="Default"/>
    <w:qFormat/>
    <w:uiPriority w:val="99"/>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25">
    <w:name w:val="批注文字 Char"/>
    <w:link w:val="5"/>
    <w:semiHidden/>
    <w:qFormat/>
    <w:uiPriority w:val="99"/>
    <w:rPr>
      <w:rFonts w:ascii="Times New Roman" w:hAnsi="Times New Roman"/>
      <w:szCs w:val="21"/>
    </w:rPr>
  </w:style>
  <w:style w:type="character" w:customStyle="1" w:styleId="26">
    <w:name w:val="批注主题 Char"/>
    <w:link w:val="13"/>
    <w:semiHidden/>
    <w:qFormat/>
    <w:uiPriority w:val="99"/>
    <w:rPr>
      <w:rFonts w:ascii="Times New Roman" w:hAnsi="Times New Roman"/>
      <w:b/>
      <w:bCs/>
      <w:szCs w:val="21"/>
    </w:rPr>
  </w:style>
  <w:style w:type="character" w:customStyle="1" w:styleId="27">
    <w:name w:val="批注框文本 Char"/>
    <w:link w:val="8"/>
    <w:semiHidden/>
    <w:qFormat/>
    <w:uiPriority w:val="99"/>
    <w:rPr>
      <w:rFonts w:ascii="Times New Roman" w:hAnsi="Times New Roman"/>
      <w:sz w:val="0"/>
      <w:szCs w:val="0"/>
    </w:rPr>
  </w:style>
  <w:style w:type="character" w:customStyle="1" w:styleId="28">
    <w:name w:val="正文文本缩进 Char"/>
    <w:basedOn w:val="15"/>
    <w:link w:val="6"/>
    <w:qFormat/>
    <w:uiPriority w:val="99"/>
    <w:rPr>
      <w:rFonts w:ascii="Times New Roman" w:hAnsi="Times New Roman"/>
      <w:sz w:val="24"/>
      <w:szCs w:val="24"/>
    </w:rPr>
  </w:style>
  <w:style w:type="character" w:customStyle="1" w:styleId="29">
    <w:name w:val="脚注文本 Char"/>
    <w:basedOn w:val="15"/>
    <w:link w:val="11"/>
    <w:semiHidden/>
    <w:qFormat/>
    <w:uiPriority w:val="99"/>
    <w:rPr>
      <w:rFonts w:ascii="Times New Roman" w:hAnsi="Times New Roman"/>
      <w:kern w:val="2"/>
      <w:sz w:val="18"/>
    </w:rPr>
  </w:style>
  <w:style w:type="character" w:customStyle="1" w:styleId="30">
    <w:name w:val="文档结构图 Char"/>
    <w:basedOn w:val="15"/>
    <w:link w:val="4"/>
    <w:semiHidden/>
    <w:qFormat/>
    <w:uiPriority w:val="99"/>
    <w:rPr>
      <w:rFonts w:ascii="宋体" w:hAnsi="Times New Roman"/>
      <w:kern w:val="2"/>
      <w:sz w:val="18"/>
      <w:szCs w:val="18"/>
    </w:rPr>
  </w:style>
  <w:style w:type="paragraph" w:customStyle="1" w:styleId="31">
    <w:name w:val="Title"/>
    <w:basedOn w:val="1"/>
    <w:qFormat/>
    <w:uiPriority w:val="0"/>
    <w:pPr>
      <w:jc w:val="center"/>
    </w:pPr>
    <w:rPr>
      <w:rFonts w:ascii="Times New Roman" w:hAnsi="Times New Roman" w:eastAsia="黑体"/>
      <w:b/>
      <w:color w:val="000000"/>
      <w:sz w:val="36"/>
    </w:rPr>
  </w:style>
  <w:style w:type="paragraph" w:customStyle="1" w:styleId="32">
    <w:name w:val="ReportBody"/>
    <w:basedOn w:val="1"/>
    <w:uiPriority w:val="0"/>
    <w:pPr>
      <w:keepNext w:val="0"/>
      <w:keepLines w:val="0"/>
      <w:widowControl/>
      <w:spacing w:before="0" w:after="100" w:line="324" w:lineRule="auto"/>
      <w:ind w:firstLine="480"/>
    </w:pPr>
    <w:rPr>
      <w:rFonts w:ascii="Times New Roman" w:hAnsi="Times New Roman" w:eastAsia="宋体"/>
      <w:color w:val="000000"/>
      <w:sz w:val="24"/>
    </w:rPr>
  </w:style>
  <w:style w:type="paragraph" w:customStyle="1" w:styleId="33">
    <w:name w:val="heading 3"/>
    <w:basedOn w:val="1"/>
    <w:uiPriority w:val="0"/>
    <w:pPr>
      <w:keepNext/>
      <w:keepLines/>
      <w:pageBreakBefore w:val="0"/>
      <w:spacing w:before="200" w:after="120" w:line="276" w:lineRule="auto"/>
      <w:ind w:left="0" w:firstLine="0"/>
      <w:outlineLvl w:val="2"/>
    </w:pPr>
    <w:rPr>
      <w:rFonts w:ascii="Times New Roman" w:hAnsi="Times New Roman" w:eastAsia="黑体"/>
      <w:b/>
      <w:color w:val="000000"/>
      <w:sz w:val="24"/>
    </w:rPr>
  </w:style>
  <w:style w:type="paragraph" w:customStyle="1" w:styleId="34">
    <w:name w:val="caption"/>
    <w:uiPriority w:val="0"/>
    <w:pPr>
      <w:spacing w:line="276" w:lineRule="auto"/>
      <w:ind w:firstLine="0"/>
    </w:pPr>
    <w:rPr>
      <w:rFonts w:ascii="Times New Roman" w:hAnsi="Times New Roman" w:eastAsia="宋体" w:cs="Times New Roman"/>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22</Pages>
  <Words>4895</Words>
  <Characters>5602</Characters>
  <Lines>17</Lines>
  <Paragraphs>4</Paragraphs>
  <TotalTime>10</TotalTime>
  <ScaleCrop>false</ScaleCrop>
  <LinksUpToDate>false</LinksUpToDate>
  <CharactersWithSpaces>6220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2018-09-06T04:20:00Z</dcterms:created>
  <dc:creator>Administrator</dc:creator>
  <cp:lastModifiedBy>鉦木辛圡</cp:lastModifiedBy>
  <dcterms:modified xsi:type="dcterms:W3CDTF">2026-10-13T11:20:50Z</dcterms:modified>
  <dc:title>CT肺部三切片病灶自动检测与可视化 设计报告</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eyJoZGlkIjoiZDkzOTQ3ZTIzYjUwNWMyNjBiYzdjMTY0Nzc3NmNhZWUiLCJ1c2VySWQiOiIxMzUxNDYyMDYxIn0=</vt:lpwstr>
  </property>
  <property fmtid="{D5CDD505-2E9C-101B-9397-08002B2CF9AE}" pid="4" name="ICV">
    <vt:lpwstr>ABD9AEEC51E54AC9BD0AD3EAD1DD4564_13</vt:lpwstr>
  </property>
</Properties>
</file>