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7877D">
      <w:pPr>
        <w:rPr>
          <w:b/>
          <w:color w:val="FF0000"/>
          <w:sz w:val="30"/>
          <w:szCs w:val="30"/>
        </w:rPr>
      </w:pPr>
      <w:bookmarkStart w:id="1" w:name="_GoBack"/>
      <w:bookmarkEnd w:id="1"/>
      <w:r>
        <w:rPr>
          <w:b/>
          <w:color w:val="FF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3490595</wp:posOffset>
                </wp:positionH>
                <wp:positionV relativeFrom="paragraph">
                  <wp:posOffset>9525</wp:posOffset>
                </wp:positionV>
                <wp:extent cx="2190750" cy="476250"/>
                <wp:effectExtent l="9525" t="9525" r="952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F4D42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cs="宋体"/>
                                <w:b/>
                                <w:bCs/>
                                <w:sz w:val="28"/>
                                <w:szCs w:val="28"/>
                              </w:rPr>
                              <w:t>成绩：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85pt;margin-top:0.75pt;height:37.5pt;width:172.5pt;z-index:251659264;mso-width-relative:page;mso-height-relative:page;" fillcolor="#FFFFFF" filled="t" stroked="t" coordsize="21600,21600" o:gfxdata="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C+F2NQAAAAIAQAADwAAAAAAAAABACAAAAAiAAAAZHJz&#10;L2Rvd25yZXYueG1sUEsBAhQAFAAAAAgAh07iQHb8joQIAgAANwQAAA4AAAAAAAAAAQAgAAAAIwEA&#10;AGRycy9lMm9Eb2MueG1sUEsFBgAAAAAGAAYAWQEAAJ0FAAAAAA==&#10;">
                <v:fill on="t" focussize="0,0"/>
                <v:stroke weight="1.5pt" color="#000000" joinstyle="miter"/>
                <v:imagedata o:title=""/>
                <o:lock v:ext="edit" aspectratio="f"/>
                <v:textbox>
                  <w:txbxContent>
                    <w:p w14:paraId="49F4D42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cs="宋体"/>
                          <w:b/>
                          <w:bCs/>
                          <w:sz w:val="28"/>
                          <w:szCs w:val="28"/>
                        </w:rPr>
                        <w:t>成绩：</w:t>
                      </w:r>
                    </w:p>
                  </w:txbxContent>
                </v:textbox>
              </v:shape>
            </w:pict>
          </mc:Fallback>
        </mc:AlternateContent>
      </w:r>
    </w:p>
    <w:p w14:paraId="78C86D7E">
      <w:pPr>
        <w:rPr>
          <w:b/>
          <w:color w:val="FF0000"/>
          <w:sz w:val="28"/>
          <w:szCs w:val="28"/>
        </w:rPr>
      </w:pPr>
    </w:p>
    <w:p w14:paraId="73F054F6"/>
    <w:p w14:paraId="44762DA0"/>
    <w:p w14:paraId="14A32141"/>
    <w:p w14:paraId="7CE6B466">
      <w:pPr>
        <w:jc w:val="center"/>
        <w:rPr>
          <w:rFonts w:ascii="华文行楷" w:eastAsia="华文行楷"/>
          <w:sz w:val="44"/>
          <w:szCs w:val="44"/>
        </w:rPr>
      </w:pPr>
      <w:r>
        <w:rPr>
          <w:rFonts w:hint="eastAsia" w:ascii="华文行楷" w:eastAsia="华文行楷"/>
          <w:sz w:val="44"/>
          <w:szCs w:val="44"/>
        </w:rPr>
        <w:t>西南科技大学</w:t>
      </w:r>
      <w:r>
        <w:rPr>
          <w:rFonts w:hint="eastAsia" w:ascii="华文行楷" w:eastAsia="华文行楷"/>
          <w:sz w:val="44"/>
          <w:szCs w:val="44"/>
          <w:lang w:val="en-US" w:eastAsia="zh-CN"/>
        </w:rPr>
        <w:t>医</w:t>
      </w:r>
      <w:r>
        <w:rPr>
          <w:rFonts w:hint="eastAsia" w:ascii="华文行楷" w:eastAsia="华文行楷"/>
          <w:sz w:val="44"/>
          <w:szCs w:val="44"/>
        </w:rPr>
        <w:t>学院</w:t>
      </w:r>
      <w:r>
        <w:rPr>
          <w:rFonts w:hint="eastAsia" w:ascii="华文行楷" w:eastAsia="华文行楷"/>
          <w:sz w:val="44"/>
          <w:szCs w:val="44"/>
          <w:lang w:val="en-US" w:eastAsia="zh-CN"/>
        </w:rPr>
        <w:t>生物医学</w:t>
      </w:r>
      <w:r>
        <w:rPr>
          <w:rFonts w:hint="eastAsia" w:ascii="华文行楷" w:eastAsia="华文行楷"/>
          <w:sz w:val="44"/>
          <w:szCs w:val="44"/>
        </w:rPr>
        <w:t>工程系</w:t>
      </w:r>
    </w:p>
    <w:p w14:paraId="05B7D563">
      <w:pPr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综合设计报告</w:t>
      </w:r>
    </w:p>
    <w:p w14:paraId="2E43D080">
      <w:pPr>
        <w:jc w:val="center"/>
        <w:rPr>
          <w:rFonts w:ascii="宋体"/>
          <w:sz w:val="84"/>
          <w:szCs w:val="84"/>
        </w:rPr>
      </w:pPr>
    </w:p>
    <w:p w14:paraId="6FDF7586">
      <w:pPr>
        <w:jc w:val="center"/>
        <w:rPr>
          <w:rFonts w:ascii="宋体"/>
          <w:sz w:val="24"/>
          <w:szCs w:val="24"/>
        </w:rPr>
      </w:pPr>
    </w:p>
    <w:p w14:paraId="1C1E1268">
      <w:pPr>
        <w:jc w:val="center"/>
        <w:rPr>
          <w:rFonts w:ascii="宋体"/>
          <w:sz w:val="24"/>
          <w:szCs w:val="24"/>
        </w:rPr>
      </w:pPr>
    </w:p>
    <w:p w14:paraId="6180A335">
      <w:pPr>
        <w:jc w:val="center"/>
        <w:rPr>
          <w:rFonts w:ascii="宋体"/>
          <w:sz w:val="24"/>
          <w:szCs w:val="24"/>
        </w:rPr>
      </w:pPr>
    </w:p>
    <w:p w14:paraId="03102E43">
      <w:pPr>
        <w:spacing w:before="156" w:beforeLines="50" w:after="156" w:afterLines="50"/>
        <w:ind w:left="840" w:firstLine="420"/>
        <w:rPr>
          <w:rFonts w:ascii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设计题目：</w:t>
      </w:r>
      <w:r>
        <w:rPr>
          <w:rFonts w:ascii="Times New Roman" w:hAnsi="Times New Roman" w:eastAsia="宋体"/>
          <w:sz w:val="28"/>
        </w:rPr>
        <w:t>CT肺部三切片病灶自动检测与可视化</w:t>
      </w:r>
    </w:p>
    <w:p w14:paraId="3EA4F8EA">
      <w:pPr>
        <w:spacing w:before="156" w:beforeLines="50" w:after="156" w:afterLines="50"/>
        <w:ind w:left="840" w:firstLine="420"/>
        <w:rPr>
          <w:rFonts w:ascii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专业班级：</w:t>
      </w:r>
    </w:p>
    <w:p w14:paraId="22801F85">
      <w:pPr>
        <w:spacing w:before="156" w:beforeLines="50" w:after="156" w:afterLines="50"/>
        <w:ind w:left="840" w:firstLine="420"/>
        <w:rPr>
          <w:rFonts w:ascii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学生姓名</w:t>
      </w:r>
      <w:bookmarkStart w:id="0" w:name="OLE_LINK1"/>
      <w:r>
        <w:rPr>
          <w:rFonts w:hint="eastAsia" w:ascii="宋体" w:hAnsi="宋体" w:cs="宋体"/>
          <w:b/>
          <w:bCs/>
          <w:sz w:val="30"/>
          <w:szCs w:val="30"/>
        </w:rPr>
        <w:t>：</w:t>
      </w:r>
      <w:bookmarkEnd w:id="0"/>
    </w:p>
    <w:p w14:paraId="25C1050B">
      <w:pPr>
        <w:spacing w:before="156" w:beforeLines="50" w:after="156" w:afterLines="50"/>
        <w:ind w:left="840" w:firstLine="420"/>
        <w:rPr>
          <w:rFonts w:ascii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学生学号：</w:t>
      </w:r>
    </w:p>
    <w:p w14:paraId="426CEB57">
      <w:pPr>
        <w:spacing w:before="156" w:beforeLines="50" w:after="156" w:afterLines="50"/>
        <w:ind w:left="840" w:firstLine="420"/>
        <w:rPr>
          <w:rFonts w:ascii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指导教师：</w:t>
      </w:r>
    </w:p>
    <w:p w14:paraId="60D9B6F6">
      <w:pPr>
        <w:spacing w:before="156" w:beforeLines="50" w:after="156" w:afterLines="50"/>
        <w:ind w:left="840" w:firstLine="420"/>
        <w:rPr>
          <w:rFonts w:ascii="宋体"/>
          <w:b/>
          <w:bCs/>
          <w:sz w:val="28"/>
          <w:szCs w:val="28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起止日期：</w:t>
      </w:r>
    </w:p>
    <w:p w14:paraId="0F825A4E">
      <w:pPr>
        <w:spacing w:before="156" w:beforeLines="50" w:after="156" w:afterLines="50"/>
        <w:ind w:firstLine="2642"/>
        <w:rPr>
          <w:rFonts w:ascii="宋体"/>
          <w:sz w:val="24"/>
          <w:szCs w:val="24"/>
        </w:rPr>
      </w:pPr>
    </w:p>
    <w:p w14:paraId="7D392718">
      <w:pPr>
        <w:pStyle w:val="7"/>
        <w:jc w:val="center"/>
        <w:rPr>
          <w:rFonts w:hAnsi="宋体" w:cs="Times New Roman"/>
          <w:sz w:val="32"/>
          <w:szCs w:val="32"/>
        </w:rPr>
      </w:pPr>
    </w:p>
    <w:p w14:paraId="3017840F">
      <w:pPr>
        <w:pStyle w:val="7"/>
        <w:jc w:val="center"/>
        <w:rPr>
          <w:rFonts w:hAnsi="宋体" w:cs="Times New Roman"/>
          <w:sz w:val="32"/>
          <w:szCs w:val="32"/>
        </w:rPr>
      </w:pPr>
    </w:p>
    <w:p w14:paraId="5309DAA0">
      <w:pPr>
        <w:pStyle w:val="7"/>
        <w:jc w:val="center"/>
        <w:rPr>
          <w:rFonts w:hAnsi="宋体" w:cs="Times New Roman"/>
          <w:sz w:val="32"/>
          <w:szCs w:val="32"/>
        </w:rPr>
      </w:pPr>
    </w:p>
    <w:p w14:paraId="2F045760">
      <w:pPr>
        <w:pStyle w:val="7"/>
        <w:jc w:val="center"/>
        <w:rPr>
          <w:rFonts w:hAnsi="宋体"/>
          <w:sz w:val="36"/>
          <w:szCs w:val="36"/>
        </w:rPr>
      </w:pPr>
      <w:r>
        <w:rPr>
          <w:rFonts w:hint="eastAsia" w:hAnsi="宋体"/>
          <w:sz w:val="36"/>
          <w:szCs w:val="36"/>
        </w:rPr>
        <w:t>西南科技大学</w:t>
      </w:r>
      <w:r>
        <w:rPr>
          <w:rFonts w:hint="eastAsia" w:hAnsi="宋体"/>
          <w:sz w:val="36"/>
          <w:szCs w:val="36"/>
          <w:lang w:val="en-US" w:eastAsia="zh-CN"/>
        </w:rPr>
        <w:t>医学院生物医学</w:t>
      </w:r>
      <w:r>
        <w:rPr>
          <w:rFonts w:hint="eastAsia" w:hAnsi="宋体"/>
          <w:sz w:val="36"/>
          <w:szCs w:val="36"/>
        </w:rPr>
        <w:t>工程系制</w:t>
      </w:r>
    </w:p>
    <w:p w14:paraId="5234B2E4">
      <w:pPr>
        <w:spacing w:before="156" w:beforeLines="50" w:after="156" w:afterLines="50"/>
        <w:jc w:val="center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Ansi="宋体"/>
          <w:sz w:val="32"/>
          <w:szCs w:val="32"/>
        </w:rPr>
        <w:br w:type="page"/>
      </w:r>
      <w:r>
        <w:rPr>
          <w:rFonts w:hint="eastAsia" w:ascii="华文行楷" w:eastAsia="华文行楷"/>
          <w:sz w:val="44"/>
          <w:szCs w:val="44"/>
        </w:rPr>
        <w:t>西南科技大学医学院生物医学工程系</w:t>
      </w:r>
    </w:p>
    <w:p w14:paraId="67F659B3">
      <w:pPr>
        <w:jc w:val="center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综合设计任务书</w:t>
      </w:r>
    </w:p>
    <w:tbl>
      <w:tblPr>
        <w:tblStyle w:val="14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450"/>
        <w:gridCol w:w="1243"/>
        <w:gridCol w:w="196"/>
        <w:gridCol w:w="1620"/>
        <w:gridCol w:w="1441"/>
        <w:gridCol w:w="1809"/>
      </w:tblGrid>
      <w:tr w14:paraId="617E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41" w:type="dxa"/>
          </w:tcPr>
          <w:p w14:paraId="70DC1558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专业班级</w:t>
            </w:r>
          </w:p>
        </w:tc>
        <w:tc>
          <w:tcPr>
            <w:tcW w:w="1450" w:type="dxa"/>
          </w:tcPr>
          <w:p w14:paraId="462BD1B2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439" w:type="dxa"/>
            <w:gridSpan w:val="2"/>
            <w:vAlign w:val="center"/>
          </w:tcPr>
          <w:p w14:paraId="1A1875E7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学生姓名</w:t>
            </w:r>
          </w:p>
        </w:tc>
        <w:tc>
          <w:tcPr>
            <w:tcW w:w="1620" w:type="dxa"/>
          </w:tcPr>
          <w:p w14:paraId="376FE966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5B59B6A9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　号</w:t>
            </w:r>
          </w:p>
        </w:tc>
        <w:tc>
          <w:tcPr>
            <w:tcW w:w="1809" w:type="dxa"/>
          </w:tcPr>
          <w:p w14:paraId="1BC14B9C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</w:tr>
      <w:tr w14:paraId="550C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241" w:type="dxa"/>
            <w:vAlign w:val="center"/>
          </w:tcPr>
          <w:p w14:paraId="4A47FC70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设计题目</w:t>
            </w:r>
          </w:p>
        </w:tc>
        <w:tc>
          <w:tcPr>
            <w:tcW w:w="7759" w:type="dxa"/>
            <w:gridSpan w:val="6"/>
            <w:vAlign w:val="center"/>
          </w:tcPr>
          <w:p w14:paraId="46AC24C9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CT肺部三切片病灶自动检测与可视化</w:t>
            </w:r>
          </w:p>
        </w:tc>
      </w:tr>
      <w:tr w14:paraId="68166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5" w:hRule="atLeast"/>
          <w:jc w:val="center"/>
        </w:trPr>
        <w:tc>
          <w:tcPr>
            <w:tcW w:w="1241" w:type="dxa"/>
            <w:vAlign w:val="center"/>
          </w:tcPr>
          <w:p w14:paraId="4B55FA15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设</w:t>
            </w:r>
          </w:p>
          <w:p w14:paraId="3C67E1E1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计</w:t>
            </w:r>
          </w:p>
          <w:p w14:paraId="78513DF1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任</w:t>
            </w:r>
          </w:p>
          <w:p w14:paraId="5FC23225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务</w:t>
            </w:r>
          </w:p>
          <w:p w14:paraId="380AAF5A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书</w:t>
            </w:r>
          </w:p>
        </w:tc>
        <w:tc>
          <w:tcPr>
            <w:tcW w:w="7759" w:type="dxa"/>
            <w:gridSpan w:val="6"/>
          </w:tcPr>
          <w:p w14:paraId="2996CDD9">
            <w:pPr>
              <w:spacing w:line="360" w:lineRule="auto"/>
              <w:rPr>
                <w:rFonts w:hint="eastAsia" w:ascii="宋体" w:cs="宋体"/>
                <w:b/>
                <w:sz w:val="24"/>
                <w:szCs w:val="24"/>
              </w:rPr>
            </w:pPr>
            <w:r>
              <w:rPr>
                <w:rFonts w:hint="eastAsia" w:ascii="宋体" w:cs="宋体"/>
                <w:b/>
                <w:sz w:val="24"/>
                <w:szCs w:val="24"/>
              </w:rPr>
              <w:t>基本要求：</w:t>
            </w:r>
          </w:p>
          <w:p w14:paraId="1963B5CF">
            <w:pPr>
              <w:numPr>
                <w:ilvl w:val="0"/>
                <w:numId w:val="1"/>
              </w:numPr>
              <w:spacing w:before="0" w:after="0" w:line="360" w:lineRule="exact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使用 LUNA16 肺部 CT 数据集，完成数据划分、图像预处理、病灶位置提取以及训练样本构建。</w:t>
            </w:r>
          </w:p>
          <w:p w14:paraId="0E9BCF84">
            <w:pPr>
              <w:numPr>
                <w:ilvl w:val="0"/>
                <w:numId w:val="1"/>
              </w:numPr>
              <w:spacing w:before="0" w:after="0" w:line="360" w:lineRule="exact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使用YOLO 目标检测网络对肺部 CT 病灶进行检测，通过构建适用于 CT 图像的训练数据，对模型进行训练和参数调整，实现肺部疑似病灶区域的自动定位和候选框生成。</w:t>
            </w:r>
          </w:p>
          <w:p w14:paraId="375D7A44">
            <w:pPr>
              <w:numPr>
                <w:ilvl w:val="0"/>
                <w:numId w:val="1"/>
              </w:numPr>
              <w:spacing w:before="0" w:after="0" w:line="360" w:lineRule="exact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当前切片及其前后相邻切片进行组合，以 z-1、z、z+1 三张连续切片构成三通道 2.5D 输入，使模型能够利用病灶在相邻 CT 层面的连续信息。</w:t>
            </w:r>
          </w:p>
          <w:p w14:paraId="104DB312">
            <w:pPr>
              <w:numPr>
                <w:ilvl w:val="0"/>
                <w:numId w:val="1"/>
              </w:num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完成后端功能实现，以及前端页面交互功能实现。</w:t>
            </w:r>
          </w:p>
          <w:p w14:paraId="770BB7A9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撰写规范的设计报告。</w:t>
            </w:r>
          </w:p>
          <w:p w14:paraId="5A2A98FA">
            <w:pPr>
              <w:numPr>
                <w:ilvl w:val="0"/>
                <w:numId w:val="0"/>
              </w:numPr>
              <w:spacing w:before="0" w:after="0" w:line="360" w:lineRule="exact"/>
              <w:ind w:leftChars="0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sz w:val="24"/>
                <w:szCs w:val="24"/>
              </w:rPr>
              <w:t>扩展工作：</w:t>
            </w:r>
            <w:r>
              <w:rPr>
                <w:rFonts w:hint="eastAsia"/>
                <w:bCs/>
                <w:sz w:val="24"/>
                <w:szCs w:val="24"/>
              </w:rPr>
              <w:br w:type="textWrapping"/>
            </w:r>
            <w:r>
              <w:rPr>
                <w:rFonts w:hint="eastAsia"/>
                <w:bCs/>
                <w:sz w:val="24"/>
                <w:szCs w:val="24"/>
              </w:rPr>
              <w:t>使用 ResNet18 建立二阶段分类模型，对 YOLO 输出的候选病灶进行进一步判别，从而减少错误检测和假阳性结果。</w:t>
            </w:r>
            <w:r>
              <w:rPr>
                <w:rFonts w:hint="eastAsia"/>
                <w:bCs/>
                <w:sz w:val="24"/>
                <w:szCs w:val="24"/>
                <w:lang w:val="en-US" w:eastAsia="zh-CN"/>
              </w:rPr>
              <w:t>提高模型检测正确率</w:t>
            </w:r>
          </w:p>
          <w:p w14:paraId="139E8232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ascii="宋体"/>
                <w:sz w:val="24"/>
                <w:szCs w:val="24"/>
              </w:rPr>
            </w:pPr>
          </w:p>
          <w:p w14:paraId="5C5E4A79"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sz w:val="24"/>
                <w:szCs w:val="24"/>
              </w:rPr>
              <w:t>设计成果形式</w:t>
            </w:r>
            <w:r>
              <w:rPr>
                <w:rFonts w:hint="eastAsia" w:cs="宋体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sz w:val="24"/>
                <w:szCs w:val="24"/>
              </w:rPr>
              <w:sym w:font="Wingdings 2" w:char="0052"/>
            </w:r>
            <w:r>
              <w:rPr>
                <w:rFonts w:hint="eastAsia" w:cs="宋体"/>
                <w:sz w:val="24"/>
                <w:szCs w:val="24"/>
              </w:rPr>
              <w:t>设计报告打印稿；</w:t>
            </w:r>
            <w:r>
              <w:rPr>
                <w:rFonts w:hint="eastAsia" w:ascii="宋体" w:hAnsi="宋体"/>
                <w:sz w:val="24"/>
                <w:szCs w:val="24"/>
              </w:rPr>
              <w:sym w:font="Wingdings 2" w:char="0052"/>
            </w:r>
            <w:r>
              <w:rPr>
                <w:rFonts w:hint="eastAsia" w:cs="宋体"/>
                <w:sz w:val="24"/>
                <w:szCs w:val="24"/>
              </w:rPr>
              <w:t>软件；</w:t>
            </w: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hint="eastAsia" w:cs="宋体"/>
                <w:sz w:val="24"/>
                <w:szCs w:val="24"/>
              </w:rPr>
              <w:t>实物；</w:t>
            </w: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hint="eastAsia" w:cs="宋体"/>
                <w:sz w:val="24"/>
                <w:szCs w:val="24"/>
              </w:rPr>
              <w:t>图纸；</w:t>
            </w: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hint="eastAsia" w:cs="宋体"/>
                <w:sz w:val="24"/>
                <w:szCs w:val="24"/>
              </w:rPr>
              <w:t>其他</w:t>
            </w:r>
          </w:p>
          <w:p w14:paraId="285BE2BE">
            <w:pPr>
              <w:wordWrap w:val="0"/>
              <w:spacing w:after="156" w:afterLines="50"/>
              <w:jc w:val="right"/>
              <w:rPr>
                <w:rFonts w:ascii="宋体"/>
                <w:sz w:val="24"/>
                <w:szCs w:val="24"/>
              </w:rPr>
            </w:pPr>
          </w:p>
        </w:tc>
      </w:tr>
      <w:tr w14:paraId="684F5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241" w:type="dxa"/>
            <w:vMerge w:val="restart"/>
            <w:vAlign w:val="center"/>
          </w:tcPr>
          <w:p w14:paraId="3E109AD4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时间安排</w:t>
            </w:r>
          </w:p>
        </w:tc>
        <w:tc>
          <w:tcPr>
            <w:tcW w:w="2693" w:type="dxa"/>
            <w:gridSpan w:val="2"/>
          </w:tcPr>
          <w:p w14:paraId="1E109DF8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</w:rPr>
              <w:t>时间</w:t>
            </w:r>
          </w:p>
        </w:tc>
        <w:tc>
          <w:tcPr>
            <w:tcW w:w="5066" w:type="dxa"/>
            <w:gridSpan w:val="4"/>
          </w:tcPr>
          <w:p w14:paraId="7E88FC98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</w:rPr>
              <w:t>工作内容</w:t>
            </w:r>
          </w:p>
        </w:tc>
      </w:tr>
      <w:tr w14:paraId="7A197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241" w:type="dxa"/>
            <w:vMerge w:val="continue"/>
          </w:tcPr>
          <w:p w14:paraId="4756FB5D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2693" w:type="dxa"/>
            <w:gridSpan w:val="2"/>
          </w:tcPr>
          <w:p w14:paraId="6EF5E810">
            <w:pPr>
              <w:spacing w:line="4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2</w:t>
            </w:r>
            <w:r>
              <w:rPr>
                <w:rFonts w:ascii="宋体"/>
                <w:sz w:val="24"/>
                <w:szCs w:val="24"/>
              </w:rPr>
              <w:t>02</w:t>
            </w:r>
            <w:r>
              <w:rPr>
                <w:rFonts w:hint="eastAsia" w:ascii="宋体"/>
                <w:sz w:val="24"/>
                <w:szCs w:val="24"/>
              </w:rPr>
              <w:t>6.09.10-09.13</w:t>
            </w:r>
          </w:p>
        </w:tc>
        <w:tc>
          <w:tcPr>
            <w:tcW w:w="5066" w:type="dxa"/>
            <w:gridSpan w:val="4"/>
          </w:tcPr>
          <w:p w14:paraId="6AD4A060">
            <w:pPr>
              <w:spacing w:line="4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cs="宋体"/>
                <w:bCs/>
                <w:sz w:val="24"/>
                <w:szCs w:val="24"/>
              </w:rPr>
              <w:t>指导教师与学生联系，确定题目</w:t>
            </w:r>
          </w:p>
        </w:tc>
      </w:tr>
      <w:tr w14:paraId="3E43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241" w:type="dxa"/>
            <w:vMerge w:val="continue"/>
          </w:tcPr>
          <w:p w14:paraId="3E39B9DC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2693" w:type="dxa"/>
            <w:gridSpan w:val="2"/>
          </w:tcPr>
          <w:p w14:paraId="479C069C">
            <w:pPr>
              <w:spacing w:line="4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2</w:t>
            </w:r>
            <w:r>
              <w:rPr>
                <w:rFonts w:ascii="宋体"/>
                <w:sz w:val="24"/>
                <w:szCs w:val="24"/>
              </w:rPr>
              <w:t>02</w:t>
            </w:r>
            <w:r>
              <w:rPr>
                <w:rFonts w:hint="eastAsia" w:ascii="宋体"/>
                <w:sz w:val="24"/>
                <w:szCs w:val="24"/>
              </w:rPr>
              <w:t>6.09.14-09．29</w:t>
            </w:r>
          </w:p>
        </w:tc>
        <w:tc>
          <w:tcPr>
            <w:tcW w:w="5066" w:type="dxa"/>
            <w:gridSpan w:val="4"/>
          </w:tcPr>
          <w:p w14:paraId="47B678C5">
            <w:pPr>
              <w:spacing w:line="4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cs="宋体"/>
                <w:bCs/>
                <w:sz w:val="24"/>
                <w:szCs w:val="24"/>
              </w:rPr>
              <w:t>学生开展设计工作</w:t>
            </w:r>
          </w:p>
        </w:tc>
      </w:tr>
      <w:tr w14:paraId="60B3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241" w:type="dxa"/>
            <w:vMerge w:val="continue"/>
          </w:tcPr>
          <w:p w14:paraId="51A21501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2693" w:type="dxa"/>
            <w:gridSpan w:val="2"/>
          </w:tcPr>
          <w:p w14:paraId="520C9A29">
            <w:pPr>
              <w:spacing w:line="4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2</w:t>
            </w:r>
            <w:r>
              <w:rPr>
                <w:rFonts w:ascii="宋体"/>
                <w:sz w:val="24"/>
                <w:szCs w:val="24"/>
              </w:rPr>
              <w:t>02</w:t>
            </w:r>
            <w:r>
              <w:rPr>
                <w:rFonts w:hint="eastAsia" w:ascii="宋体"/>
                <w:sz w:val="24"/>
                <w:szCs w:val="24"/>
              </w:rPr>
              <w:t>6.09.30-10.12</w:t>
            </w:r>
          </w:p>
        </w:tc>
        <w:tc>
          <w:tcPr>
            <w:tcW w:w="5066" w:type="dxa"/>
            <w:gridSpan w:val="4"/>
          </w:tcPr>
          <w:p w14:paraId="4882E5B8">
            <w:pPr>
              <w:spacing w:line="4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学生答辩时间</w:t>
            </w:r>
          </w:p>
        </w:tc>
      </w:tr>
      <w:tr w14:paraId="493A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9000" w:type="dxa"/>
            <w:gridSpan w:val="7"/>
          </w:tcPr>
          <w:p w14:paraId="66338E8E">
            <w:pPr>
              <w:spacing w:line="400" w:lineRule="exact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</w:rPr>
              <w:t>指导教师签名：</w:t>
            </w:r>
          </w:p>
          <w:p w14:paraId="62F0C177">
            <w:pPr>
              <w:spacing w:line="400" w:lineRule="exact"/>
              <w:ind w:firstLine="6600" w:firstLineChars="2750"/>
              <w:rPr>
                <w:rFonts w:ascii="宋体"/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</w:rPr>
              <w:t>年   月   日</w:t>
            </w:r>
          </w:p>
        </w:tc>
      </w:tr>
      <w:tr w14:paraId="14F7A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  <w:jc w:val="center"/>
        </w:trPr>
        <w:tc>
          <w:tcPr>
            <w:tcW w:w="9000" w:type="dxa"/>
            <w:gridSpan w:val="7"/>
          </w:tcPr>
          <w:p w14:paraId="706E77CD">
            <w:pPr>
              <w:spacing w:before="0" w:after="0" w:line="36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 xml:space="preserve">学生签名：                                              </w:t>
            </w:r>
          </w:p>
          <w:p w14:paraId="58F6F3E6">
            <w:pPr>
              <w:spacing w:line="400" w:lineRule="exact"/>
              <w:ind w:firstLine="6600" w:firstLineChars="2750"/>
              <w:rPr>
                <w:rFonts w:ascii="宋体"/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</w:rPr>
              <w:t>年   月   日</w:t>
            </w:r>
          </w:p>
        </w:tc>
      </w:tr>
    </w:tbl>
    <w:p w14:paraId="69FF53E6"/>
    <w:p w14:paraId="17EDDC88">
      <w:pPr>
        <w:pageBreakBefore/>
        <w:spacing w:before="0" w:beforeLines="50" w:after="156" w:afterLines="50"/>
        <w:jc w:val="center"/>
        <w:rPr>
          <w:rFonts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综合</w:t>
      </w:r>
      <w:r>
        <w:rPr>
          <w:rFonts w:ascii="仿宋" w:hAnsi="仿宋" w:eastAsia="仿宋" w:cs="仿宋"/>
          <w:b/>
          <w:bCs/>
          <w:sz w:val="32"/>
          <w:szCs w:val="32"/>
        </w:rPr>
        <w:t>设计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评分表</w:t>
      </w:r>
    </w:p>
    <w:tbl>
      <w:tblPr>
        <w:tblStyle w:val="14"/>
        <w:tblW w:w="91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99"/>
        <w:gridCol w:w="1160"/>
        <w:gridCol w:w="1299"/>
        <w:gridCol w:w="1227"/>
        <w:gridCol w:w="160"/>
        <w:gridCol w:w="285"/>
        <w:gridCol w:w="13"/>
        <w:gridCol w:w="694"/>
        <w:gridCol w:w="851"/>
        <w:gridCol w:w="850"/>
        <w:gridCol w:w="709"/>
      </w:tblGrid>
      <w:tr w14:paraId="4D66C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665" w:type="dxa"/>
          </w:tcPr>
          <w:p w14:paraId="0709B1FD">
            <w:pPr>
              <w:spacing w:line="400" w:lineRule="exac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专业班级</w:t>
            </w:r>
          </w:p>
        </w:tc>
        <w:tc>
          <w:tcPr>
            <w:tcW w:w="1359" w:type="dxa"/>
            <w:gridSpan w:val="2"/>
          </w:tcPr>
          <w:p w14:paraId="053627F5">
            <w:pPr>
              <w:spacing w:line="400" w:lineRule="exact"/>
              <w:ind w:firstLine="480"/>
              <w:jc w:val="center"/>
              <w:rPr>
                <w:rFonts w:ascii="宋体"/>
              </w:rPr>
            </w:pPr>
          </w:p>
        </w:tc>
        <w:tc>
          <w:tcPr>
            <w:tcW w:w="1299" w:type="dxa"/>
            <w:vAlign w:val="center"/>
          </w:tcPr>
          <w:p w14:paraId="6B2B8EFD">
            <w:pPr>
              <w:spacing w:line="400" w:lineRule="exac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学生姓名</w:t>
            </w:r>
          </w:p>
        </w:tc>
        <w:tc>
          <w:tcPr>
            <w:tcW w:w="1387" w:type="dxa"/>
            <w:gridSpan w:val="2"/>
          </w:tcPr>
          <w:p w14:paraId="5A803EC4">
            <w:pPr>
              <w:spacing w:line="400" w:lineRule="exact"/>
              <w:ind w:firstLine="480"/>
              <w:jc w:val="center"/>
              <w:rPr>
                <w:rFonts w:ascii="宋体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1A83CFCF">
            <w:pPr>
              <w:spacing w:line="400" w:lineRule="exac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学</w:t>
            </w:r>
            <w:r>
              <w:rPr>
                <w:rFonts w:ascii="宋体" w:hAnsi="宋体" w:cs="宋体"/>
              </w:rPr>
              <w:t xml:space="preserve">  </w:t>
            </w:r>
            <w:r>
              <w:rPr>
                <w:rFonts w:hint="eastAsia" w:ascii="宋体" w:hAnsi="宋体" w:cs="宋体"/>
              </w:rPr>
              <w:t>号</w:t>
            </w:r>
          </w:p>
        </w:tc>
        <w:tc>
          <w:tcPr>
            <w:tcW w:w="2410" w:type="dxa"/>
            <w:gridSpan w:val="3"/>
          </w:tcPr>
          <w:p w14:paraId="388EB597">
            <w:pPr>
              <w:spacing w:line="400" w:lineRule="exact"/>
              <w:ind w:firstLine="480"/>
              <w:jc w:val="center"/>
              <w:rPr>
                <w:rFonts w:ascii="宋体"/>
              </w:rPr>
            </w:pPr>
          </w:p>
        </w:tc>
      </w:tr>
      <w:tr w14:paraId="5CBA3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1665" w:type="dxa"/>
            <w:vAlign w:val="center"/>
          </w:tcPr>
          <w:p w14:paraId="6542A098">
            <w:pPr>
              <w:spacing w:line="400" w:lineRule="exac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设计题目</w:t>
            </w:r>
          </w:p>
        </w:tc>
        <w:tc>
          <w:tcPr>
            <w:tcW w:w="7447" w:type="dxa"/>
            <w:gridSpan w:val="11"/>
            <w:vAlign w:val="center"/>
          </w:tcPr>
          <w:p w14:paraId="199CAEC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CT肺部三切片病灶自动检测与可视化</w:t>
            </w:r>
          </w:p>
        </w:tc>
      </w:tr>
      <w:tr w14:paraId="5FAB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9112" w:type="dxa"/>
            <w:gridSpan w:val="12"/>
            <w:vAlign w:val="center"/>
          </w:tcPr>
          <w:p w14:paraId="317C4202">
            <w:pPr>
              <w:ind w:firstLine="2951" w:firstLineChars="1400"/>
              <w:jc w:val="left"/>
              <w:rPr>
                <w:rFonts w:ascii="宋体"/>
              </w:rPr>
            </w:pPr>
            <w:r>
              <w:rPr>
                <w:rFonts w:hint="eastAsia" w:ascii="黑体" w:hAnsi="黑体" w:eastAsia="黑体" w:cs="宋体"/>
                <w:b/>
                <w:bCs/>
              </w:rPr>
              <w:t>过程评分</w:t>
            </w:r>
            <w:r>
              <w:rPr>
                <w:rFonts w:hint="eastAsia" w:ascii="宋体" w:cs="宋体"/>
              </w:rPr>
              <w:t>（占总分比例为</w:t>
            </w:r>
            <w:r>
              <w:rPr>
                <w:rFonts w:ascii="宋体" w:cs="宋体"/>
              </w:rPr>
              <w:t>40%</w:t>
            </w:r>
            <w:r>
              <w:rPr>
                <w:rFonts w:hint="eastAsia" w:ascii="宋体" w:cs="宋体"/>
              </w:rPr>
              <w:t>）</w:t>
            </w:r>
          </w:p>
        </w:tc>
      </w:tr>
      <w:tr w14:paraId="5E0D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864" w:type="dxa"/>
            <w:gridSpan w:val="2"/>
            <w:vAlign w:val="center"/>
          </w:tcPr>
          <w:p w14:paraId="58CCA371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课程目标</w:t>
            </w:r>
          </w:p>
        </w:tc>
        <w:tc>
          <w:tcPr>
            <w:tcW w:w="4144" w:type="dxa"/>
            <w:gridSpan w:val="6"/>
            <w:vAlign w:val="center"/>
          </w:tcPr>
          <w:p w14:paraId="71DF13B0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指标点</w:t>
            </w:r>
          </w:p>
        </w:tc>
        <w:tc>
          <w:tcPr>
            <w:tcW w:w="694" w:type="dxa"/>
            <w:vAlign w:val="center"/>
          </w:tcPr>
          <w:p w14:paraId="6471D718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分值</w:t>
            </w:r>
          </w:p>
        </w:tc>
        <w:tc>
          <w:tcPr>
            <w:tcW w:w="851" w:type="dxa"/>
            <w:vAlign w:val="center"/>
          </w:tcPr>
          <w:p w14:paraId="2503859D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合格</w:t>
            </w:r>
          </w:p>
        </w:tc>
        <w:tc>
          <w:tcPr>
            <w:tcW w:w="850" w:type="dxa"/>
            <w:vAlign w:val="center"/>
          </w:tcPr>
          <w:p w14:paraId="18585CF7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得分</w:t>
            </w:r>
          </w:p>
        </w:tc>
        <w:tc>
          <w:tcPr>
            <w:tcW w:w="709" w:type="dxa"/>
            <w:vAlign w:val="center"/>
          </w:tcPr>
          <w:p w14:paraId="23BFD0FA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小计</w:t>
            </w:r>
          </w:p>
        </w:tc>
      </w:tr>
      <w:tr w14:paraId="3C7E6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864" w:type="dxa"/>
            <w:gridSpan w:val="2"/>
            <w:vAlign w:val="center"/>
          </w:tcPr>
          <w:p w14:paraId="3C97F856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目标1</w:t>
            </w:r>
          </w:p>
        </w:tc>
        <w:tc>
          <w:tcPr>
            <w:tcW w:w="4144" w:type="dxa"/>
            <w:gridSpan w:val="6"/>
            <w:vAlign w:val="center"/>
          </w:tcPr>
          <w:p w14:paraId="22139494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文献阅读，方案论证与选择</w:t>
            </w:r>
          </w:p>
        </w:tc>
        <w:tc>
          <w:tcPr>
            <w:tcW w:w="694" w:type="dxa"/>
            <w:vAlign w:val="center"/>
          </w:tcPr>
          <w:p w14:paraId="06D6DFA4">
            <w:pPr>
              <w:spacing w:line="440" w:lineRule="atLeast"/>
              <w:jc w:val="center"/>
            </w:pPr>
            <w:r>
              <w:t>10</w:t>
            </w:r>
          </w:p>
        </w:tc>
        <w:tc>
          <w:tcPr>
            <w:tcW w:w="851" w:type="dxa"/>
            <w:vAlign w:val="center"/>
          </w:tcPr>
          <w:p w14:paraId="33886C6F">
            <w:pPr>
              <w:spacing w:line="440" w:lineRule="atLeast"/>
              <w:jc w:val="center"/>
            </w:pPr>
            <w:r>
              <w:t>6-10</w:t>
            </w:r>
          </w:p>
        </w:tc>
        <w:tc>
          <w:tcPr>
            <w:tcW w:w="850" w:type="dxa"/>
            <w:vAlign w:val="center"/>
          </w:tcPr>
          <w:p w14:paraId="4FB58F24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52FF51D1">
            <w:pPr>
              <w:spacing w:line="440" w:lineRule="atLeast"/>
              <w:jc w:val="center"/>
            </w:pPr>
          </w:p>
        </w:tc>
      </w:tr>
      <w:tr w14:paraId="588A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864" w:type="dxa"/>
            <w:gridSpan w:val="2"/>
            <w:vAlign w:val="center"/>
          </w:tcPr>
          <w:p w14:paraId="2A681302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目标</w:t>
            </w:r>
            <w:r>
              <w:rPr>
                <w:rFonts w:hint="eastAsia"/>
                <w:color w:val="auto"/>
                <w:sz w:val="21"/>
                <w:szCs w:val="21"/>
              </w:rPr>
              <w:t>3</w:t>
            </w:r>
          </w:p>
        </w:tc>
        <w:tc>
          <w:tcPr>
            <w:tcW w:w="4144" w:type="dxa"/>
            <w:gridSpan w:val="6"/>
            <w:vAlign w:val="center"/>
          </w:tcPr>
          <w:p w14:paraId="40681547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设计、完成实验，并对实验结果进行分析</w:t>
            </w:r>
          </w:p>
        </w:tc>
        <w:tc>
          <w:tcPr>
            <w:tcW w:w="694" w:type="dxa"/>
            <w:vAlign w:val="center"/>
          </w:tcPr>
          <w:p w14:paraId="6CEE4899">
            <w:pPr>
              <w:spacing w:line="440" w:lineRule="atLeast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51" w:type="dxa"/>
            <w:vAlign w:val="center"/>
          </w:tcPr>
          <w:p w14:paraId="5BDFBE37">
            <w:pPr>
              <w:spacing w:line="440" w:lineRule="atLeast"/>
              <w:jc w:val="center"/>
            </w:pPr>
            <w:r>
              <w:rPr>
                <w:rFonts w:hint="eastAsia"/>
              </w:rPr>
              <w:t>12</w:t>
            </w:r>
            <w:r>
              <w:t>-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50" w:type="dxa"/>
            <w:vAlign w:val="center"/>
          </w:tcPr>
          <w:p w14:paraId="5B09D6AF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A0DB249">
            <w:pPr>
              <w:spacing w:line="440" w:lineRule="atLeast"/>
              <w:jc w:val="center"/>
            </w:pPr>
          </w:p>
        </w:tc>
      </w:tr>
      <w:tr w14:paraId="60F7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864" w:type="dxa"/>
            <w:gridSpan w:val="2"/>
            <w:vAlign w:val="center"/>
          </w:tcPr>
          <w:p w14:paraId="6E4D8288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目标</w:t>
            </w:r>
            <w:r>
              <w:rPr>
                <w:rFonts w:hint="eastAsia"/>
                <w:color w:val="auto"/>
                <w:sz w:val="21"/>
                <w:szCs w:val="21"/>
              </w:rPr>
              <w:t>5</w:t>
            </w:r>
          </w:p>
        </w:tc>
        <w:tc>
          <w:tcPr>
            <w:tcW w:w="4144" w:type="dxa"/>
            <w:gridSpan w:val="6"/>
            <w:vAlign w:val="center"/>
          </w:tcPr>
          <w:p w14:paraId="683A1CCA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团队协作能力</w:t>
            </w:r>
          </w:p>
        </w:tc>
        <w:tc>
          <w:tcPr>
            <w:tcW w:w="694" w:type="dxa"/>
            <w:vAlign w:val="center"/>
          </w:tcPr>
          <w:p w14:paraId="7899E26A">
            <w:pPr>
              <w:spacing w:line="440" w:lineRule="atLeas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851" w:type="dxa"/>
            <w:vAlign w:val="center"/>
          </w:tcPr>
          <w:p w14:paraId="4DEA6DCF">
            <w:pPr>
              <w:spacing w:line="440" w:lineRule="atLeast"/>
              <w:jc w:val="center"/>
            </w:pPr>
            <w:r>
              <w:rPr>
                <w:rFonts w:hint="eastAsia"/>
              </w:rPr>
              <w:t>6-10</w:t>
            </w:r>
          </w:p>
        </w:tc>
        <w:tc>
          <w:tcPr>
            <w:tcW w:w="850" w:type="dxa"/>
            <w:vAlign w:val="center"/>
          </w:tcPr>
          <w:p w14:paraId="106C7F7D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28DC7A8">
            <w:pPr>
              <w:spacing w:line="440" w:lineRule="atLeast"/>
              <w:jc w:val="center"/>
            </w:pPr>
          </w:p>
        </w:tc>
      </w:tr>
      <w:tr w14:paraId="7D3F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9112" w:type="dxa"/>
            <w:gridSpan w:val="12"/>
            <w:vAlign w:val="center"/>
          </w:tcPr>
          <w:p w14:paraId="28C9B61A">
            <w:pPr>
              <w:spacing w:line="440" w:lineRule="atLeast"/>
            </w:pPr>
            <w:r>
              <w:rPr/>
              <w:sym w:font="Symbol" w:char="F0F0"/>
            </w:r>
            <w:r>
              <w:t xml:space="preserve"> </w:t>
            </w:r>
            <w:r>
              <w:rPr>
                <w:rFonts w:hint="eastAsia" w:cs="宋体"/>
              </w:rPr>
              <w:t>同意答辩；</w:t>
            </w:r>
            <w:r>
              <w:t xml:space="preserve">   </w:t>
            </w:r>
            <w:r>
              <w:rPr/>
              <w:sym w:font="Symbol" w:char="F0F0"/>
            </w:r>
            <w:r>
              <w:t xml:space="preserve"> </w:t>
            </w:r>
            <w:r>
              <w:rPr>
                <w:rFonts w:hint="eastAsia" w:cs="宋体"/>
              </w:rPr>
              <w:t>不同意答辩。</w:t>
            </w:r>
          </w:p>
          <w:p w14:paraId="18E6BCD3">
            <w:pPr>
              <w:spacing w:line="440" w:lineRule="atLeast"/>
              <w:ind w:right="420"/>
              <w:jc w:val="left"/>
            </w:pPr>
            <w:r>
              <w:t xml:space="preserve">   </w:t>
            </w:r>
            <w:r>
              <w:rPr>
                <w:rFonts w:hint="eastAsia"/>
              </w:rPr>
              <w:t xml:space="preserve">    </w:t>
            </w:r>
            <w:r>
              <w:t xml:space="preserve">           </w:t>
            </w:r>
            <w:r>
              <w:rPr>
                <w:rFonts w:hint="eastAsia" w:cs="宋体"/>
              </w:rPr>
              <w:t>指导教师签名：</w:t>
            </w:r>
            <w: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t xml:space="preserve">       </w:t>
            </w:r>
            <w:r>
              <w:rPr>
                <w:rFonts w:hint="eastAsia" w:cs="宋体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 xml:space="preserve">    </w:t>
            </w:r>
            <w:r>
              <w:t xml:space="preserve">  </w:t>
            </w:r>
            <w:r>
              <w:rPr>
                <w:rFonts w:hint="eastAsia" w:cs="宋体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 xml:space="preserve">    </w:t>
            </w:r>
            <w:r>
              <w:t xml:space="preserve"> </w:t>
            </w:r>
            <w:r>
              <w:rPr>
                <w:rFonts w:hint="eastAsia" w:cs="宋体"/>
              </w:rPr>
              <w:t>日</w:t>
            </w:r>
          </w:p>
        </w:tc>
      </w:tr>
      <w:tr w14:paraId="5F52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7553" w:type="dxa"/>
            <w:gridSpan w:val="10"/>
            <w:vAlign w:val="center"/>
          </w:tcPr>
          <w:p w14:paraId="23CD339A">
            <w:pPr>
              <w:ind w:firstLine="2951" w:firstLineChars="1400"/>
            </w:pPr>
            <w:r>
              <w:rPr>
                <w:rFonts w:hint="eastAsia" w:ascii="黑体" w:hAnsi="黑体" w:eastAsia="黑体" w:cs="宋体"/>
                <w:b/>
                <w:bCs/>
              </w:rPr>
              <w:t>评阅评分</w:t>
            </w:r>
            <w:r>
              <w:rPr>
                <w:rFonts w:hint="eastAsia" w:cs="宋体"/>
              </w:rPr>
              <w:t>（占总分</w:t>
            </w:r>
            <w:r>
              <w:rPr>
                <w:rFonts w:hint="eastAsia"/>
              </w:rPr>
              <w:t>比例</w:t>
            </w:r>
            <w:r>
              <w:rPr>
                <w:rFonts w:hint="eastAsia" w:cs="宋体"/>
              </w:rPr>
              <w:t>为</w:t>
            </w:r>
            <w:r>
              <w:rPr>
                <w:rFonts w:cs="宋体"/>
              </w:rPr>
              <w:t>30</w:t>
            </w:r>
            <w:r>
              <w:t>%</w:t>
            </w:r>
            <w:r>
              <w:rPr>
                <w:rFonts w:hint="eastAsia" w:cs="宋体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08F12448">
            <w:pPr>
              <w:jc w:val="center"/>
            </w:pPr>
          </w:p>
        </w:tc>
      </w:tr>
      <w:tr w14:paraId="2812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864" w:type="dxa"/>
            <w:gridSpan w:val="2"/>
            <w:vAlign w:val="center"/>
          </w:tcPr>
          <w:p w14:paraId="07F2CE6E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课程目标</w:t>
            </w:r>
          </w:p>
        </w:tc>
        <w:tc>
          <w:tcPr>
            <w:tcW w:w="4144" w:type="dxa"/>
            <w:gridSpan w:val="6"/>
            <w:vAlign w:val="center"/>
          </w:tcPr>
          <w:p w14:paraId="1D8F6148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指标点</w:t>
            </w:r>
          </w:p>
        </w:tc>
        <w:tc>
          <w:tcPr>
            <w:tcW w:w="694" w:type="dxa"/>
            <w:vAlign w:val="center"/>
          </w:tcPr>
          <w:p w14:paraId="6D7B83AE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分值</w:t>
            </w:r>
          </w:p>
        </w:tc>
        <w:tc>
          <w:tcPr>
            <w:tcW w:w="851" w:type="dxa"/>
            <w:vAlign w:val="center"/>
          </w:tcPr>
          <w:p w14:paraId="4983EEC6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合格</w:t>
            </w:r>
          </w:p>
        </w:tc>
        <w:tc>
          <w:tcPr>
            <w:tcW w:w="850" w:type="dxa"/>
            <w:vAlign w:val="center"/>
          </w:tcPr>
          <w:p w14:paraId="0EC4FD62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得分</w:t>
            </w:r>
          </w:p>
        </w:tc>
        <w:tc>
          <w:tcPr>
            <w:tcW w:w="709" w:type="dxa"/>
            <w:vAlign w:val="center"/>
          </w:tcPr>
          <w:p w14:paraId="1774F48B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小计</w:t>
            </w:r>
          </w:p>
        </w:tc>
      </w:tr>
      <w:tr w14:paraId="51B69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864" w:type="dxa"/>
            <w:gridSpan w:val="2"/>
            <w:vAlign w:val="center"/>
          </w:tcPr>
          <w:p w14:paraId="4A40ABD6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目标</w:t>
            </w:r>
            <w:r>
              <w:rPr>
                <w:rFonts w:hint="eastAsia"/>
                <w:color w:val="auto"/>
                <w:sz w:val="21"/>
                <w:szCs w:val="21"/>
              </w:rPr>
              <w:t>2</w:t>
            </w:r>
          </w:p>
        </w:tc>
        <w:tc>
          <w:tcPr>
            <w:tcW w:w="4144" w:type="dxa"/>
            <w:gridSpan w:val="6"/>
            <w:vAlign w:val="center"/>
          </w:tcPr>
          <w:p w14:paraId="2BCD54F5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设计的创新</w:t>
            </w:r>
          </w:p>
        </w:tc>
        <w:tc>
          <w:tcPr>
            <w:tcW w:w="694" w:type="dxa"/>
            <w:vAlign w:val="center"/>
          </w:tcPr>
          <w:p w14:paraId="0820E3B4">
            <w:pPr>
              <w:spacing w:line="440" w:lineRule="atLeast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851" w:type="dxa"/>
            <w:vAlign w:val="center"/>
          </w:tcPr>
          <w:p w14:paraId="776EF1E9">
            <w:pPr>
              <w:spacing w:line="440" w:lineRule="atLeast"/>
              <w:jc w:val="center"/>
            </w:pPr>
            <w:r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15</w:t>
            </w:r>
          </w:p>
        </w:tc>
        <w:tc>
          <w:tcPr>
            <w:tcW w:w="850" w:type="dxa"/>
            <w:vAlign w:val="center"/>
          </w:tcPr>
          <w:p w14:paraId="0A63D314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5A4C7A5C">
            <w:pPr>
              <w:spacing w:line="440" w:lineRule="atLeast"/>
              <w:jc w:val="center"/>
            </w:pPr>
          </w:p>
        </w:tc>
      </w:tr>
      <w:tr w14:paraId="0D5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864" w:type="dxa"/>
            <w:gridSpan w:val="2"/>
            <w:vAlign w:val="center"/>
          </w:tcPr>
          <w:p w14:paraId="721114F4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目标</w:t>
            </w:r>
            <w:r>
              <w:rPr>
                <w:rFonts w:hint="eastAsia"/>
                <w:color w:val="auto"/>
                <w:sz w:val="21"/>
                <w:szCs w:val="21"/>
              </w:rPr>
              <w:t>6</w:t>
            </w:r>
          </w:p>
        </w:tc>
        <w:tc>
          <w:tcPr>
            <w:tcW w:w="4144" w:type="dxa"/>
            <w:gridSpan w:val="6"/>
            <w:vAlign w:val="center"/>
          </w:tcPr>
          <w:p w14:paraId="3561C676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规范设计报告的撰写</w:t>
            </w:r>
          </w:p>
        </w:tc>
        <w:tc>
          <w:tcPr>
            <w:tcW w:w="694" w:type="dxa"/>
            <w:vAlign w:val="center"/>
          </w:tcPr>
          <w:p w14:paraId="0F8F98FE">
            <w:pPr>
              <w:spacing w:line="440" w:lineRule="atLeas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851" w:type="dxa"/>
            <w:vAlign w:val="center"/>
          </w:tcPr>
          <w:p w14:paraId="0C174D69">
            <w:pPr>
              <w:spacing w:line="440" w:lineRule="atLeast"/>
              <w:jc w:val="center"/>
            </w:pPr>
            <w:r>
              <w:rPr>
                <w:rFonts w:hint="eastAsia"/>
              </w:rPr>
              <w:t>6-10</w:t>
            </w:r>
          </w:p>
        </w:tc>
        <w:tc>
          <w:tcPr>
            <w:tcW w:w="850" w:type="dxa"/>
            <w:vAlign w:val="center"/>
          </w:tcPr>
          <w:p w14:paraId="0ABCAFEB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EBE036F">
            <w:pPr>
              <w:spacing w:line="440" w:lineRule="atLeast"/>
              <w:jc w:val="center"/>
            </w:pPr>
          </w:p>
        </w:tc>
      </w:tr>
      <w:tr w14:paraId="3C115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864" w:type="dxa"/>
            <w:gridSpan w:val="2"/>
            <w:vAlign w:val="center"/>
          </w:tcPr>
          <w:p w14:paraId="6C774C08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目标</w:t>
            </w:r>
            <w:r>
              <w:rPr>
                <w:rFonts w:hint="eastAsia"/>
                <w:color w:val="auto"/>
                <w:sz w:val="21"/>
                <w:szCs w:val="21"/>
              </w:rPr>
              <w:t>7</w:t>
            </w:r>
          </w:p>
        </w:tc>
        <w:tc>
          <w:tcPr>
            <w:tcW w:w="4144" w:type="dxa"/>
            <w:gridSpan w:val="6"/>
            <w:vAlign w:val="center"/>
          </w:tcPr>
          <w:p w14:paraId="1B4843A4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项目组织、协调与管理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94" w:type="dxa"/>
            <w:vAlign w:val="center"/>
          </w:tcPr>
          <w:p w14:paraId="27CCB328">
            <w:pPr>
              <w:spacing w:line="440" w:lineRule="atLeas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51" w:type="dxa"/>
            <w:vAlign w:val="center"/>
          </w:tcPr>
          <w:p w14:paraId="71AF6381">
            <w:pPr>
              <w:spacing w:line="440" w:lineRule="atLeast"/>
              <w:jc w:val="center"/>
            </w:pPr>
            <w:r>
              <w:rPr>
                <w:rFonts w:hint="eastAsia"/>
              </w:rPr>
              <w:t>3</w:t>
            </w:r>
            <w:r>
              <w:t>-</w:t>
            </w:r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vAlign w:val="center"/>
          </w:tcPr>
          <w:p w14:paraId="335FA8FB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96A87D9">
            <w:pPr>
              <w:spacing w:line="440" w:lineRule="atLeast"/>
              <w:jc w:val="center"/>
            </w:pPr>
          </w:p>
        </w:tc>
      </w:tr>
      <w:tr w14:paraId="5AF9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9112" w:type="dxa"/>
            <w:gridSpan w:val="12"/>
            <w:vAlign w:val="center"/>
          </w:tcPr>
          <w:p w14:paraId="478DCEBB">
            <w:pPr>
              <w:spacing w:line="440" w:lineRule="atLeast"/>
              <w:jc w:val="left"/>
            </w:pPr>
            <w:r>
              <w:t xml:space="preserve">   </w:t>
            </w:r>
            <w:r>
              <w:rPr>
                <w:rFonts w:hint="eastAsia"/>
              </w:rPr>
              <w:t xml:space="preserve">    </w:t>
            </w:r>
            <w:r>
              <w:t xml:space="preserve">           </w:t>
            </w:r>
            <w:r>
              <w:rPr>
                <w:rFonts w:hint="eastAsia"/>
              </w:rPr>
              <w:t>评阅</w:t>
            </w:r>
            <w:r>
              <w:rPr>
                <w:rFonts w:hint="eastAsia" w:cs="宋体"/>
              </w:rPr>
              <w:t>教师签名：</w:t>
            </w:r>
            <w: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t xml:space="preserve">       </w:t>
            </w:r>
            <w:r>
              <w:rPr>
                <w:rFonts w:hint="eastAsia" w:cs="宋体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 xml:space="preserve">    </w:t>
            </w:r>
            <w:r>
              <w:t xml:space="preserve">  </w:t>
            </w:r>
            <w:r>
              <w:rPr>
                <w:rFonts w:hint="eastAsia" w:cs="宋体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 xml:space="preserve">    </w:t>
            </w:r>
            <w:r>
              <w:t xml:space="preserve"> </w:t>
            </w:r>
            <w:r>
              <w:rPr>
                <w:rFonts w:hint="eastAsia" w:cs="宋体"/>
              </w:rPr>
              <w:t>日</w:t>
            </w:r>
          </w:p>
        </w:tc>
      </w:tr>
      <w:tr w14:paraId="624CD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9112" w:type="dxa"/>
            <w:gridSpan w:val="12"/>
            <w:vAlign w:val="center"/>
          </w:tcPr>
          <w:p w14:paraId="119C150C">
            <w:pPr>
              <w:ind w:firstLine="2951" w:firstLineChars="1400"/>
            </w:pPr>
            <w:r>
              <w:rPr>
                <w:rFonts w:hint="eastAsia" w:ascii="黑体" w:hAnsi="黑体" w:eastAsia="黑体" w:cs="宋体"/>
                <w:b/>
                <w:bCs/>
              </w:rPr>
              <w:t>答辩评分</w:t>
            </w:r>
            <w:r>
              <w:rPr>
                <w:rFonts w:hint="eastAsia" w:cs="宋体"/>
              </w:rPr>
              <w:t>（占总分比例为</w:t>
            </w:r>
            <w:r>
              <w:rPr>
                <w:rFonts w:cs="宋体"/>
              </w:rPr>
              <w:t>30</w:t>
            </w:r>
            <w:r>
              <w:t xml:space="preserve"> %</w:t>
            </w:r>
            <w:r>
              <w:rPr>
                <w:rFonts w:hint="eastAsia" w:cs="宋体"/>
              </w:rPr>
              <w:t>）</w:t>
            </w:r>
          </w:p>
        </w:tc>
      </w:tr>
      <w:tr w14:paraId="35C0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gridSpan w:val="2"/>
            <w:vAlign w:val="center"/>
          </w:tcPr>
          <w:p w14:paraId="5B90A6C2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课程目标</w:t>
            </w:r>
          </w:p>
        </w:tc>
        <w:tc>
          <w:tcPr>
            <w:tcW w:w="4131" w:type="dxa"/>
            <w:gridSpan w:val="5"/>
            <w:vAlign w:val="center"/>
          </w:tcPr>
          <w:p w14:paraId="0F73B8A2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指标点</w:t>
            </w:r>
          </w:p>
        </w:tc>
        <w:tc>
          <w:tcPr>
            <w:tcW w:w="707" w:type="dxa"/>
            <w:gridSpan w:val="2"/>
            <w:vAlign w:val="center"/>
          </w:tcPr>
          <w:p w14:paraId="2A98FB22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分值</w:t>
            </w:r>
          </w:p>
        </w:tc>
        <w:tc>
          <w:tcPr>
            <w:tcW w:w="851" w:type="dxa"/>
            <w:vAlign w:val="center"/>
          </w:tcPr>
          <w:p w14:paraId="06C187DE">
            <w:pPr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合格</w:t>
            </w:r>
          </w:p>
        </w:tc>
        <w:tc>
          <w:tcPr>
            <w:tcW w:w="850" w:type="dxa"/>
            <w:vAlign w:val="center"/>
          </w:tcPr>
          <w:p w14:paraId="1557BD3C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得分</w:t>
            </w:r>
          </w:p>
        </w:tc>
        <w:tc>
          <w:tcPr>
            <w:tcW w:w="709" w:type="dxa"/>
            <w:vAlign w:val="center"/>
          </w:tcPr>
          <w:p w14:paraId="1811C46B"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小计</w:t>
            </w:r>
          </w:p>
        </w:tc>
      </w:tr>
      <w:tr w14:paraId="127C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gridSpan w:val="2"/>
            <w:vAlign w:val="center"/>
          </w:tcPr>
          <w:p w14:paraId="095D18AE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目标</w:t>
            </w:r>
            <w:r>
              <w:rPr>
                <w:rFonts w:hint="eastAsia"/>
                <w:color w:val="auto"/>
                <w:sz w:val="21"/>
                <w:szCs w:val="21"/>
              </w:rPr>
              <w:t>4</w:t>
            </w:r>
          </w:p>
        </w:tc>
        <w:tc>
          <w:tcPr>
            <w:tcW w:w="4131" w:type="dxa"/>
            <w:gridSpan w:val="5"/>
            <w:vAlign w:val="center"/>
          </w:tcPr>
          <w:p w14:paraId="37431449">
            <w:pPr>
              <w:pStyle w:val="24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系统完成度和现代工具的使用</w:t>
            </w:r>
          </w:p>
        </w:tc>
        <w:tc>
          <w:tcPr>
            <w:tcW w:w="707" w:type="dxa"/>
            <w:gridSpan w:val="2"/>
            <w:vAlign w:val="center"/>
          </w:tcPr>
          <w:p w14:paraId="4157F652">
            <w:pPr>
              <w:spacing w:line="440" w:lineRule="atLeast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851" w:type="dxa"/>
            <w:vAlign w:val="center"/>
          </w:tcPr>
          <w:p w14:paraId="08C15E7D">
            <w:pPr>
              <w:spacing w:line="440" w:lineRule="atLeast"/>
              <w:jc w:val="center"/>
            </w:pPr>
            <w:r>
              <w:rPr>
                <w:rFonts w:hint="eastAsia"/>
              </w:rPr>
              <w:t>12</w:t>
            </w:r>
            <w:r>
              <w:t>-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50" w:type="dxa"/>
            <w:vAlign w:val="center"/>
          </w:tcPr>
          <w:p w14:paraId="32F79E81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7DCBEC9C">
            <w:pPr>
              <w:spacing w:line="440" w:lineRule="atLeast"/>
              <w:jc w:val="center"/>
            </w:pPr>
          </w:p>
        </w:tc>
      </w:tr>
      <w:tr w14:paraId="3975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864" w:type="dxa"/>
            <w:gridSpan w:val="2"/>
            <w:vAlign w:val="center"/>
          </w:tcPr>
          <w:p w14:paraId="6A9367FD">
            <w:pPr>
              <w:pStyle w:val="24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目标6</w:t>
            </w:r>
          </w:p>
        </w:tc>
        <w:tc>
          <w:tcPr>
            <w:tcW w:w="4131" w:type="dxa"/>
            <w:gridSpan w:val="5"/>
            <w:vAlign w:val="center"/>
          </w:tcPr>
          <w:p w14:paraId="7075ECFD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有效沟通和表达</w:t>
            </w:r>
          </w:p>
        </w:tc>
        <w:tc>
          <w:tcPr>
            <w:tcW w:w="707" w:type="dxa"/>
            <w:gridSpan w:val="2"/>
            <w:vAlign w:val="center"/>
          </w:tcPr>
          <w:p w14:paraId="1E6464E0">
            <w:pPr>
              <w:spacing w:line="440" w:lineRule="atLeast"/>
              <w:jc w:val="center"/>
            </w:pPr>
            <w:r>
              <w:t>10</w:t>
            </w:r>
          </w:p>
        </w:tc>
        <w:tc>
          <w:tcPr>
            <w:tcW w:w="851" w:type="dxa"/>
            <w:vAlign w:val="center"/>
          </w:tcPr>
          <w:p w14:paraId="7F62C5F3">
            <w:pPr>
              <w:spacing w:line="440" w:lineRule="atLeast"/>
              <w:jc w:val="center"/>
            </w:pPr>
            <w:r>
              <w:t>6-10</w:t>
            </w:r>
          </w:p>
        </w:tc>
        <w:tc>
          <w:tcPr>
            <w:tcW w:w="850" w:type="dxa"/>
            <w:vAlign w:val="center"/>
          </w:tcPr>
          <w:p w14:paraId="4E832BEC">
            <w:pPr>
              <w:spacing w:line="440" w:lineRule="atLeas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42B0C8D2">
            <w:pPr>
              <w:spacing w:line="440" w:lineRule="atLeast"/>
              <w:jc w:val="center"/>
            </w:pPr>
          </w:p>
        </w:tc>
      </w:tr>
      <w:tr w14:paraId="31B2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9112" w:type="dxa"/>
            <w:gridSpan w:val="12"/>
            <w:vAlign w:val="center"/>
          </w:tcPr>
          <w:p w14:paraId="01ED056F">
            <w:pPr>
              <w:spacing w:line="440" w:lineRule="atLeast"/>
              <w:rPr>
                <w:rFonts w:cs="宋体"/>
              </w:rPr>
            </w:pPr>
            <w:r>
              <w:rPr>
                <w:rFonts w:hint="eastAsia" w:cs="宋体"/>
              </w:rPr>
              <w:t>答辩小组成员签名：</w:t>
            </w:r>
          </w:p>
          <w:p w14:paraId="6CC22D98">
            <w:pPr>
              <w:spacing w:line="440" w:lineRule="atLeast"/>
              <w:rPr>
                <w:rFonts w:cs="宋体"/>
              </w:rPr>
            </w:pPr>
          </w:p>
          <w:p w14:paraId="5A8D8C61">
            <w:pPr>
              <w:spacing w:line="440" w:lineRule="atLeast"/>
            </w:pPr>
          </w:p>
          <w:p w14:paraId="0FEAF3EF">
            <w:pPr>
              <w:spacing w:line="440" w:lineRule="atLeast"/>
              <w:jc w:val="right"/>
            </w:pPr>
            <w:r>
              <w:t xml:space="preserve">            </w:t>
            </w:r>
            <w:r>
              <w:rPr>
                <w:rFonts w:hint="eastAsia" w:cs="宋体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 xml:space="preserve">    </w:t>
            </w:r>
            <w:r>
              <w:t xml:space="preserve">  </w:t>
            </w:r>
            <w:r>
              <w:rPr>
                <w:rFonts w:hint="eastAsia" w:cs="宋体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 xml:space="preserve">    </w:t>
            </w:r>
            <w:r>
              <w:t xml:space="preserve"> </w:t>
            </w:r>
            <w:r>
              <w:rPr>
                <w:rFonts w:hint="eastAsia" w:cs="宋体"/>
              </w:rPr>
              <w:t>日</w:t>
            </w:r>
          </w:p>
        </w:tc>
      </w:tr>
      <w:tr w14:paraId="17C3E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5550" w:type="dxa"/>
            <w:gridSpan w:val="5"/>
            <w:vAlign w:val="center"/>
          </w:tcPr>
          <w:p w14:paraId="4164600E">
            <w:pPr>
              <w:jc w:val="center"/>
            </w:pPr>
            <w:r>
              <w:rPr>
                <w:rFonts w:hint="eastAsia" w:ascii="黑体" w:hAnsi="黑体" w:eastAsia="黑体" w:cs="宋体"/>
                <w:b/>
                <w:bCs/>
              </w:rPr>
              <w:t>总评成绩</w:t>
            </w:r>
            <w:r>
              <w:rPr>
                <w:rFonts w:hint="eastAsia" w:cs="宋体"/>
              </w:rPr>
              <w:t>（三项评分和）</w:t>
            </w:r>
          </w:p>
        </w:tc>
        <w:tc>
          <w:tcPr>
            <w:tcW w:w="3562" w:type="dxa"/>
            <w:gridSpan w:val="7"/>
            <w:vAlign w:val="center"/>
          </w:tcPr>
          <w:p w14:paraId="79018890">
            <w:pPr>
              <w:widowControl/>
              <w:ind w:firstLine="630" w:firstLineChars="300"/>
            </w:pPr>
          </w:p>
          <w:p w14:paraId="27B026B2">
            <w:pPr>
              <w:widowControl/>
              <w:ind w:firstLine="630" w:firstLineChars="300"/>
            </w:pPr>
          </w:p>
        </w:tc>
      </w:tr>
      <w:tr w14:paraId="1AF1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864" w:type="dxa"/>
            <w:gridSpan w:val="2"/>
            <w:vAlign w:val="center"/>
          </w:tcPr>
          <w:p w14:paraId="086B39A4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248" w:type="dxa"/>
            <w:gridSpan w:val="10"/>
            <w:vAlign w:val="center"/>
          </w:tcPr>
          <w:p w14:paraId="5C782727">
            <w:pPr>
              <w:widowControl/>
              <w:ind w:firstLine="630" w:firstLineChars="300"/>
            </w:pPr>
          </w:p>
          <w:p w14:paraId="225DFCF5">
            <w:pPr>
              <w:widowControl/>
            </w:pPr>
          </w:p>
          <w:p w14:paraId="06F58AB7">
            <w:pPr>
              <w:widowControl/>
            </w:pPr>
          </w:p>
        </w:tc>
      </w:tr>
    </w:tbl>
    <w:p w14:paraId="56DA96D0">
      <w:pPr>
        <w:pStyle w:val="31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28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CT肺部三切片病灶自动检测与可视化</w:t>
      </w:r>
    </w:p>
    <w:p w14:paraId="00B706F5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背景与摘要</w:t>
      </w:r>
    </w:p>
    <w:p w14:paraId="0A23037F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肺癌是最常见的癌症之一，也是全球癌症死亡的主要原因。据估计，2020年全球新增肺癌病例达220万例，肺癌导致的癌症死亡人数达180万，几乎占所有癌症死亡的五分之一。肺癌通常在晚期被诊断，因为其症状通常出现在疾病进展到更高阶段时。如果能早期诊断肺癌，患者存活率会显著提高，因此，肺癌筛查项目旨在尽早通过低剂量计算机断层扫描（CT）发现肺癌，当癌症表现为小型肺结节时被及时发现。</w:t>
      </w:r>
    </w:p>
    <w:p w14:paraId="0CFD3A07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本设计围绕肺部 CT 序列中的结节定位，采用相邻轴向切片构建三通道输入，训练 YOLO11s 检测模型，并建立完整 CT 的三维结节评价流程。数据整理中修复了同层多目标标签遗漏、重复导出与 UID 映射冲突等问题，保留图像的原点、间距和方向信息。主模型使用 675 个训练体积形成的共计 12,048 个检测样本，完成 100 轮训练；在冻结的 125 个验证体积、179 个结节和 33,398 张中心切片上进行完整推理。</w:t>
      </w:r>
    </w:p>
    <w:p w14:paraId="77634E60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本设计保留 YOLO 的框回归、类别预测和损失优化。结节级评价与权重选择使用三维中心距离命中规则，即预测中心到标注中心的距离严格小于标注半径[2]。在同一完整验证集上，第90轮模型检出154/179个结节，敏感性86.03%，平均误报0.968 FP/scan；相较上一轮净增加6个检出，但CPM下降，改善有限。冻结模型与验证阈值后，subset9测试检出92/104个结节，敏感性88.46%，平均误报1.0115 FP/scan。网页已支持点击候选定位并列三切片、局部放大及基于实际像素间距的毫米尺寸估计。</w:t>
      </w:r>
    </w:p>
    <w:p w14:paraId="77CBC27B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关键词：肺结节检测；三切片输入；YOLO11s</w:t>
      </w:r>
    </w:p>
    <w:p w14:paraId="0D04F714">
      <w:pPr>
        <w:pStyle w:val="2"/>
        <w:pageBreakBefore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一、设计任务分析与方案确定</w:t>
      </w:r>
    </w:p>
    <w:p w14:paraId="576FAD49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1.1 设计任务与功能边界</w:t>
      </w:r>
    </w:p>
    <w:p w14:paraId="08088E5E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依照任务书要求，使用 LUNA16 肺部 CT 数据，完成预处理、病灶位置提取、训练样本构建和目标检测，并通过前后端程序显示检测结果。本设计把任务中的病灶限定为公开数据集纳入评价的肺结节。模型输出候选位置和评分，结节与非结节候选的二分类作为扩展实验</w:t>
      </w:r>
    </w:p>
    <w:p w14:paraId="469E51D7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三切片是本设计的主要输入组织方式。对于中心层z，取z−1、z、z+1三张真实相邻图像组成三通道，供二维网络观察相同位置的层间变化。网页支持连续灰度序列浏览和逐层候选框显示；点击候选后并列展示对应三切片与相同位置的局部放大。模型输入顺序与网页层号映射保持一致。</w:t>
      </w:r>
    </w:p>
    <w:p w14:paraId="5510A652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687695" cy="2132965"/>
            <wp:effectExtent l="0" t="0" r="6985" b="12065"/>
            <wp:docPr id="26" name="Figure 1" descr="三切片输入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 1" descr="三切片输入示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3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C33D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三切片输入示例</w:t>
      </w:r>
    </w:p>
    <w:p w14:paraId="6FF12ADD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 方案比较与设计特色</w:t>
      </w:r>
    </w:p>
    <w:p w14:paraId="2736F953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方案选择中：仅仅单切片检测计算流程简单，但无法直接观察相邻层面的变化。完整三维网络可利用更多体积信息，但对数据组织和显卡计算资源要求过高。本设计沿用二维卷积网络的计算方式，将相邻轴向切片放入三个输入通道，形成 2.5D 输入。三个通道是切片信息，不是自然图像的颜色。</w:t>
      </w:r>
    </w:p>
    <w:p w14:paraId="24B04B23">
      <w:pPr>
        <w:pStyle w:val="34"/>
        <w:keepNext/>
        <w:spacing w:before="12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技术路线与本设计取舍</w:t>
      </w:r>
    </w:p>
    <w:tbl>
      <w:tblPr>
        <w:tblStyle w:val="1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</w:tblPr>
      <w:tblGrid>
        <w:gridCol w:w="2324"/>
        <w:gridCol w:w="2041"/>
        <w:gridCol w:w="4706"/>
      </w:tblGrid>
      <w:tr w14:paraId="7FF6AA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EEEEEE"/>
            <w:vAlign w:val="center"/>
          </w:tcPr>
          <w:p w14:paraId="570D6A89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方案</w:t>
            </w:r>
          </w:p>
        </w:tc>
        <w:tc>
          <w:tcPr>
            <w:tcW w:w="2041" w:type="dxa"/>
            <w:shd w:val="clear" w:color="auto" w:fill="EEEEEE"/>
            <w:vAlign w:val="center"/>
          </w:tcPr>
          <w:p w14:paraId="70173B2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信息来源</w:t>
            </w:r>
          </w:p>
        </w:tc>
        <w:tc>
          <w:tcPr>
            <w:tcW w:w="4706" w:type="dxa"/>
            <w:shd w:val="clear" w:color="auto" w:fill="EEEEEE"/>
            <w:vAlign w:val="center"/>
          </w:tcPr>
          <w:p w14:paraId="65E89536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本设计定位</w:t>
            </w:r>
          </w:p>
        </w:tc>
      </w:tr>
      <w:tr w14:paraId="14D6F4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2B3C80B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单切片 YOLO</w:t>
            </w:r>
          </w:p>
        </w:tc>
        <w:tc>
          <w:tcPr>
            <w:tcW w:w="2041" w:type="dxa"/>
            <w:vAlign w:val="center"/>
          </w:tcPr>
          <w:p w14:paraId="06B614D2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一个中心层</w:t>
            </w:r>
          </w:p>
        </w:tc>
        <w:tc>
          <w:tcPr>
            <w:tcW w:w="4706" w:type="dxa"/>
            <w:vAlign w:val="center"/>
          </w:tcPr>
          <w:p w14:paraId="463B3556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已准备同条件配置，严格对照训练尚未完成</w:t>
            </w:r>
          </w:p>
        </w:tc>
      </w:tr>
      <w:tr w14:paraId="74E6AE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00C71C6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三切片 YOLO11s</w:t>
            </w:r>
          </w:p>
        </w:tc>
        <w:tc>
          <w:tcPr>
            <w:tcW w:w="2041" w:type="dxa"/>
            <w:vAlign w:val="center"/>
          </w:tcPr>
          <w:p w14:paraId="65AFBD43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真实相邻轴向层</w:t>
            </w:r>
          </w:p>
        </w:tc>
        <w:tc>
          <w:tcPr>
            <w:tcW w:w="4706" w:type="dxa"/>
            <w:vAlign w:val="center"/>
          </w:tcPr>
          <w:p w14:paraId="7D156C82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主检测模型及完整 CT 验证对象</w:t>
            </w:r>
          </w:p>
        </w:tc>
      </w:tr>
      <w:tr w14:paraId="5C9A0F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7F77BB3E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YOLO 加 ResNet18</w:t>
            </w:r>
          </w:p>
        </w:tc>
        <w:tc>
          <w:tcPr>
            <w:tcW w:w="2041" w:type="dxa"/>
            <w:vAlign w:val="center"/>
          </w:tcPr>
          <w:p w14:paraId="57D903F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检测候选局部三切片</w:t>
            </w:r>
          </w:p>
        </w:tc>
        <w:tc>
          <w:tcPr>
            <w:tcW w:w="4706" w:type="dxa"/>
            <w:vAlign w:val="center"/>
          </w:tcPr>
          <w:p w14:paraId="0B7A7B23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作为假阳性削减的扩展对照</w:t>
            </w:r>
          </w:p>
        </w:tc>
      </w:tr>
      <w:tr w14:paraId="4571DB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7318B1F7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完整三维网络</w:t>
            </w:r>
          </w:p>
        </w:tc>
        <w:tc>
          <w:tcPr>
            <w:tcW w:w="2041" w:type="dxa"/>
            <w:vAlign w:val="center"/>
          </w:tcPr>
          <w:p w14:paraId="7BACA052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三维体积或体块</w:t>
            </w:r>
          </w:p>
        </w:tc>
        <w:tc>
          <w:tcPr>
            <w:tcW w:w="4706" w:type="dxa"/>
            <w:vAlign w:val="center"/>
          </w:tcPr>
          <w:p w14:paraId="07DEAB7D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需额外构建体块与开展三维训练，本阶段未实现</w:t>
            </w:r>
          </w:p>
        </w:tc>
      </w:tr>
    </w:tbl>
    <w:p w14:paraId="4A2706FA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本设计特色：三切片输入逻辑获取上下文变化信息。经过网络查询发现，Alzahrani 和 Solaiman 采用 Faster R-CNN 与 ResNet 构成候选检测和判别流程也使用了这一想法[1]；Hendrix 等的系统采用五切片候选检测与多视图 ResNet50[2]。本设计的输入层数、分类器和数据条件均与这些研究不同，实现三切片数据构建、可靠空间坐标、模型训练及完整扫描评价。</w:t>
      </w:r>
    </w:p>
    <w:p w14:paraId="30DB7074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1.3 总体流程</w:t>
      </w:r>
    </w:p>
    <w:p w14:paraId="77385C63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主检测路径采用三切片YOLO11s，在完整切片中输出疑似肺结节的位置与评分，并执行跨层候选关联。ResNet18作为候选局部二分类的扩展对照保留。完整验证显示，现有分类器接到新YOLO后在相近误报约束下减少了检出数，因此最终网页默认使用YOLO主路径。</w:t>
      </w:r>
    </w:p>
    <w:p w14:paraId="44AB4744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399405" cy="3296285"/>
            <wp:effectExtent l="0" t="0" r="3175" b="7620"/>
            <wp:docPr id="28" name="Figure 2" descr="预测中心定位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 2" descr="预测中心定位示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3F06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预测中心定位示例</w:t>
      </w:r>
    </w:p>
    <w:p w14:paraId="11F39C44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399405" cy="3350895"/>
            <wp:effectExtent l="0" t="0" r="9525" b="9525"/>
            <wp:docPr id="29" name="Figure 3" descr="预测与同步观察区域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 3" descr="预测与同步观察区域示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0AFD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预测与同步观察区域示例</w:t>
      </w:r>
    </w:p>
    <w:p w14:paraId="2B8FEB13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039995" cy="4254500"/>
            <wp:effectExtent l="0" t="0" r="4445" b="6985"/>
            <wp:docPr id="2" name="Figure 4" descr="系统总体技术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4" descr="系统总体技术路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51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AE802E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系统总体技术路线</w:t>
      </w:r>
    </w:p>
    <w:p w14:paraId="403D5486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训练阶段由标注构建监督信号，通过损失函数、反向传播和优化器更新参数。应用阶段加载已保存权重，只执行前向传播及后处理。</w:t>
      </w:r>
    </w:p>
    <w:p w14:paraId="6564A685">
      <w:pPr>
        <w:pStyle w:val="2"/>
        <w:pageBreakBefore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二、设计过程描述</w:t>
      </w:r>
    </w:p>
    <w:p w14:paraId="39FF2C01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数据来源</w:t>
      </w:r>
    </w:p>
    <w:p w14:paraId="2624D67F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LUNA16 来自公开的 LIDC-IDRI 胸部 CT 数据，提供结节中心坐标、直径及评价材料[3]。本地下载补齐后共有 888 个 CT 体积。数据划分采用完整 seriesuid，以 CT 体积为单位固定清单，同一体积的全部切片归入同一集合。历史训练体积保持在训练集中，不把已用于训练的扫描重新放入验证或测试集合。</w:t>
      </w:r>
    </w:p>
    <w:p w14:paraId="16A31EEC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原先整理后的训练集包含498个CT体积；subset7和subset8新增177个体积后，训练集扩充为675个体积。验证集保持125个体积。subset9中的1个已用于观察和演示的病例单独保存，另外87个体积作为冻结保留测试集。该测试已在权重与阈值确定后完成，未按测试结果重新选择网页阈值。</w:t>
      </w:r>
    </w:p>
    <w:p w14:paraId="51420073">
      <w:pPr>
        <w:pStyle w:val="34"/>
        <w:keepNext/>
        <w:spacing w:before="12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数据划分与样本单位</w:t>
      </w:r>
    </w:p>
    <w:tbl>
      <w:tblPr>
        <w:tblStyle w:val="1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</w:tblPr>
      <w:tblGrid>
        <w:gridCol w:w="1191"/>
        <w:gridCol w:w="1134"/>
        <w:gridCol w:w="1134"/>
        <w:gridCol w:w="5613"/>
      </w:tblGrid>
      <w:tr w14:paraId="7A3FD9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EEEEEE"/>
            <w:vAlign w:val="center"/>
          </w:tcPr>
          <w:p w14:paraId="749A95BA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集合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2B27045E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CT 体积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73D71B34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纳入结节</w:t>
            </w:r>
          </w:p>
        </w:tc>
        <w:tc>
          <w:tcPr>
            <w:tcW w:w="5613" w:type="dxa"/>
            <w:shd w:val="clear" w:color="auto" w:fill="EEEEEE"/>
            <w:vAlign w:val="center"/>
          </w:tcPr>
          <w:p w14:paraId="5B22F5A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检测样本或评价规模</w:t>
            </w:r>
          </w:p>
        </w:tc>
      </w:tr>
      <w:tr w14:paraId="7BDD9B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7E6601A0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训练</w:t>
            </w:r>
          </w:p>
        </w:tc>
        <w:tc>
          <w:tcPr>
            <w:tcW w:w="1134" w:type="dxa"/>
            <w:vAlign w:val="center"/>
          </w:tcPr>
          <w:p w14:paraId="73725A7C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675</w:t>
            </w:r>
          </w:p>
        </w:tc>
        <w:tc>
          <w:tcPr>
            <w:tcW w:w="1134" w:type="dxa"/>
            <w:vAlign w:val="center"/>
          </w:tcPr>
          <w:p w14:paraId="410022FA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902</w:t>
            </w:r>
          </w:p>
        </w:tc>
        <w:tc>
          <w:tcPr>
            <w:tcW w:w="5613" w:type="dxa"/>
            <w:vAlign w:val="center"/>
          </w:tcPr>
          <w:p w14:paraId="3C468DE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12,048 个三通道中心层样本</w:t>
            </w:r>
          </w:p>
        </w:tc>
      </w:tr>
      <w:tr w14:paraId="096845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51FEFFD9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</w:t>
            </w:r>
          </w:p>
        </w:tc>
        <w:tc>
          <w:tcPr>
            <w:tcW w:w="1134" w:type="dxa"/>
            <w:vAlign w:val="center"/>
          </w:tcPr>
          <w:p w14:paraId="05587A3D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125</w:t>
            </w:r>
          </w:p>
        </w:tc>
        <w:tc>
          <w:tcPr>
            <w:tcW w:w="1134" w:type="dxa"/>
            <w:vAlign w:val="center"/>
          </w:tcPr>
          <w:p w14:paraId="0F2F496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179</w:t>
            </w:r>
          </w:p>
        </w:tc>
        <w:tc>
          <w:tcPr>
            <w:tcW w:w="5613" w:type="dxa"/>
            <w:vAlign w:val="center"/>
          </w:tcPr>
          <w:p w14:paraId="440AD301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训练切片验证 2,375 张；完整推理 33,398 层</w:t>
            </w:r>
          </w:p>
        </w:tc>
      </w:tr>
      <w:tr w14:paraId="0A46EF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>
            <w:r>
              <w:t>冻结测试</w:t>
            </w:r>
          </w:p>
        </w:tc>
        <w:tc>
          <w:tcPr>
            <w:tcW w:w="1134" w:type="dxa"/>
            <w:vAlign w:val="center"/>
          </w:tcPr>
          <w:p w14:paraId="10215BF3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87</w:t>
            </w:r>
          </w:p>
        </w:tc>
        <w:tc>
          <w:tcPr>
            <w:tcW w:w="1134" w:type="dxa"/>
            <w:vAlign w:val="center"/>
          </w:tcPr>
          <w:p w14:paraId="71239128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104</w:t>
            </w:r>
          </w:p>
        </w:tc>
        <w:tc>
          <w:tcPr>
            <w:tcW w:w="5613" w:type="dxa"/>
            <w:vAlign w:val="center"/>
          </w:tcPr>
          <w:p>
            <w:r>
              <w:t>subset9完整推理22,772层；框评价取样1,445张</w:t>
            </w:r>
          </w:p>
        </w:tc>
      </w:tr>
      <w:tr w14:paraId="25B215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50E1EDBA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演示</w:t>
            </w:r>
          </w:p>
        </w:tc>
        <w:tc>
          <w:tcPr>
            <w:tcW w:w="1134" w:type="dxa"/>
            <w:vAlign w:val="center"/>
          </w:tcPr>
          <w:p w14:paraId="4E23F129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C7FCAF5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5613" w:type="dxa"/>
            <w:vAlign w:val="center"/>
          </w:tcPr>
          <w:p w14:paraId="7DC1B8FB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已查看病例，不计入独立测试</w:t>
            </w:r>
          </w:p>
        </w:tc>
      </w:tr>
    </w:tbl>
    <w:p w14:paraId="6151FF8D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训练样本中，6,456 张中心层图像含目标参考框，5,592 张为背景样本。背景来自训练体积内按规则抽取的层面，并覆盖没有纳入目标标注的扫描。12,048 是抽样后的检测图像数，不是全部训练 CT 的所有原始切片数；完整验证则逐层处理所有 33,398 个中心层。验证集包含 39 例没有纳入目标结节的 CT，这些扫描仍进入误报分母。</w:t>
      </w:r>
    </w:p>
    <w:p w14:paraId="60160ACC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数据清单记录完整 UID、文件来源与校验值。原始体积、训练清单、验证清单和演示清单分开保存，补充 subset7、subset8 后没有改变已有验证和测试清单。划分保证同一 CT 体积不跨集合</w:t>
      </w:r>
    </w:p>
    <w:p w14:paraId="7F4A9F1B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三切片样本构建</w:t>
      </w:r>
    </w:p>
    <w:p w14:paraId="687BEAE2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肺结节在相邻 CT 层面上通常具有形态连续性，而单张切片中的血管横断面也可能呈现近似圆形。本设计将中心层及其前后相邻层组成三通道输入，使二维网络能够同时观察局部层间变化。设第 z 层灰度图像为 Gz，输入为：</w:t>
      </w:r>
    </w:p>
    <w:p w14:paraId="1E2BC84C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X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z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/>
            <w:color w:val="000000"/>
            <w:sz w:val="24"/>
          </w:rPr>
          <m:t xml:space="preserve"> = Stack(</m:t>
        </m:r>
        <m:sSub>
          <m:sSubP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G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z−1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/>
            <w:color w:val="000000"/>
            <w:sz w:val="24"/>
          </w:rPr>
          <m:t xml:space="preserve">, </m:t>
        </m:r>
        <m:sSub>
          <m:sSubP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G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z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/>
            <w:color w:val="000000"/>
            <w:sz w:val="24"/>
          </w:rPr>
          <m:t xml:space="preserve">, </m:t>
        </m:r>
        <m:sSub>
          <m:sSubP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G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eastAsia="宋体"/>
                <w:color w:val="000000"/>
                <w:sz w:val="24"/>
              </w:rPr>
              <m:t>z+1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/>
            <w:color w:val="000000"/>
            <w:sz w:val="24"/>
          </w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1E717708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三个通道分别表示前一层、中心层和后一层，不表示自然图像的颜色。切片边界复制最近有效层，三个通道同步进行缩放与空间增强。训练框对应中心切片；相邻切片提供上下文。该方式仍使用二维卷积，不等同于完整三维卷积网络。</w:t>
      </w:r>
    </w:p>
    <w:p w14:paraId="38BC486B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CT 灰度以 HU 值表示。采用 −1000 至 400 HU 窗口，将超出范围的值截断，再归一化到 0 至 1：</w:t>
      </w:r>
    </w:p>
    <w:p w14:paraId="33B7562C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>
          <m:rPr/>
          <w:rPr>
            <w:rFonts w:ascii="Cambria Math" w:hAnsi="Cambria Math"/>
          </w:rPr>
          <m:t xml:space="preserve">U(H)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clip(H, −1000, 400) + 1000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1400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,     G(H) = floor(255 U(H))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27879342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式中 H 为体素 HU 值，U 为归一化灰度，G 为导出的 8 位灰度。灰度映射统一了输入数值范围，保留肺部影像常用的灰度对比。导出图像为 512×512 像素，YOLO 输入按一致规则调整为 640×640 像素。</w:t>
      </w:r>
    </w:p>
    <w:p w14:paraId="67B0E520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 空间坐标与物理尺寸</w:t>
      </w:r>
    </w:p>
    <w:p w14:paraId="3789FEF9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CT 中的像素索引与毫米位置不同。设连续体素坐标为 i，原点为 o，方向矩阵为 D，体素间距为 s，则世界坐标 p 为[4]：</w:t>
      </w:r>
    </w:p>
    <w:p w14:paraId="3B9505ED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lang w:eastAsia="zh-CN"/>
          </w:rPr>
          <m:t>p = o + D diag(s) i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2F3F23D3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检测框先从模型输入坐标还原到原图坐标，再用框中心得到连续体素位置。像素边缘坐标与体素中心坐标的半像素约定应保持一致。只有将候选与标注转换到相同毫米坐标空间，才能进行跨层合并和中心距离评价。</w:t>
      </w:r>
    </w:p>
    <w:p w14:paraId="0E267BFF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本设计保留原始层间距，未将完整 CT 统一重采样到 1 mm。因而三张切片在不同扫描中覆盖的轴向厚度可能不同。ResNet18 的固定物理视野裁剪仅统一局部平面视野，不等于整幅 CT 三维重采样。</w:t>
      </w:r>
    </w:p>
    <w:p w14:paraId="18272A96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 YOLO11s 算法设计与理论基础</w:t>
      </w:r>
    </w:p>
    <w:p w14:paraId="7C640F30">
      <w:pPr>
        <w:pStyle w:val="3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2.4.1 网络选择与前向传播</w:t>
      </w:r>
    </w:p>
    <w:p w14:paraId="294D733F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YOLO将目标定位与类别预测整合到一次网络前向计算中。本设计采用单类别的YOLO11s，网络从三切片输入提取特征，通过多尺度融合与检测头输出候选框和结节评分。实现依据已安装的Ultralytics模型配置和训练程序[7]。</w:t>
      </w:r>
    </w:p>
    <w:p w14:paraId="7360AF79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687695" cy="1912620"/>
            <wp:effectExtent l="0" t="0" r="5080" b="1270"/>
            <wp:docPr id="15" name="Figure 5" descr="YOLO11s 前向传播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 5" descr="YOLO11s 前向传播示意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1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61C7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YOLO11s 前向传播示意图</w:t>
      </w:r>
    </w:p>
    <w:p w14:paraId="5533DE27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卷积将邻域灰度与通道信息加权组合。设输入特征为 x，卷积核为 W，偏置为 b，二维卷积可概括为：</w:t>
      </w:r>
    </w:p>
    <w:p w14:paraId="55823176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o,i,j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+ 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c,u,v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o,c,u,v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c,i+u,j+v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0B8350D5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式中 o、c 分别为输出与输入通道索引，u、v 为卷积核位置。第一层卷积能够融合三张切片的信息；后续层提取边缘、纹理和更复杂的结构。卷积后结合批量归一化与非线性激活，YOLO 常用 SiLU 激活：</w:t>
      </w:r>
    </w:p>
    <w:p w14:paraId="06C58F90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>
          <m:rPr/>
          <w:rPr>
            <w:rFonts w:ascii="Cambria Math" w:hAnsi="Cambria Math"/>
          </w:rPr>
          <m:t xml:space="preserve">SiLU(z) = z σ(z),     σ(z)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 xml:space="preserve">1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−z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7A17B576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主干包含C3k2特征提取模块、SPPF特征聚合模块和C2PSA注意力模块。融合结构形成步长8、16、32的三尺度检测特征；640×640输入对应80×80、40×40和20×20空间尺寸。多尺度输出覆盖不同大小的候选，小结节仍可能因低对比度或下采样而漏检。</w:t>
      </w:r>
    </w:p>
    <w:p w14:paraId="2C4C060E">
      <w:pPr>
        <w:pStyle w:val="3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2.4.2 反向传播与参数优化</w:t>
      </w:r>
    </w:p>
    <w:p w14:paraId="2C2532A6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前向传播计算预测，损失函数量化预测误差，反向传播则根据链式法则计算误差对各层参数的梯度[7]。为说明原理，可将网络层写成：</w:t>
      </w:r>
    </w:p>
    <w:p w14:paraId="2C538CCF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(k−1)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,  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 = φ(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3A3154D2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式中 a 为特征，z 为激活前的值，φ 为激活函数，W 和 b 为参数。设 δ(k) 为损失对 z(k) 的梯度，忽略分支结构时，其递推关系为：</w:t>
      </w:r>
    </w:p>
    <w:p w14:paraId="39282E69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(k+1)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(k+1)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 ⊙ φ'(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61215D44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∂L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(k)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(k)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(k−1)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3B4AE3C1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以上为一般层的教学表达。卷积网络对应卷积算子的梯度；特征拼接、注意力和多尺度分支由自动微分按计算图累积梯度。若用梯度下降说明更新方向，则参数沿负梯度调整；本设计实际使用 AdamW 优化器[7]。</w:t>
      </w:r>
    </w:p>
    <w:p w14:paraId="46881AE9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−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η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m̂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v̂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/>
              </w:rPr>
              <m:t xml:space="preserve"> + ε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 xml:space="preserve"> −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η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λ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39F4E5B6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式中 θ 为可训练参数，η 为学习率，m̂、v̂ 为经偏差校正的一阶与二阶梯度矩估计，ε 为数值稳定项，λ 为权重衰减系数。AdamW 根据梯度历史调整步长，并将权重衰减与梯度更新分离；不进行衰减的参数组取 λ=0。</w:t>
      </w:r>
    </w:p>
    <w:p w14:paraId="11978F4E">
      <w:pPr>
        <w:pStyle w:val="34"/>
        <w:keepNext/>
        <w:spacing w:before="12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YOLO11s 训练参数设置</w:t>
      </w:r>
    </w:p>
    <w:tbl>
      <w:tblPr>
        <w:tblStyle w:val="1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2324"/>
        <w:gridCol w:w="6746"/>
      </w:tblGrid>
      <w:tr w14:paraId="12A682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EEEEEE"/>
            <w:vAlign w:val="center"/>
          </w:tcPr>
          <w:p w14:paraId="29F49FF8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训练项目</w:t>
            </w:r>
          </w:p>
        </w:tc>
        <w:tc>
          <w:tcPr>
            <w:tcW w:w="6746" w:type="dxa"/>
            <w:shd w:val="clear" w:color="auto" w:fill="EEEEEE"/>
            <w:vAlign w:val="center"/>
          </w:tcPr>
          <w:p w14:paraId="28A9BC38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本设计设置</w:t>
            </w:r>
          </w:p>
        </w:tc>
      </w:tr>
      <w:tr w14:paraId="2B8193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8FC0B2A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初始化与训练规模</w:t>
            </w:r>
          </w:p>
        </w:tc>
        <w:tc>
          <w:tcPr>
            <w:tcW w:w="6746" w:type="dxa"/>
            <w:vAlign w:val="center"/>
          </w:tcPr>
          <w:p w14:paraId="18450946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YOLO11s 预训练初始化  100 轮  675 个训练体积</w:t>
            </w:r>
          </w:p>
        </w:tc>
      </w:tr>
      <w:tr w14:paraId="64FFA8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4F344A6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输入与批量</w:t>
            </w:r>
          </w:p>
        </w:tc>
        <w:tc>
          <w:tcPr>
            <w:tcW w:w="6746" w:type="dxa"/>
            <w:vAlign w:val="center"/>
          </w:tcPr>
          <w:p w14:paraId="239D4F80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640×640 像素  批量 8</w:t>
            </w:r>
          </w:p>
        </w:tc>
      </w:tr>
      <w:tr w14:paraId="435407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EDD2BA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优化与学习率</w:t>
            </w:r>
          </w:p>
        </w:tc>
        <w:tc>
          <w:tcPr>
            <w:tcW w:w="6746" w:type="dxa"/>
            <w:vAlign w:val="center"/>
          </w:tcPr>
          <w:p w14:paraId="45E02764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AdamW  初始学习率 0.001  预热 3 轮</w:t>
            </w:r>
          </w:p>
        </w:tc>
      </w:tr>
      <w:tr w14:paraId="6E4C5B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09C3348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增强原则</w:t>
            </w:r>
          </w:p>
        </w:tc>
        <w:tc>
          <w:tcPr>
            <w:tcW w:w="6746" w:type="dxa"/>
            <w:vAlign w:val="center"/>
          </w:tcPr>
          <w:p w14:paraId="20C2DAB0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三个切片及标签同步变换  关闭颜色扰动与通道交换</w:t>
            </w:r>
          </w:p>
        </w:tc>
      </w:tr>
      <w:tr w14:paraId="1FB723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026E1E63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权重选择</w:t>
            </w:r>
          </w:p>
        </w:tc>
        <w:tc>
          <w:tcPr>
            <w:tcW w:w="6746" w:type="dxa"/>
            <w:vAlign w:val="center"/>
          </w:tcPr>
          <w:p w14:paraId="55906673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完整验证 CT 在 1 FP/scan 约束下的敏感性  最终选择第 90 轮</w:t>
            </w:r>
          </w:p>
        </w:tc>
      </w:tr>
    </w:tbl>
    <w:p w14:paraId="05A309B7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训练过程中切片 mAP 用于观察检测性能，完整 CT 的结节级指标用于主权重选择。验证仅计算指标，不通过反向传播更新权重。</w:t>
      </w:r>
    </w:p>
    <w:p w14:paraId="1B9B4A6B">
      <w:pPr>
        <w:pStyle w:val="3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2.4.3 YOLO11s 训练程序流程</w:t>
      </w:r>
    </w:p>
    <w:p w14:paraId="34B7C786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训练程序的关键控制逻辑为批次循环与轮次循环。每个训练批次依次完成前向传播、损失计算、反向传播和参数更新；验证结束后记录结果并判断是否继续训练。该流程可代替报告中的训练代码。</w:t>
      </w:r>
    </w:p>
    <w:p w14:paraId="42217C31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4895850" cy="4955540"/>
            <wp:effectExtent l="0" t="0" r="0" b="0"/>
            <wp:docPr id="16" name="Figure 6" descr="YOLO11s 训练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 6" descr="YOLO11s 训练程序流程图"/>
                    <pic:cNvPicPr>
                      <a:picLocks noChangeAspect="1"/>
                    </pic:cNvPicPr>
                  </pic:nvPicPr>
                  <pic:blipFill>
                    <a:blip r:embed="rId10"/>
                    <a:srcRect r="123" b="48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95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1492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YOLO11s 训练程序流程图</w:t>
      </w:r>
    </w:p>
    <w:p w14:paraId="1DD39803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停止条件包括达到轮次上限或满足预设的完整 CT 评价早停规则。保存的训练结束权重与最终选用权重可以不同，本设计采用完整 CT 评价表现更好的第 90 轮权重。</w:t>
      </w:r>
    </w:p>
    <w:p w14:paraId="1C1CF485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2.5 完整体积推理与候选合并算法</w:t>
      </w:r>
    </w:p>
    <w:p w14:paraId="546B696E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应用阶段对完整 CT 的每个中心层构建三切片输入，使用训练完成的 YOLO11s 权重生成二维候选。推理只执行前向传播，不计算用于更新权重的梯度。候选起始评分阈值为 0.01，切片内 NMS 的 IoU 阈值为 0.70，单层候选上限为 300。</w:t>
      </w:r>
    </w:p>
    <w:p w14:paraId="3E452D0F">
      <w:pPr>
        <w:pStyle w:val="3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2.5.1 切片内非极大值抑制</w:t>
      </w:r>
    </w:p>
    <w:p w14:paraId="3655A4C6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同一目标附近可能产生多个重叠框。非极大值抑制 NMS 先选出评分最高的框 Bm，再删除与其高度重叠的候选，随后对余下框重复操作：</w:t>
      </w:r>
    </w:p>
    <w:p w14:paraId="6405C7F2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>
          <m:rPr/>
          <w:rPr>
            <w:rFonts w:ascii="Cambria Math" w:hAnsi="Cambria Math"/>
          </w:rPr>
          <m:t xml:space="preserve">remove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if IoU(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) &gt;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NMS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713D9D2B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NMS 解决同一切片内重叠框的重复输出问题。它不判断影像是否为真实结节，也不能直接消除血管等结构造成的假阳性。此类候选需要局部分类与阈值筛选进一步判别。</w:t>
      </w:r>
    </w:p>
    <w:p w14:paraId="12ED39DD">
      <w:pPr>
        <w:pStyle w:val="3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2.5.2 毫米空间的跨层合并</w:t>
      </w:r>
    </w:p>
    <w:p w14:paraId="297E8EEF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相邻层检测到同一结节时，会产生多个二维候选。先将各候选中心映射到 CT 的三维毫米坐标，再按 YOLO 评分从高到低选取尚未分组的种子。设种子中心为 pm，候选中心为 pi，则本设计的归组条件为：</w:t>
      </w:r>
    </w:p>
    <w:p w14:paraId="51EFF626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k=1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i,k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m,k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/>
          </w:rPr>
          <m:t xml:space="preserve"> ≤ 3 mm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34525984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将满足条件且尚未分组的候选归入种子组，组中心保持为种子中心。该规则按种子距离分组，不采用连续相连即可加入的链式合并，因此可避免组范围无约束地延长。组评分为各成员相应路径评分的最大值：</w:t>
      </w:r>
    </w:p>
    <w:p w14:paraId="06A3EF28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group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max {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: j ∈ group }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7BA36F0B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对主检测路径，sj 为 YOLO 评分；对二阶段对照路径，sj 可为 YOLO 与 ResNet18 的乘积评分。分组保持相同空间规则，使两条路径能进行一致的结节级评价。</w:t>
      </w:r>
    </w:p>
    <w:p w14:paraId="48118B8E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 mm 是工程后处理参数，不表示结节直径。过近的不同结节可能被合并，较长结节也可能产生多个候选组。因此需要保留成员位置用于结果核对。跨层合并属于候选关联，不产生结节轮廓或精确三维分割。</w:t>
      </w:r>
    </w:p>
    <w:p w14:paraId="38621FCF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2.6 ResNet18 扩展实验</w:t>
      </w:r>
    </w:p>
    <w:p w14:paraId="1BF7BBE6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扩展路径在候选中心附近裁剪固定 50 mm 物理视野，将三个相邻轴向层重采样为 3×96×96 张量，再由 ResNet18 输出结节概率。固定视野不随真实结节直径变化，避免推理时借用未知标准答案。ResNet18 采用残差结构[5]，输入归一化与训练一致。</w:t>
      </w:r>
    </w:p>
    <w:p w14:paraId="4C8AA6CB">
      <w:pPr>
        <w:pStyle w:val="3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2.6.1 ResNet18 前向传播与反向传播</w:t>
      </w:r>
    </w:p>
    <w:p w14:paraId="7129DA9F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以候选中心为基准，在三个相邻轴向层裁剪固定 50 mm 平面视野，重采样为 3×96×96 的局部张量。固定视野与真实结节直径无关，使推理无需知道标准答案。输入灰度范围和归一化参数保持与分类器训练一致。</w:t>
      </w:r>
    </w:p>
    <w:p w14:paraId="568C081B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经过残差特征提取后，全局平均池化将每个通道的空间响应汇总为一个值。设第 c 个通道特征为 Ac，特征图尺寸为 Hf×Wf，则：</w:t>
      </w:r>
    </w:p>
    <w:p w14:paraId="3DF45CB7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j=1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c,i,j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e>
        </m:nary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04886F4B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512 维汇总特征经全连接层得到两个 logit a0、a1，分别对应非结节和结节。Softmax 将其转换为两类评分，取结节评分 p1：</w:t>
      </w:r>
    </w:p>
    <w:p w14:paraId="4BBBAD76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5E4DC497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训练采用两类交叉熵；现有分类器使用 0.05 的标签平滑。设真实类别为 y，平滑系数为 εs，类别数为 2，则目标分布与平均损失写为：</w:t>
      </w:r>
    </w:p>
    <w:p w14:paraId="0D8D909E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(1−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) 1[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=c] +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ε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785991A4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ResNet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c=0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i,c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 xml:space="preserve"> ln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i,c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e>
        </m:nary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568CF103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式中 N 为批次样本数，指示函数 1[y=c] 在条件成立时取 1。模型若把非结节赋予较高结节评分，会产生较大的分类损失；反向传播将这一误差传回特征提取层。</w:t>
      </w:r>
    </w:p>
    <w:p w14:paraId="28B38182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对于恒等捷径的残差块，令 u=x+F(x)，则按链式法则：</w:t>
      </w:r>
    </w:p>
    <w:p w14:paraId="02C37EFC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∂L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∂x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 xml:space="preserve">(I +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∂F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∂x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 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∂L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∂y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 xml:space="preserve"> ⊙ ReLU'(u)]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0158FC7D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I 表示恒等映射的雅可比矩阵。捷径提供了不必穿过残差分支全部变换的梯度通路，使较深网络更容易优化，缓解深度增加引起的训练退化。投影捷径时，I 换为投影的雅可比矩阵。残差连接改善训练条件；假阳性削减则来自有监督的结节与非结节判别，两者作用应分别说明。</w:t>
      </w:r>
    </w:p>
    <w:p w14:paraId="190A1C85">
      <w:pPr>
        <w:pStyle w:val="3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2.6.2 ResNet18 假阳性削减程序流程</w:t>
      </w:r>
    </w:p>
    <w:p w14:paraId="3635B516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图7说明候选局部分类与阈值筛选的概念流程。离线二阶段对照使用固定50 mm视野，保留候选分类评分并按YOLO与ResNet乘积评分形成FROC；图中的单阈值判定示意候选保留方式。网页保留的早期分类路径采用另一套裁剪和阈值设置，作为工程比较。最终演示默认使用YOLO主路径。</w:t>
      </w:r>
    </w:p>
    <w:p w14:paraId="22AC3CB1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4895850" cy="4391660"/>
            <wp:effectExtent l="0" t="0" r="0" b="10160"/>
            <wp:docPr id="21" name="Figure 7" descr="ResNet18 候选分类与假阳性削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 7" descr="ResNet18 候选分类与假阳性削减流程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39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1640E4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ResNet18 候选分类与假阳性削减流程图</w:t>
      </w:r>
    </w:p>
    <w:p w14:paraId="608F03CC">
      <w:pPr>
        <w:pStyle w:val="2"/>
        <w:pageBreakBefore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三、设计结果</w:t>
      </w:r>
    </w:p>
    <w:p w14:paraId="148FFE7A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 实验环境与评价定义</w:t>
      </w:r>
    </w:p>
    <w:p w14:paraId="476A3061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实验在 NVIDIA GeForce RTX 4060 Laptop GPU 上执行，实际环境为 PyTorch 2.11.0+cu128、CUDA 12.8、Ultralytics 8.4.60。完整验证逐例处理 125 个 CT 体积，并核对全部 33,398 个中心层的完成记录。原始数据与冻结划分、旧模型和新模型分别记录校验值，本轮没有通过修改旧权重改变对照结果。</w:t>
      </w:r>
    </w:p>
    <w:p w14:paraId="5B5093DC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设预测中心为p，真实结节中心为g，标注直径为d，式（18）给出严格命中条件。一个纳入结节的重复命中只贡献一个TP，其他重复命中忽略；命中排除标注的候选不计TP或FP。未知排除直径按10 mm处理。未检出目标保留在FN和分母中，完整验证分母为179个结节，subset9测试分母为104个结节[2,6]。</w:t>
      </w:r>
    </w:p>
    <w:p w14:paraId="583664DE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>
          <m:rPr/>
          <m:t>‖p − g‖₂ &lt; d / 2</m:t>
        </m:r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76459DC2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敏感性也称检出率，按式（19）计算；平均误报按式（20）计算。FP/scan 是每个完整 CT 扫描的平均误报数，不是每秒或每张切片的误报数。平均不超过 1 次不表示每个病例都最多出现一个误报，某些扫描可以出现多个。</w:t>
      </w:r>
    </w:p>
    <w:p w14:paraId="2868C9A8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>
          <m:rPr/>
          <m:t>Sensitivity =</m:t>
        </m:r>
        <m:f>
          <m:fPr/>
          <m:num>
            <m:r>
              <m:rPr/>
              <m:t>TP</m:t>
            </m:r>
          </m:num>
          <m:den>
            <m:r>
              <m:rPr/>
              <m:t>TP + FN</m:t>
            </m:r>
          </m:den>
        </m:f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40B8EB5B">
      <w:pPr>
        <w:pStyle w:val="32"/>
        <w:keepLines/>
        <w:tabs>
          <w:tab w:val="center" w:pos="4535"/>
          <w:tab w:val="right" w:pos="8957"/>
        </w:tabs>
        <w:spacing w:before="100" w:after="140" w:line="288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ab/>
      </w:r>
      <m:oMath>
        <m:r>
          <m:rPr/>
          <m:t>FP/scan =</m:t>
        </m:r>
        <m:f>
          <m:fPr/>
          <m:num>
            <m:r>
              <m:rPr/>
              <m:t>总 FP</m:t>
            </m:r>
          </m:num>
          <m:den>
            <m:r>
              <m:rPr/>
              <m:t>完整 CT 数</m:t>
            </m:r>
          </m:den>
        </m:f>
      </m:oMath>
      <w:r>
        <w:rPr>
          <w:rFonts w:ascii="Times New Roman" w:hAnsi="Times New Roman" w:eastAsia="宋体"/>
          <w:b w:val="0"/>
          <w:i w:val="0"/>
          <w:color w:val="000000"/>
          <w:sz w:val="22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38D01B19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FROC表示评分阈值变化时敏感性与平均误报的关系。按LUNA16评价定义，读取0.125、0.25、0.5、1、2、4、8 FP/scan七点敏感性并取均值得到CPM[6]。评价采用完整CT有放回抽样1,000次计算置信区间，并与迁移到Python3的评价代码核对全曲线。这里报告的是自留验证与测试子集结果，候选总数口径沿用本项目验证流程，不代表完整官方十折挑战排名。</w:t>
      </w:r>
    </w:p>
    <w:p w14:paraId="61F4986E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 完整 CT 检出率变化与权重选择</w:t>
      </w:r>
    </w:p>
    <w:p w14:paraId="2601D813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687695" cy="3305810"/>
            <wp:effectExtent l="0" t="0" r="6350" b="5080"/>
            <wp:docPr id="3" name="Figure 8" descr="完整 CT 在平均误报不超过 1 FP/scan 时的检出率变化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8" descr="完整 CT 在平均误报不超过 1 FP/scan 时的检出率变化" title="图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0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E7CB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完整 CT 在平均误报不超过 1 FP/scan 时的检出率变化</w:t>
      </w:r>
    </w:p>
    <w:p w14:paraId="73A9E78A">
      <w:pPr>
        <w:pStyle w:val="32"/>
        <w:keepNext w:val="0"/>
        <w:keepLines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图 8 只绘制实际执行完整评价的第 20、30、40、50、60、70、80、90、100 轮，共九个点。每个点均以相同的 125 个 CT、179 个结节为分母，并在各自的可实现评分阈值下满足总 FP 不超过 125。没有完整评价的轮次不补造检出率；点间连线仅便于观察趋势。灰色虚线是上一轮三切片 YOLO 在相同流程中的 82.68%。</w:t>
      </w:r>
    </w:p>
    <w:p w14:paraId="1D68C47A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第 20 轮检出 138 个结节，77.09%；第 50 轮升至 151 个，84.36%；第 60、70 轮均为 148 个，82.68%。第 80 轮检出 152 个，第 90 轮检出 154 个，达到本轮最高的 86.03%；第 100 轮为 153 个，85.47%。因此最终采用第 90 轮，而不是把训练结束轮次当作最佳轮次。</w:t>
      </w:r>
    </w:p>
    <w:p w14:paraId="3FE5BF1B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切片mAP50–95的最高训练记录出现在第28轮，为0.37843，但该权重在完整验证的误报约束下只检出143个结节，敏感性79.89%。第90轮的切片验证mAP50–95为0.34800，结节敏感性为86.03%。本设计以结节候选定位为主要用途，因此按完整验证集的结节检出表现选择第90轮，同时如实保留框评价指标。</w:t>
      </w:r>
    </w:p>
    <w:p w14:paraId="0D36334A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 同条件模型对照</w:t>
      </w:r>
    </w:p>
    <w:p w14:paraId="7ED39D99">
      <w:pPr>
        <w:pStyle w:val="34"/>
        <w:keepNext/>
        <w:spacing w:before="12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同一完整验证集在平均误报不超过 1 FP/scan 时的结果</w:t>
      </w:r>
    </w:p>
    <w:tbl>
      <w:tblPr>
        <w:tblStyle w:val="1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</w:tblPr>
      <w:tblGrid>
        <w:gridCol w:w="3288"/>
        <w:gridCol w:w="624"/>
        <w:gridCol w:w="624"/>
        <w:gridCol w:w="624"/>
        <w:gridCol w:w="1474"/>
        <w:gridCol w:w="1191"/>
        <w:gridCol w:w="1247"/>
      </w:tblGrid>
      <w:tr w14:paraId="054785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tblHeader/>
          <w:jc w:val="center"/>
        </w:trPr>
        <w:tc>
          <w:tcPr>
            <w:tcW w:w="3288" w:type="dxa"/>
            <w:shd w:val="clear" w:color="auto" w:fill="EEEEEE"/>
            <w:vAlign w:val="center"/>
          </w:tcPr>
          <w:p w14:paraId="2141B852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模型</w:t>
            </w:r>
          </w:p>
        </w:tc>
        <w:tc>
          <w:tcPr>
            <w:tcW w:w="624" w:type="dxa"/>
            <w:shd w:val="clear" w:color="auto" w:fill="EEEEEE"/>
            <w:vAlign w:val="center"/>
          </w:tcPr>
          <w:p w14:paraId="040405B0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TP</w:t>
            </w:r>
          </w:p>
        </w:tc>
        <w:tc>
          <w:tcPr>
            <w:tcW w:w="624" w:type="dxa"/>
            <w:shd w:val="clear" w:color="auto" w:fill="EEEEEE"/>
            <w:vAlign w:val="center"/>
          </w:tcPr>
          <w:p w14:paraId="55661B0C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FP</w:t>
            </w:r>
          </w:p>
        </w:tc>
        <w:tc>
          <w:tcPr>
            <w:tcW w:w="624" w:type="dxa"/>
            <w:shd w:val="clear" w:color="auto" w:fill="EEEEEE"/>
            <w:vAlign w:val="center"/>
          </w:tcPr>
          <w:p w14:paraId="4BBCE2A4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FN</w:t>
            </w:r>
          </w:p>
        </w:tc>
        <w:tc>
          <w:tcPr>
            <w:tcW w:w="1474" w:type="dxa"/>
            <w:shd w:val="clear" w:color="auto" w:fill="EEEEEE"/>
            <w:vAlign w:val="center"/>
          </w:tcPr>
          <w:p w14:paraId="0577950F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检出率</w:t>
            </w:r>
          </w:p>
        </w:tc>
        <w:tc>
          <w:tcPr>
            <w:tcW w:w="1191" w:type="dxa"/>
            <w:shd w:val="clear" w:color="auto" w:fill="EEEEEE"/>
            <w:vAlign w:val="center"/>
          </w:tcPr>
          <w:p w14:paraId="4EA46B72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FP/scan</w:t>
            </w:r>
          </w:p>
        </w:tc>
        <w:tc>
          <w:tcPr>
            <w:tcW w:w="1247" w:type="dxa"/>
            <w:shd w:val="clear" w:color="auto" w:fill="EEEEEE"/>
            <w:vAlign w:val="center"/>
          </w:tcPr>
          <w:p w14:paraId="27EC3A7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CPM</w:t>
            </w:r>
          </w:p>
        </w:tc>
      </w:tr>
      <w:tr w14:paraId="1AEDD8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3288" w:type="dxa"/>
            <w:vAlign w:val="center"/>
          </w:tcPr>
          <w:p w14:paraId="142C2EA1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上一轮YOLO（498例）</w:t>
            </w:r>
          </w:p>
        </w:tc>
        <w:tc>
          <w:tcPr>
            <w:tcW w:w="624" w:type="dxa"/>
            <w:vAlign w:val="center"/>
          </w:tcPr>
          <w:p w14:paraId="5BB998E8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148</w:t>
            </w:r>
          </w:p>
        </w:tc>
        <w:tc>
          <w:tcPr>
            <w:tcW w:w="624" w:type="dxa"/>
            <w:vAlign w:val="center"/>
          </w:tcPr>
          <w:p w14:paraId="56CCA77F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125</w:t>
            </w:r>
          </w:p>
        </w:tc>
        <w:tc>
          <w:tcPr>
            <w:tcW w:w="624" w:type="dxa"/>
            <w:vAlign w:val="center"/>
          </w:tcPr>
          <w:p w14:paraId="289955FE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31</w:t>
            </w:r>
          </w:p>
        </w:tc>
        <w:tc>
          <w:tcPr>
            <w:tcW w:w="1474" w:type="dxa"/>
            <w:vAlign w:val="center"/>
          </w:tcPr>
          <w:p w14:paraId="798F2F1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82.68%</w:t>
            </w:r>
          </w:p>
        </w:tc>
        <w:tc>
          <w:tcPr>
            <w:tcW w:w="1191" w:type="dxa"/>
            <w:vAlign w:val="center"/>
          </w:tcPr>
          <w:p w14:paraId="5B088EBD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w="1247" w:type="dxa"/>
            <w:vAlign w:val="center"/>
          </w:tcPr>
          <w:p w14:paraId="31A41549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0.7869</w:t>
            </w:r>
          </w:p>
        </w:tc>
      </w:tr>
      <w:tr w14:paraId="306F56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3288" w:type="dxa"/>
            <w:vAlign w:val="center"/>
          </w:tcPr>
          <w:p w14:paraId="53026F1B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第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一轮 YOLO＋扩充 ResNet</w:t>
            </w:r>
          </w:p>
        </w:tc>
        <w:tc>
          <w:tcPr>
            <w:tcW w:w="624" w:type="dxa"/>
            <w:vAlign w:val="center"/>
          </w:tcPr>
          <w:p w14:paraId="7BF6DE1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150</w:t>
            </w:r>
          </w:p>
        </w:tc>
        <w:tc>
          <w:tcPr>
            <w:tcW w:w="624" w:type="dxa"/>
            <w:vAlign w:val="center"/>
          </w:tcPr>
          <w:p w14:paraId="545F5F7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125</w:t>
            </w:r>
          </w:p>
        </w:tc>
        <w:tc>
          <w:tcPr>
            <w:tcW w:w="624" w:type="dxa"/>
            <w:vAlign w:val="center"/>
          </w:tcPr>
          <w:p w14:paraId="3D9950AC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29</w:t>
            </w:r>
          </w:p>
        </w:tc>
        <w:tc>
          <w:tcPr>
            <w:tcW w:w="1474" w:type="dxa"/>
            <w:vAlign w:val="center"/>
          </w:tcPr>
          <w:p w14:paraId="1926EBF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83.80%</w:t>
            </w:r>
          </w:p>
        </w:tc>
        <w:tc>
          <w:tcPr>
            <w:tcW w:w="1191" w:type="dxa"/>
            <w:vAlign w:val="center"/>
          </w:tcPr>
          <w:p w14:paraId="0AF698AC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w="1247" w:type="dxa"/>
            <w:vAlign w:val="center"/>
          </w:tcPr>
          <w:p w14:paraId="5FE5E06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0.8077</w:t>
            </w:r>
          </w:p>
        </w:tc>
      </w:tr>
      <w:tr w14:paraId="7A2DF1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3288" w:type="dxa"/>
            <w:vAlign w:val="center"/>
          </w:tcPr>
          <w:p w14:paraId="77DC684D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第二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轮 YOLO（第90轮）</w:t>
            </w:r>
          </w:p>
        </w:tc>
        <w:tc>
          <w:tcPr>
            <w:tcW w:w="624" w:type="dxa"/>
            <w:vAlign w:val="center"/>
          </w:tcPr>
          <w:p w14:paraId="6195F8BC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154</w:t>
            </w:r>
          </w:p>
        </w:tc>
        <w:tc>
          <w:tcPr>
            <w:tcW w:w="624" w:type="dxa"/>
            <w:vAlign w:val="center"/>
          </w:tcPr>
          <w:p w14:paraId="4D634CE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121</w:t>
            </w:r>
          </w:p>
        </w:tc>
        <w:tc>
          <w:tcPr>
            <w:tcW w:w="624" w:type="dxa"/>
            <w:vAlign w:val="center"/>
          </w:tcPr>
          <w:p w14:paraId="196B6AD8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w="1474" w:type="dxa"/>
            <w:vAlign w:val="center"/>
          </w:tcPr>
          <w:p w14:paraId="47EB99AB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86.03%</w:t>
            </w:r>
          </w:p>
        </w:tc>
        <w:tc>
          <w:tcPr>
            <w:tcW w:w="1191" w:type="dxa"/>
            <w:vAlign w:val="center"/>
          </w:tcPr>
          <w:p w14:paraId="557FB56A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0.968</w:t>
            </w:r>
          </w:p>
        </w:tc>
        <w:tc>
          <w:tcPr>
            <w:tcW w:w="1247" w:type="dxa"/>
            <w:vAlign w:val="center"/>
          </w:tcPr>
          <w:p w14:paraId="08CF87C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0.7749</w:t>
            </w:r>
          </w:p>
        </w:tc>
      </w:tr>
      <w:tr w14:paraId="209E27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3288" w:type="dxa"/>
            <w:vAlign w:val="center"/>
          </w:tcPr>
          <w:p w14:paraId="6EC16D32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第二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轮YOLO＋扩充 ResNet</w:t>
            </w:r>
          </w:p>
        </w:tc>
        <w:tc>
          <w:tcPr>
            <w:tcW w:w="624" w:type="dxa"/>
            <w:vAlign w:val="center"/>
          </w:tcPr>
          <w:p w14:paraId="7A4BC504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147</w:t>
            </w:r>
          </w:p>
        </w:tc>
        <w:tc>
          <w:tcPr>
            <w:tcW w:w="624" w:type="dxa"/>
            <w:vAlign w:val="center"/>
          </w:tcPr>
          <w:p w14:paraId="6931E505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120</w:t>
            </w:r>
          </w:p>
        </w:tc>
        <w:tc>
          <w:tcPr>
            <w:tcW w:w="624" w:type="dxa"/>
            <w:vAlign w:val="center"/>
          </w:tcPr>
          <w:p w14:paraId="0A2E672A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w="1474" w:type="dxa"/>
            <w:vAlign w:val="center"/>
          </w:tcPr>
          <w:p w14:paraId="755C7677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82.12%</w:t>
            </w:r>
          </w:p>
        </w:tc>
        <w:tc>
          <w:tcPr>
            <w:tcW w:w="1191" w:type="dxa"/>
            <w:vAlign w:val="center"/>
          </w:tcPr>
          <w:p w14:paraId="6C028E1F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0.960</w:t>
            </w:r>
          </w:p>
        </w:tc>
        <w:tc>
          <w:tcPr>
            <w:tcW w:w="1247" w:type="dxa"/>
            <w:vAlign w:val="center"/>
          </w:tcPr>
          <w:p w14:paraId="5CD3A7BE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0.7765</w:t>
            </w:r>
          </w:p>
        </w:tc>
      </w:tr>
    </w:tbl>
    <w:p w14:paraId="5F7EDB54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表4中的上一轮 YOLO 是使用 498 个训练体积得到的三切片模型；新 YOLO 使用 675 个训练体积，并按完整 CT 指标选中第 90 轮。两条 ResNet 扩展路径使用同一个扩充训练后的现有 ResNet18。输入窗口、推理尺寸、候选起始阈值、NMS、三维合并、排除规则与验证体积均一致；每条路径在验证集上选择满足误报约束的操作点。</w:t>
      </w:r>
    </w:p>
    <w:p w14:paraId="53B0005C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新 YOLO 从 148 个检出增至 154 个，净增加 6 个，敏感性提高 3.35 个百分点；漏检由 31 个降至 25 个，总误报由 125 个降至 121 个，即 0.968 FP/scan。该操作点的组评分阈值为 0.57053，必须与当前冻结的预处理、NMS 和 3 mm 分组规则一起使用。</w:t>
      </w:r>
    </w:p>
    <w:p w14:paraId="1E9571FB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新模型的 CPM 为 0.77494，上一轮为 0.78691，下降约 1.20 个百分点。虽然 1 FP/scan 附近有所改善，七个操作点的平均表现没有提高，因此总体结论是提升有限。1 FP/scan 敏感性的 95% 置信区间约为旧模型 75.33%–90.06%、新模型 78.03%–91.10%；</w:t>
      </w:r>
    </w:p>
    <w:p w14:paraId="657AAB15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现有 ResNet 接到新 YOLO 后，在自己的操作点检出 147 个结节、产生 120 个误报，敏感性 82.12%。相较新 YOLO 单独使用，仅少 1 个误报却少检出 7 个结节，因而没有作为当前主检测路径。这个结果反映的是固定分类器对新候选的适配，但不代表所有二阶段网络或重新构建新候选训练样本后都不会改善。</w:t>
      </w:r>
    </w:p>
    <w:p w14:paraId="08F193A9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 漏检变化与结节尺寸</w:t>
      </w:r>
    </w:p>
    <w:p w14:paraId="3FCD961B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逐结节核对显示，两个 YOLO 共同检出 141 个结节，新模型另外检出 13 个旧模型未检出的结节，同时漏掉 7 个旧模型曾检出的结节；两个模型都漏掉 18 个。</w:t>
      </w:r>
    </w:p>
    <w:p w14:paraId="36DDA78F">
      <w:pPr>
        <w:pStyle w:val="34"/>
        <w:keepNext/>
        <w:spacing w:before="12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同一操作点按标注直径分组的 YOLO 检出情况</w:t>
      </w:r>
    </w:p>
    <w:tbl>
      <w:tblPr>
        <w:tblStyle w:val="1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</w:tblPr>
      <w:tblGrid>
        <w:gridCol w:w="2268"/>
        <w:gridCol w:w="1701"/>
        <w:gridCol w:w="1701"/>
        <w:gridCol w:w="1701"/>
        <w:gridCol w:w="1701"/>
      </w:tblGrid>
      <w:tr w14:paraId="05D8BF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vAlign w:val="center"/>
          </w:tcPr>
          <w:p w14:paraId="59C6A45F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标注直径</w:t>
            </w:r>
          </w:p>
        </w:tc>
        <w:tc>
          <w:tcPr>
            <w:tcW w:w="1701" w:type="dxa"/>
            <w:shd w:val="clear" w:color="auto" w:fill="EEEEEE"/>
            <w:vAlign w:val="center"/>
          </w:tcPr>
          <w:p w14:paraId="1A8EA2CE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真实结节数</w:t>
            </w:r>
          </w:p>
        </w:tc>
        <w:tc>
          <w:tcPr>
            <w:tcW w:w="1701" w:type="dxa"/>
            <w:shd w:val="clear" w:color="auto" w:fill="EEEEEE"/>
            <w:vAlign w:val="center"/>
          </w:tcPr>
          <w:p w14:paraId="43193166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上一轮检出</w:t>
            </w:r>
          </w:p>
        </w:tc>
        <w:tc>
          <w:tcPr>
            <w:tcW w:w="1701" w:type="dxa"/>
            <w:shd w:val="clear" w:color="auto" w:fill="EEEEEE"/>
            <w:vAlign w:val="center"/>
          </w:tcPr>
          <w:p w14:paraId="47D01797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本轮检出</w:t>
            </w:r>
          </w:p>
        </w:tc>
        <w:tc>
          <w:tcPr>
            <w:tcW w:w="1701" w:type="dxa"/>
            <w:shd w:val="clear" w:color="auto" w:fill="EEEEEE"/>
            <w:vAlign w:val="center"/>
          </w:tcPr>
          <w:p w14:paraId="67987648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本轮漏检</w:t>
            </w:r>
          </w:p>
        </w:tc>
      </w:tr>
      <w:tr w14:paraId="56F5D3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CBB8E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小于 5 mm</w:t>
            </w:r>
          </w:p>
        </w:tc>
        <w:tc>
          <w:tcPr>
            <w:tcW w:w="1701" w:type="dxa"/>
            <w:vAlign w:val="center"/>
          </w:tcPr>
          <w:p w14:paraId="6B1DDE84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55</w:t>
            </w:r>
          </w:p>
        </w:tc>
        <w:tc>
          <w:tcPr>
            <w:tcW w:w="1701" w:type="dxa"/>
            <w:vAlign w:val="center"/>
          </w:tcPr>
          <w:p w14:paraId="687E8563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39</w:t>
            </w:r>
          </w:p>
        </w:tc>
        <w:tc>
          <w:tcPr>
            <w:tcW w:w="1701" w:type="dxa"/>
            <w:vAlign w:val="center"/>
          </w:tcPr>
          <w:p w14:paraId="5F5FE9FC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42</w:t>
            </w:r>
          </w:p>
        </w:tc>
        <w:tc>
          <w:tcPr>
            <w:tcW w:w="1701" w:type="dxa"/>
            <w:vAlign w:val="center"/>
          </w:tcPr>
          <w:p w14:paraId="03B535E1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13</w:t>
            </w:r>
          </w:p>
        </w:tc>
      </w:tr>
      <w:tr w14:paraId="0D0AFD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F37C51F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 至小于 10 mm</w:t>
            </w:r>
          </w:p>
        </w:tc>
        <w:tc>
          <w:tcPr>
            <w:tcW w:w="1701" w:type="dxa"/>
            <w:vAlign w:val="center"/>
          </w:tcPr>
          <w:p w14:paraId="5ACBDAC6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81</w:t>
            </w:r>
          </w:p>
        </w:tc>
        <w:tc>
          <w:tcPr>
            <w:tcW w:w="1701" w:type="dxa"/>
            <w:vAlign w:val="center"/>
          </w:tcPr>
          <w:p w14:paraId="6252031A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74</w:t>
            </w:r>
          </w:p>
        </w:tc>
        <w:tc>
          <w:tcPr>
            <w:tcW w:w="1701" w:type="dxa"/>
            <w:vAlign w:val="center"/>
          </w:tcPr>
          <w:p w14:paraId="25EC8C84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76</w:t>
            </w:r>
          </w:p>
        </w:tc>
        <w:tc>
          <w:tcPr>
            <w:tcW w:w="1701" w:type="dxa"/>
            <w:vAlign w:val="center"/>
          </w:tcPr>
          <w:p w14:paraId="56EE6BED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</w:tr>
      <w:tr w14:paraId="68E384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A0865A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 mm 及以上</w:t>
            </w:r>
          </w:p>
        </w:tc>
        <w:tc>
          <w:tcPr>
            <w:tcW w:w="1701" w:type="dxa"/>
            <w:vAlign w:val="center"/>
          </w:tcPr>
          <w:p w14:paraId="02F672E5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43</w:t>
            </w:r>
          </w:p>
        </w:tc>
        <w:tc>
          <w:tcPr>
            <w:tcW w:w="1701" w:type="dxa"/>
            <w:vAlign w:val="center"/>
          </w:tcPr>
          <w:p w14:paraId="591CF662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35</w:t>
            </w:r>
          </w:p>
        </w:tc>
        <w:tc>
          <w:tcPr>
            <w:tcW w:w="1701" w:type="dxa"/>
            <w:vAlign w:val="center"/>
          </w:tcPr>
          <w:p w14:paraId="61E088DC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36</w:t>
            </w:r>
          </w:p>
        </w:tc>
        <w:tc>
          <w:tcPr>
            <w:tcW w:w="1701" w:type="dxa"/>
            <w:vAlign w:val="center"/>
          </w:tcPr>
          <w:p w14:paraId="23F59251">
            <w:pPr>
              <w:pStyle w:val="32"/>
              <w:keepNext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</w:t>
            </w:r>
          </w:p>
        </w:tc>
      </w:tr>
      <w:tr w14:paraId="3C2508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5" w:type="dxa"/>
            <w:left w:w="85" w:type="dxa"/>
            <w:bottom w:w="65" w:type="dxa"/>
            <w:right w:w="85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EB9656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合计</w:t>
            </w:r>
          </w:p>
        </w:tc>
        <w:tc>
          <w:tcPr>
            <w:tcW w:w="1701" w:type="dxa"/>
            <w:vAlign w:val="center"/>
          </w:tcPr>
          <w:p w14:paraId="23443C5E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179</w:t>
            </w:r>
          </w:p>
        </w:tc>
        <w:tc>
          <w:tcPr>
            <w:tcW w:w="1701" w:type="dxa"/>
            <w:vAlign w:val="center"/>
          </w:tcPr>
          <w:p w14:paraId="6C49EBDB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148</w:t>
            </w:r>
          </w:p>
        </w:tc>
        <w:tc>
          <w:tcPr>
            <w:tcW w:w="1701" w:type="dxa"/>
            <w:vAlign w:val="center"/>
          </w:tcPr>
          <w:p w14:paraId="2C9579AC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154</w:t>
            </w:r>
          </w:p>
        </w:tc>
        <w:tc>
          <w:tcPr>
            <w:tcW w:w="1701" w:type="dxa"/>
            <w:vAlign w:val="center"/>
          </w:tcPr>
          <w:p w14:paraId="580B9261">
            <w:pPr>
              <w:pStyle w:val="32"/>
              <w:keepNext w:val="0"/>
              <w:keepLines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25</w:t>
            </w:r>
          </w:p>
        </w:tc>
      </w:tr>
    </w:tbl>
    <w:p w14:paraId="59E4E063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新模型仍漏检 13 个小于 5 mm 的目标，小结节占其漏检的一半以上；但也漏掉 7 个不小于 10 mm 的结节。在候选起始阈值 0.01 与固定合并规则下，第 90 轮候选池能覆盖 172/179 个真实结节，仍有 7 个结节在候选池中未命中。1 FP/scan 操作点最终检出 154 个，说明还有 18 个候选池可命中的结节因评分与误报约束未被保留。</w:t>
      </w:r>
    </w:p>
    <w:p w14:paraId="4090A1B6">
      <w:pPr>
        <w:pStyle w:val="3"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3.5 数据与工程核对</w:t>
      </w:r>
    </w:p>
    <w:p w14:paraId="0745C148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数据层面核对了同层多目标合并、完整 UID、划分互斥和坐标往返。新增 subset7、subset8 后，原验证、测试与演示清单保持不变。推理层面记录每个体积的层数、候选数、物理中心、三维分组成员和模型文件校验值；评价层面保留逐结节命中、漏检、未匹配与排除记录。最终表中的 TP、FP、FN 已与保存的逐项记录核对。</w:t>
      </w:r>
    </w:p>
    <w:p w14:paraId="7DFAB543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第90轮主权重已替换网页运行副本的默认权重，演示文件名为yolo11s_full_25d_epoch090.pt，校验值与离线测试记录一致。输入640、候选起始评分0.01、NMS IoU 0.70、3 mm分组和显示阈值0.5705289244651794已同步；完整几何信息提供毫米空间分组，普通PNG仅补像素间距时可估计尺寸。</w:t>
      </w:r>
    </w:p>
    <w:p>
      <w:pPr>
        <w:pStyle w:val="3"/>
        <w:keepNext/>
        <w:keepLines/>
        <w:ind w:left="0"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3.6 subset9冻结测试结果</w:t>
      </w:r>
    </w:p>
    <w:p>
      <w:pPr>
        <w:pStyle w:val="32"/>
        <w:keepNext w:val="0"/>
        <w:keepLines w:val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ubset9的87个冻结测试CT包含104个纳入结节和22,772个原始中心层，其中29个CT没有纳入目标，仍计入误报分母。之前已查看的1例演示CT不计入测试。模型、预处理和后处理沿用验证配置，固定显示阈值0.5705289244651794，不按测试结果重新调阈值。</w:t>
      </w:r>
    </w:p>
    <w:p>
      <w:pPr>
        <w:pStyle w:val="32"/>
        <w:keepNext/>
        <w:keepLines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表6  固定验证阈值下的完整CT结果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集合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CT数</w:t>
            </w:r>
          </w:p>
        </w:tc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结节数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TP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FN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FP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敏感性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FP/scan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86.03%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0.9680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subset9测试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88.46%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1.0115</w:t>
            </w:r>
          </w:p>
        </w:tc>
      </w:tr>
    </w:tbl>
    <w:p>
      <w:pPr>
        <w:pStyle w:val="32"/>
        <w:keepNext w:val="0"/>
        <w:keepLines w:val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固定阈值下测试敏感性的95%置信区间为82.29%至94.22%。测试FROC曲线在1 FP/scan处的敏感性同为88.46%，七点CPM为0.8475。固定网页阈值的实际误报略高于1 FP/scan，不能将曲线操作点与网页阈值混写。测试与验证由不同CT构成，不能把两者的指标差异直接解释为模型进一步改善。</w:t>
      </w:r>
    </w:p>
    <w:p>
      <w:pPr>
        <w:pStyle w:val="32"/>
        <w:keepNext/>
        <w:keepLines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表7  subset9二维框评价结果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评价范围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切片数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mAP50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6E6"/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mAP50–95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全部切片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22,772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0.5798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0.5180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0.5124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0.2707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按训练规则取样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1,445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0.8095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0.6488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0.6779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32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0.3479</w:t>
            </w:r>
          </w:p>
        </w:tc>
      </w:tr>
    </w:tbl>
    <w:p>
      <w:pPr>
        <w:pStyle w:val="32"/>
        <w:keepNext w:val="0"/>
        <w:keepLines w:val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框评价采用0.001候选评分下限、0.70 NMS IoU和0.50至0.95的十个匹配IoU水平，使用Ultralytics标准匹配与AP计算。P、R为其平滑最大F1操作点的统计。全部切片与取样评价共享740张阳性切片、783个参考框；取样集合另含705张确定性抽取的背景切片。参考框由中心和直径按球体与切片厚度交集生成，与训练规则一致，未使用逐层人工轮廓。框评价不跨层合并，也未使用结节级评价的排除标注忽略规则。抽取16张切片与标准model.val核对，mAP结果一致。</w:t>
      </w:r>
    </w:p>
    <w:p>
      <w:pPr>
        <w:pStyle w:val="32"/>
        <w:keepNext w:val="0"/>
        <w:keepLines w:val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固定网页阈值下，小于5 mm的结节检出21/28个，敏感性75.00%；5至小于10 mm检出46/51个，90.20%；10 mm及以上检出25/25个。小结节仍是主要漏检来源。候选池在0.01起始评分下覆盖99/104个结节，仍有5个目标未被命中；固定显示阈值下漏检12个。</w:t>
      </w:r>
    </w:p>
    <w:p>
      <w:pPr>
        <w:pStyle w:val="3"/>
        <w:keepNext/>
        <w:keepLines/>
        <w:ind w:left="0"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3.7 三切片定位和毫米尺寸显示</w:t>
      </w:r>
    </w:p>
    <w:p>
      <w:pPr>
        <w:pStyle w:val="32"/>
        <w:keepNext w:val="0"/>
        <w:keepLines w:val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网页加载第90轮YOLO权重。点击候选列表或图像中的候选框后，弹窗显示中心层及前后相邻层，并提供相同位置的局部放大。真实候选框与同步观察区域分别显示；边界层复制最近有效切片并标明层号。演示病例用于说明交互，测试统计来自另外87例完整CT。</w:t>
      </w:r>
    </w:p>
    <w:p>
      <w:pPr>
        <w:pStyle w:val="32"/>
        <w:keepNext w:val="0"/>
        <w:keepLines w:val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框宽w、高h的单位为像素，实际水平和垂直间距分别为sx、sy时，估计直径取max(w×sx,h×sy)，估计半径为其一半，结果单位为mm。网页支持导入对应CT的.mhd或元数据JSON，也支持填写当前图像的水平和垂直mm/px间距；整幅切片缩放时依据原尺寸换算有效间距。尺寸属于框估计，不等于精确分割直径。只有像素间距而缺少原点、方向及层号映射时，不生成虚构的世界中心坐标。</w:t>
      </w:r>
    </w:p>
    <w:p>
      <w:pPr>
        <w:pStyle w:val="3"/>
        <w:keepNext/>
        <w:keepLines/>
        <w:ind w:left="0"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3.8 局限与下一步</w:t>
      </w:r>
    </w:p>
    <w:p>
      <w:pPr>
        <w:pStyle w:val="32"/>
        <w:keepNext w:val="0"/>
        <w:keepLines w:val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严格同条件单切片对照尚未完成，小结节检出与框定位仍有不足。参考框是球体近似，原生层间距随CT变化；后续优先分析小结节漏检、候选排序及邻近结构误报。</w:t>
      </w:r>
    </w:p>
    <w:p w14:paraId="455355D9">
      <w:pPr>
        <w:pStyle w:val="2"/>
        <w:pageBreakBefore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四、总结</w:t>
      </w:r>
    </w:p>
    <w:p w14:paraId="39637A2F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本课程设计完成了一个基于 YOLO11s 3-Slice 2.5D 思路的 CT 肺结节辅助检测系统原型。系统从医学仪器软件角度出发，将医学图像数据预处理、深度学习目标检测、后端接口服务和前端可视化展示整合到同一个项目中，形成了较完整的“输入—处理—分析—显示”闭环。</w:t>
      </w:r>
    </w:p>
    <w:p w14:paraId="2DA2F61C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在模型设计上，使用三张连续切片构造 RGB 输入，使模型能够获得一定层间上下文。这种方案实现成本较低，适合课程设计和本科阶段项目展示，也有助于理解医生连续阅片和模型输入设计之间的联系。</w:t>
      </w:r>
    </w:p>
    <w:p w14:paraId="20276E38">
      <w:pPr>
        <w:pStyle w:val="32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最终采用第90轮三切片YOLO主模型。完整验证检出率为86.03%；冻结subset9测试检出率为88.46%，网页固定阈值下平均误报1.0115 FP/scan。测试全部切片的mAP50为0.5124、mAP50–95为0.2707；按训练规则取样时分别为0.6779和0.3479。结节检出与框位置、大小评价的单位和规则不同，不能统称为同一种准确率。</w:t>
      </w:r>
    </w:p>
    <w:p w14:paraId="5B36B2C5">
      <w:pPr>
        <w:pStyle w:val="32"/>
        <w:keepNext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最终网页端系统流程图如下：</w:t>
      </w:r>
    </w:p>
    <w:p w14:paraId="02EB61D0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039995" cy="5040630"/>
            <wp:effectExtent l="0" t="0" r="0" b="0"/>
            <wp:docPr id="22" name="Figure 9" descr="前后端检测与可视化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 9" descr="前后端检测与可视化程序流程图"/>
                    <pic:cNvPicPr>
                      <a:picLocks noChangeAspect="1"/>
                    </pic:cNvPicPr>
                  </pic:nvPicPr>
                  <pic:blipFill>
                    <a:blip r:embed="rId13"/>
                    <a:srcRect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9676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前后端检测与可视化程序流程图</w:t>
      </w:r>
    </w:p>
    <w:p w14:paraId="2E2EFB2A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687695" cy="2772410"/>
            <wp:effectExtent l="0" t="0" r="9525" b="6985"/>
            <wp:docPr id="31" name="Figure 10" descr="Web 端检测结果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 10" descr="Web 端检测结果示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41C4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Web 端检测结果示例</w:t>
      </w:r>
    </w:p>
    <w:p w14:paraId="4DD675DF">
      <w:pPr>
        <w:pStyle w:val="32"/>
        <w:keepNext/>
        <w:keepLines/>
        <w:spacing w:before="100" w:after="0" w:line="240" w:lineRule="auto"/>
        <w:ind w:firstLine="0"/>
        <w:jc w:val="center"/>
      </w:pPr>
      <w:r>
        <w:drawing>
          <wp:inline distT="0" distB="0" distL="0" distR="0">
            <wp:extent cx="5687695" cy="3883660"/>
            <wp:effectExtent l="0" t="0" r="635" b="8890"/>
            <wp:docPr id="30" name="Figure 11" descr="病灶位置弹出与预测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 11" descr="病灶位置弹出与预测示例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8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2DFF">
      <w:pPr>
        <w:pStyle w:val="34"/>
        <w:keepNext w:val="0"/>
        <w:keepLines/>
        <w:spacing w:before="80"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 病灶位置弹出与预测示例</w:t>
      </w:r>
    </w:p>
    <w:p w14:paraId="6629A3C7">
      <w:pPr>
        <w:pStyle w:val="2"/>
        <w:pageBreakBefore/>
        <w:ind w:lef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参考文献</w:t>
      </w:r>
    </w:p>
    <w:p w14:paraId="0AE9917F">
      <w:pPr>
        <w:pStyle w:val="32"/>
        <w:spacing w:after="160" w:line="288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[1] ALZAHRANI T, SOLAIMAN S. Accurate Detection of Pulmonary Nodule and False Positive Reduction with Faster R-CNN and ResNet Models[J]. International Journal of Computer Science and Network Security, 2025, 25(2): 1–10. DOI: 10.22937/IJCSNS.2025.25.2.1.</w:t>
      </w:r>
    </w:p>
    <w:p w14:paraId="286733A0">
      <w:pPr>
        <w:pStyle w:val="32"/>
        <w:spacing w:after="160" w:line="288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[2] HENDRIX W, HENDRIX N, SCHOLTEN E T, et al. Deep learning for the detection of benign and malignant pulmonary nodules in non-screening chest CT scans[J]. Communications Medicine, 2023, 3: 156. DOI: 10.1038/s43856-023-00388-5.</w:t>
      </w:r>
    </w:p>
    <w:p w14:paraId="6D11AEC3">
      <w:pPr>
        <w:pStyle w:val="32"/>
        <w:spacing w:after="160" w:line="288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[3] SETIO A A A, TRAVERSO A, DE BEL T, et al. Validation, comparison, and combination of algorithms for automatic detection of pulmonary nodules in computed tomography images: The LUNA16 challenge[J]. Medical Image Analysis, 2017, 42: 1–13. DOI: 10.1016/j.media.2017.06.015.</w:t>
      </w:r>
    </w:p>
    <w:p w14:paraId="7D847993">
      <w:pPr>
        <w:pStyle w:val="32"/>
        <w:spacing w:after="160" w:line="288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[4] SimpleITK. Fundamental Concepts[EB/OL]. [2026-10-13]. https://simpleitk.readthedocs.io/en/master/fundamentalConcepts.html.</w:t>
      </w:r>
    </w:p>
    <w:p w14:paraId="7CB8C123">
      <w:pPr>
        <w:pStyle w:val="32"/>
        <w:spacing w:after="160" w:line="288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[5] HE K, ZHANG X, REN S, et al. Deep Residual Learning for Image Recognition[C]//Proceedings of the IEEE Conference on Computer Vision and Pattern Recognition. 2016: 770–778.</w:t>
      </w:r>
    </w:p>
    <w:p w14:paraId="3AA7064B">
      <w:pPr>
        <w:pStyle w:val="32"/>
        <w:spacing w:after="160" w:line="288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[6] LUNA16 Challenge Organizers. Evaluation[EB/OL]. [2026-10-13]. https://luna16.grand-challenge.org/Evaluation/.</w:t>
      </w:r>
    </w:p>
    <w:p w14:paraId="51313747">
      <w:pPr>
        <w:pStyle w:val="32"/>
        <w:spacing w:after="160" w:line="288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[7] Ultralytics. Model Training with Ultralytics YOLO[EB/OL]. [2026-10-13]. https://docs.ultralytics.com/modes/train/.</w:t>
      </w:r>
    </w:p>
    <w:sectPr>
      <w:footerReference r:id="rId3" w:type="default"/>
      <w:pgSz w:w="11906" w:h="16838"/>
      <w:pgMar w:top="907" w:right="1418" w:bottom="907" w:left="1418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7133410"/>
      <w:docPartObj>
        <w:docPartGallery w:val="autotext"/>
      </w:docPartObj>
    </w:sdtPr>
    <w:sdtContent>
      <w:p w14:paraId="08A1FD8D">
        <w:pPr>
          <w:pStyle w:val="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5</w:t>
        </w:r>
        <w:r>
          <w:rPr>
            <w:lang w:val="zh-CN"/>
          </w:rPr>
          <w:fldChar w:fldCharType="end"/>
        </w:r>
      </w:p>
    </w:sdtContent>
  </w:sdt>
  <w:p w14:paraId="1D31EE46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69ED0"/>
    <w:multiLevelType w:val="singleLevel"/>
    <w:tmpl w:val="BF669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68B"/>
    <w:rsid w:val="0000329C"/>
    <w:rsid w:val="00020918"/>
    <w:rsid w:val="00021037"/>
    <w:rsid w:val="00023E5E"/>
    <w:rsid w:val="00025CA1"/>
    <w:rsid w:val="0004212D"/>
    <w:rsid w:val="000601A4"/>
    <w:rsid w:val="000662B3"/>
    <w:rsid w:val="000667A2"/>
    <w:rsid w:val="00072BC8"/>
    <w:rsid w:val="00087DD2"/>
    <w:rsid w:val="00091D9C"/>
    <w:rsid w:val="00092C6F"/>
    <w:rsid w:val="000C1517"/>
    <w:rsid w:val="000C3363"/>
    <w:rsid w:val="000C3979"/>
    <w:rsid w:val="000D78FB"/>
    <w:rsid w:val="000E5D75"/>
    <w:rsid w:val="00110D2A"/>
    <w:rsid w:val="00111222"/>
    <w:rsid w:val="00112793"/>
    <w:rsid w:val="001147F9"/>
    <w:rsid w:val="00120824"/>
    <w:rsid w:val="001230A8"/>
    <w:rsid w:val="0012600D"/>
    <w:rsid w:val="00130FAA"/>
    <w:rsid w:val="00142B82"/>
    <w:rsid w:val="0014659A"/>
    <w:rsid w:val="001524F7"/>
    <w:rsid w:val="00161FA8"/>
    <w:rsid w:val="001727B1"/>
    <w:rsid w:val="00190A61"/>
    <w:rsid w:val="00192BD1"/>
    <w:rsid w:val="001A6DC9"/>
    <w:rsid w:val="001B5210"/>
    <w:rsid w:val="001B722D"/>
    <w:rsid w:val="001E21F4"/>
    <w:rsid w:val="001F52AF"/>
    <w:rsid w:val="002117C9"/>
    <w:rsid w:val="00214696"/>
    <w:rsid w:val="00223799"/>
    <w:rsid w:val="00232A8E"/>
    <w:rsid w:val="00242090"/>
    <w:rsid w:val="00244116"/>
    <w:rsid w:val="00245451"/>
    <w:rsid w:val="002472D8"/>
    <w:rsid w:val="00254006"/>
    <w:rsid w:val="00254DBE"/>
    <w:rsid w:val="0026689E"/>
    <w:rsid w:val="00266DD9"/>
    <w:rsid w:val="00267A0A"/>
    <w:rsid w:val="00287B80"/>
    <w:rsid w:val="002A2685"/>
    <w:rsid w:val="002A5097"/>
    <w:rsid w:val="002A5BC9"/>
    <w:rsid w:val="002B4E6D"/>
    <w:rsid w:val="002B502C"/>
    <w:rsid w:val="002B5BF2"/>
    <w:rsid w:val="002D7F1C"/>
    <w:rsid w:val="002E01F2"/>
    <w:rsid w:val="002E2ACC"/>
    <w:rsid w:val="002E7C70"/>
    <w:rsid w:val="002F6665"/>
    <w:rsid w:val="002F6D54"/>
    <w:rsid w:val="0030442F"/>
    <w:rsid w:val="00317853"/>
    <w:rsid w:val="003267E5"/>
    <w:rsid w:val="00361CAE"/>
    <w:rsid w:val="00363D01"/>
    <w:rsid w:val="00364FAD"/>
    <w:rsid w:val="003656CD"/>
    <w:rsid w:val="00367998"/>
    <w:rsid w:val="00385AB0"/>
    <w:rsid w:val="00395318"/>
    <w:rsid w:val="00397820"/>
    <w:rsid w:val="003A5B33"/>
    <w:rsid w:val="003B0D0D"/>
    <w:rsid w:val="003B68D2"/>
    <w:rsid w:val="003E71AD"/>
    <w:rsid w:val="003F11D8"/>
    <w:rsid w:val="003F39A1"/>
    <w:rsid w:val="003F4E0C"/>
    <w:rsid w:val="003F7017"/>
    <w:rsid w:val="00404AB3"/>
    <w:rsid w:val="00406E08"/>
    <w:rsid w:val="00420774"/>
    <w:rsid w:val="0042130E"/>
    <w:rsid w:val="00425C6F"/>
    <w:rsid w:val="004432E1"/>
    <w:rsid w:val="0045108E"/>
    <w:rsid w:val="00461AE7"/>
    <w:rsid w:val="0046286F"/>
    <w:rsid w:val="0046646D"/>
    <w:rsid w:val="00473558"/>
    <w:rsid w:val="00485ADE"/>
    <w:rsid w:val="00485DA4"/>
    <w:rsid w:val="00494F02"/>
    <w:rsid w:val="004971EE"/>
    <w:rsid w:val="004A54B7"/>
    <w:rsid w:val="004B43BE"/>
    <w:rsid w:val="004B4E64"/>
    <w:rsid w:val="004C4777"/>
    <w:rsid w:val="004C4E79"/>
    <w:rsid w:val="00511086"/>
    <w:rsid w:val="005164C5"/>
    <w:rsid w:val="00523C16"/>
    <w:rsid w:val="005327F9"/>
    <w:rsid w:val="0053474D"/>
    <w:rsid w:val="0056526F"/>
    <w:rsid w:val="00572D67"/>
    <w:rsid w:val="0057420A"/>
    <w:rsid w:val="005857D4"/>
    <w:rsid w:val="005A4DC7"/>
    <w:rsid w:val="005A51FF"/>
    <w:rsid w:val="005B43E0"/>
    <w:rsid w:val="005C4156"/>
    <w:rsid w:val="005C58B2"/>
    <w:rsid w:val="005C76EE"/>
    <w:rsid w:val="005D0E36"/>
    <w:rsid w:val="006120EC"/>
    <w:rsid w:val="00614779"/>
    <w:rsid w:val="00640322"/>
    <w:rsid w:val="00640F1C"/>
    <w:rsid w:val="006530B7"/>
    <w:rsid w:val="00680DAC"/>
    <w:rsid w:val="0069156F"/>
    <w:rsid w:val="00697260"/>
    <w:rsid w:val="006976C7"/>
    <w:rsid w:val="006A3C0D"/>
    <w:rsid w:val="006A6A3D"/>
    <w:rsid w:val="006B45E1"/>
    <w:rsid w:val="006C6711"/>
    <w:rsid w:val="006E0204"/>
    <w:rsid w:val="006F32E2"/>
    <w:rsid w:val="0070497B"/>
    <w:rsid w:val="00704DC6"/>
    <w:rsid w:val="00714DA6"/>
    <w:rsid w:val="007240C5"/>
    <w:rsid w:val="0073041E"/>
    <w:rsid w:val="007621B7"/>
    <w:rsid w:val="00762222"/>
    <w:rsid w:val="00775855"/>
    <w:rsid w:val="0078394C"/>
    <w:rsid w:val="00787A93"/>
    <w:rsid w:val="007955B8"/>
    <w:rsid w:val="007A137C"/>
    <w:rsid w:val="007C012F"/>
    <w:rsid w:val="007C5F55"/>
    <w:rsid w:val="007D1464"/>
    <w:rsid w:val="007D2DF8"/>
    <w:rsid w:val="007E347E"/>
    <w:rsid w:val="007E387E"/>
    <w:rsid w:val="007F729C"/>
    <w:rsid w:val="008032A6"/>
    <w:rsid w:val="008048F9"/>
    <w:rsid w:val="00826771"/>
    <w:rsid w:val="0082677B"/>
    <w:rsid w:val="008309EF"/>
    <w:rsid w:val="0085162D"/>
    <w:rsid w:val="00851F26"/>
    <w:rsid w:val="00853B13"/>
    <w:rsid w:val="0085589D"/>
    <w:rsid w:val="00865B10"/>
    <w:rsid w:val="00871521"/>
    <w:rsid w:val="008803EA"/>
    <w:rsid w:val="008822BF"/>
    <w:rsid w:val="008B3781"/>
    <w:rsid w:val="008B5647"/>
    <w:rsid w:val="008C4619"/>
    <w:rsid w:val="008E77BB"/>
    <w:rsid w:val="008F5754"/>
    <w:rsid w:val="009036E1"/>
    <w:rsid w:val="00905FD0"/>
    <w:rsid w:val="009143F6"/>
    <w:rsid w:val="009147E8"/>
    <w:rsid w:val="00925DA9"/>
    <w:rsid w:val="0093265B"/>
    <w:rsid w:val="0093338C"/>
    <w:rsid w:val="009421A1"/>
    <w:rsid w:val="00953A2C"/>
    <w:rsid w:val="00962728"/>
    <w:rsid w:val="00970421"/>
    <w:rsid w:val="009776CA"/>
    <w:rsid w:val="0098718E"/>
    <w:rsid w:val="00987B42"/>
    <w:rsid w:val="009C0368"/>
    <w:rsid w:val="009C11E3"/>
    <w:rsid w:val="009C7D51"/>
    <w:rsid w:val="009D50E1"/>
    <w:rsid w:val="009E431B"/>
    <w:rsid w:val="009F559F"/>
    <w:rsid w:val="00A02184"/>
    <w:rsid w:val="00A047C8"/>
    <w:rsid w:val="00A109B3"/>
    <w:rsid w:val="00A23D38"/>
    <w:rsid w:val="00A4321E"/>
    <w:rsid w:val="00A51E42"/>
    <w:rsid w:val="00A729C7"/>
    <w:rsid w:val="00A776D9"/>
    <w:rsid w:val="00A9610A"/>
    <w:rsid w:val="00AC0A03"/>
    <w:rsid w:val="00AE7CBA"/>
    <w:rsid w:val="00B15B01"/>
    <w:rsid w:val="00B17566"/>
    <w:rsid w:val="00B26329"/>
    <w:rsid w:val="00B30DAD"/>
    <w:rsid w:val="00B339A8"/>
    <w:rsid w:val="00B34A52"/>
    <w:rsid w:val="00B3502E"/>
    <w:rsid w:val="00B46925"/>
    <w:rsid w:val="00B50FEA"/>
    <w:rsid w:val="00B65505"/>
    <w:rsid w:val="00B75768"/>
    <w:rsid w:val="00B77136"/>
    <w:rsid w:val="00B855A3"/>
    <w:rsid w:val="00B96A72"/>
    <w:rsid w:val="00BA6753"/>
    <w:rsid w:val="00BB1934"/>
    <w:rsid w:val="00BB6622"/>
    <w:rsid w:val="00BC78D3"/>
    <w:rsid w:val="00BD3B27"/>
    <w:rsid w:val="00BF24CC"/>
    <w:rsid w:val="00C05F23"/>
    <w:rsid w:val="00C11291"/>
    <w:rsid w:val="00C15809"/>
    <w:rsid w:val="00C2178C"/>
    <w:rsid w:val="00C230E3"/>
    <w:rsid w:val="00C26757"/>
    <w:rsid w:val="00C31F77"/>
    <w:rsid w:val="00C35D0C"/>
    <w:rsid w:val="00C53607"/>
    <w:rsid w:val="00C55451"/>
    <w:rsid w:val="00C8453E"/>
    <w:rsid w:val="00C85EBD"/>
    <w:rsid w:val="00C876FC"/>
    <w:rsid w:val="00C93687"/>
    <w:rsid w:val="00CA2FBB"/>
    <w:rsid w:val="00CA44BF"/>
    <w:rsid w:val="00CB1A7D"/>
    <w:rsid w:val="00CC6EF9"/>
    <w:rsid w:val="00CE0C66"/>
    <w:rsid w:val="00CE1B8F"/>
    <w:rsid w:val="00D023A0"/>
    <w:rsid w:val="00D2007E"/>
    <w:rsid w:val="00D24EC3"/>
    <w:rsid w:val="00D2522B"/>
    <w:rsid w:val="00D64317"/>
    <w:rsid w:val="00D67D7A"/>
    <w:rsid w:val="00D90801"/>
    <w:rsid w:val="00D94ABB"/>
    <w:rsid w:val="00DA4F80"/>
    <w:rsid w:val="00DB758A"/>
    <w:rsid w:val="00DE2B69"/>
    <w:rsid w:val="00DF32B8"/>
    <w:rsid w:val="00DF6601"/>
    <w:rsid w:val="00E0468B"/>
    <w:rsid w:val="00E17622"/>
    <w:rsid w:val="00E55FDB"/>
    <w:rsid w:val="00E60F36"/>
    <w:rsid w:val="00E635B2"/>
    <w:rsid w:val="00E6415F"/>
    <w:rsid w:val="00E7382E"/>
    <w:rsid w:val="00E75D65"/>
    <w:rsid w:val="00E811B1"/>
    <w:rsid w:val="00E85219"/>
    <w:rsid w:val="00E8680C"/>
    <w:rsid w:val="00EA230A"/>
    <w:rsid w:val="00EB6CBA"/>
    <w:rsid w:val="00EC6833"/>
    <w:rsid w:val="00EC6C96"/>
    <w:rsid w:val="00ED34E4"/>
    <w:rsid w:val="00ED3E54"/>
    <w:rsid w:val="00F0185F"/>
    <w:rsid w:val="00F05A3A"/>
    <w:rsid w:val="00F12B4C"/>
    <w:rsid w:val="00F160D3"/>
    <w:rsid w:val="00F17E1D"/>
    <w:rsid w:val="00F338E3"/>
    <w:rsid w:val="00F419E5"/>
    <w:rsid w:val="00F57DD3"/>
    <w:rsid w:val="00F869C8"/>
    <w:rsid w:val="00F872DE"/>
    <w:rsid w:val="00F92CEA"/>
    <w:rsid w:val="00FA1BF6"/>
    <w:rsid w:val="00FA74B0"/>
    <w:rsid w:val="00FB04AC"/>
    <w:rsid w:val="00FB07C2"/>
    <w:rsid w:val="00FB6752"/>
    <w:rsid w:val="00FC746A"/>
    <w:rsid w:val="00FC7691"/>
    <w:rsid w:val="00FD57AA"/>
    <w:rsid w:val="00FE175F"/>
    <w:rsid w:val="00FF4BFC"/>
    <w:rsid w:val="00FF6FBC"/>
    <w:rsid w:val="021752BB"/>
    <w:rsid w:val="082E4194"/>
    <w:rsid w:val="12D54EBF"/>
    <w:rsid w:val="1A9354DB"/>
    <w:rsid w:val="1E647776"/>
    <w:rsid w:val="2DBA1180"/>
    <w:rsid w:val="2F5437CE"/>
    <w:rsid w:val="34726BE4"/>
    <w:rsid w:val="34A70D97"/>
    <w:rsid w:val="36B63768"/>
    <w:rsid w:val="382555FB"/>
    <w:rsid w:val="3D1D5EDD"/>
    <w:rsid w:val="3ED42222"/>
    <w:rsid w:val="449A2D54"/>
    <w:rsid w:val="4764581A"/>
    <w:rsid w:val="49D203AB"/>
    <w:rsid w:val="51877A52"/>
    <w:rsid w:val="525C44F6"/>
    <w:rsid w:val="5F662F35"/>
    <w:rsid w:val="63DF455D"/>
    <w:rsid w:val="6419343E"/>
    <w:rsid w:val="6712625D"/>
    <w:rsid w:val="6D59543E"/>
    <w:rsid w:val="70E1793E"/>
    <w:rsid w:val="777C6DE2"/>
    <w:rsid w:val="784F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nhideWhenUsed="0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 w:val="0"/>
      <w:spacing w:before="200" w:after="120" w:line="276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pageBreakBefore w:val="0"/>
      <w:spacing w:before="200" w:after="120" w:line="276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30"/>
    <w:semiHidden/>
    <w:unhideWhenUsed/>
    <w:qFormat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25"/>
    <w:semiHidden/>
    <w:qFormat/>
    <w:uiPriority w:val="99"/>
    <w:pPr>
      <w:jc w:val="left"/>
    </w:pPr>
  </w:style>
  <w:style w:type="paragraph" w:styleId="6">
    <w:name w:val="Body Text Indent"/>
    <w:basedOn w:val="1"/>
    <w:link w:val="28"/>
    <w:qFormat/>
    <w:uiPriority w:val="99"/>
    <w:pPr>
      <w:widowControl/>
      <w:spacing w:after="120"/>
      <w:ind w:left="420" w:leftChars="200"/>
      <w:jc w:val="left"/>
    </w:pPr>
    <w:rPr>
      <w:kern w:val="0"/>
      <w:sz w:val="24"/>
      <w:szCs w:val="24"/>
    </w:rPr>
  </w:style>
  <w:style w:type="paragraph" w:styleId="7">
    <w:name w:val="Plain Text"/>
    <w:basedOn w:val="1"/>
    <w:link w:val="21"/>
    <w:qFormat/>
    <w:uiPriority w:val="99"/>
    <w:rPr>
      <w:rFonts w:ascii="宋体" w:hAnsi="Courier New" w:cs="宋体"/>
      <w:kern w:val="0"/>
    </w:rPr>
  </w:style>
  <w:style w:type="paragraph" w:styleId="8">
    <w:name w:val="Balloon Text"/>
    <w:basedOn w:val="1"/>
    <w:link w:val="27"/>
    <w:semiHidden/>
    <w:qFormat/>
    <w:uiPriority w:val="99"/>
    <w:rPr>
      <w:sz w:val="18"/>
      <w:szCs w:val="18"/>
    </w:rPr>
  </w:style>
  <w:style w:type="paragraph" w:styleId="9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0">
    <w:name w:val="header"/>
    <w:basedOn w:val="1"/>
    <w:link w:val="2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1">
    <w:name w:val="footnote text"/>
    <w:basedOn w:val="1"/>
    <w:link w:val="29"/>
    <w:semiHidden/>
    <w:qFormat/>
    <w:uiPriority w:val="99"/>
    <w:pPr>
      <w:snapToGrid w:val="0"/>
      <w:jc w:val="left"/>
    </w:pPr>
    <w:rPr>
      <w:sz w:val="18"/>
      <w:szCs w:val="20"/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annotation subject"/>
    <w:basedOn w:val="5"/>
    <w:next w:val="5"/>
    <w:link w:val="26"/>
    <w:semiHidden/>
    <w:qFormat/>
    <w:uiPriority w:val="99"/>
    <w:rPr>
      <w:b/>
      <w:bCs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page number"/>
    <w:basedOn w:val="15"/>
    <w:qFormat/>
    <w:uiPriority w:val="99"/>
  </w:style>
  <w:style w:type="character" w:styleId="18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styleId="19">
    <w:name w:val="annotation reference"/>
    <w:semiHidden/>
    <w:qFormat/>
    <w:uiPriority w:val="99"/>
    <w:rPr>
      <w:sz w:val="21"/>
      <w:szCs w:val="21"/>
    </w:rPr>
  </w:style>
  <w:style w:type="character" w:customStyle="1" w:styleId="20">
    <w:name w:val="页脚 Char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纯文本 Char"/>
    <w:link w:val="7"/>
    <w:qFormat/>
    <w:uiPriority w:val="99"/>
    <w:rPr>
      <w:rFonts w:ascii="宋体" w:hAnsi="Courier New" w:eastAsia="宋体" w:cs="宋体"/>
      <w:sz w:val="21"/>
      <w:szCs w:val="21"/>
    </w:rPr>
  </w:style>
  <w:style w:type="character" w:customStyle="1" w:styleId="22">
    <w:name w:val="Char"/>
    <w:semiHidden/>
    <w:qFormat/>
    <w:uiPriority w:val="99"/>
    <w:rPr>
      <w:sz w:val="18"/>
      <w:szCs w:val="18"/>
    </w:rPr>
  </w:style>
  <w:style w:type="character" w:customStyle="1" w:styleId="23">
    <w:name w:val="页眉 Char"/>
    <w:link w:val="10"/>
    <w:qFormat/>
    <w:uiPriority w:val="99"/>
    <w:rPr>
      <w:rFonts w:ascii="Times New Roman" w:hAnsi="Times New Roman" w:cs="Times New Roman"/>
      <w:sz w:val="18"/>
      <w:szCs w:val="18"/>
    </w:rPr>
  </w:style>
  <w:style w:type="paragraph" w:customStyle="1" w:styleId="24">
    <w:name w:val="Default"/>
    <w:qFormat/>
    <w:uiPriority w:val="99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character" w:customStyle="1" w:styleId="25">
    <w:name w:val="批注文字 Char"/>
    <w:link w:val="5"/>
    <w:semiHidden/>
    <w:qFormat/>
    <w:uiPriority w:val="99"/>
    <w:rPr>
      <w:rFonts w:ascii="Times New Roman" w:hAnsi="Times New Roman"/>
      <w:szCs w:val="21"/>
    </w:rPr>
  </w:style>
  <w:style w:type="character" w:customStyle="1" w:styleId="26">
    <w:name w:val="批注主题 Char"/>
    <w:link w:val="13"/>
    <w:semiHidden/>
    <w:qFormat/>
    <w:uiPriority w:val="99"/>
    <w:rPr>
      <w:rFonts w:ascii="Times New Roman" w:hAnsi="Times New Roman"/>
      <w:b/>
      <w:bCs/>
      <w:szCs w:val="21"/>
    </w:rPr>
  </w:style>
  <w:style w:type="character" w:customStyle="1" w:styleId="27">
    <w:name w:val="批注框文本 Char"/>
    <w:link w:val="8"/>
    <w:semiHidden/>
    <w:qFormat/>
    <w:uiPriority w:val="99"/>
    <w:rPr>
      <w:rFonts w:ascii="Times New Roman" w:hAnsi="Times New Roman"/>
      <w:sz w:val="0"/>
      <w:szCs w:val="0"/>
    </w:rPr>
  </w:style>
  <w:style w:type="character" w:customStyle="1" w:styleId="28">
    <w:name w:val="正文文本缩进 Char"/>
    <w:basedOn w:val="15"/>
    <w:link w:val="6"/>
    <w:qFormat/>
    <w:uiPriority w:val="99"/>
    <w:rPr>
      <w:rFonts w:ascii="Times New Roman" w:hAnsi="Times New Roman"/>
      <w:sz w:val="24"/>
      <w:szCs w:val="24"/>
    </w:rPr>
  </w:style>
  <w:style w:type="character" w:customStyle="1" w:styleId="29">
    <w:name w:val="脚注文本 Char"/>
    <w:basedOn w:val="15"/>
    <w:link w:val="11"/>
    <w:semiHidden/>
    <w:qFormat/>
    <w:uiPriority w:val="99"/>
    <w:rPr>
      <w:rFonts w:ascii="Times New Roman" w:hAnsi="Times New Roman"/>
      <w:kern w:val="2"/>
      <w:sz w:val="18"/>
    </w:rPr>
  </w:style>
  <w:style w:type="character" w:customStyle="1" w:styleId="30">
    <w:name w:val="文档结构图 Char"/>
    <w:basedOn w:val="15"/>
    <w:link w:val="4"/>
    <w:semiHidden/>
    <w:qFormat/>
    <w:uiPriority w:val="99"/>
    <w:rPr>
      <w:rFonts w:ascii="宋体" w:hAnsi="Times New Roman"/>
      <w:kern w:val="2"/>
      <w:sz w:val="18"/>
      <w:szCs w:val="18"/>
    </w:rPr>
  </w:style>
  <w:style w:type="paragraph" w:customStyle="1" w:styleId="31">
    <w:name w:val="Title"/>
    <w:basedOn w:val="1"/>
    <w:qFormat/>
    <w:uiPriority w:val="0"/>
    <w:pPr>
      <w:jc w:val="center"/>
    </w:pPr>
    <w:rPr>
      <w:rFonts w:ascii="Times New Roman" w:hAnsi="Times New Roman" w:eastAsia="黑体"/>
      <w:b/>
      <w:color w:val="000000"/>
      <w:sz w:val="36"/>
    </w:rPr>
  </w:style>
  <w:style w:type="paragraph" w:customStyle="1" w:styleId="32">
    <w:name w:val="ReportBody"/>
    <w:basedOn w:val="1"/>
    <w:uiPriority w:val="0"/>
    <w:pPr>
      <w:keepNext w:val="0"/>
      <w:keepLines w:val="0"/>
      <w:widowControl/>
      <w:spacing w:before="0" w:after="100" w:line="324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customStyle="1" w:styleId="33">
    <w:name w:val="heading 3"/>
    <w:basedOn w:val="1"/>
    <w:uiPriority w:val="0"/>
    <w:pPr>
      <w:keepNext/>
      <w:keepLines/>
      <w:pageBreakBefore w:val="0"/>
      <w:spacing w:before="200" w:after="120" w:line="276" w:lineRule="auto"/>
      <w:ind w:left="0" w:firstLine="0"/>
      <w:outlineLvl w:val="2"/>
    </w:pPr>
    <w:rPr>
      <w:rFonts w:ascii="Times New Roman" w:hAnsi="Times New Roman" w:eastAsia="黑体"/>
      <w:b/>
      <w:color w:val="000000"/>
      <w:sz w:val="24"/>
    </w:rPr>
  </w:style>
  <w:style w:type="paragraph" w:customStyle="1" w:styleId="34">
    <w:name w:val="caption"/>
    <w:uiPriority w:val="0"/>
    <w:pPr>
      <w:spacing w:line="276" w:lineRule="auto"/>
      <w:ind w:firstLine="0"/>
    </w:pPr>
    <w:rPr>
      <w:rFonts w:ascii="Times New Roman" w:hAnsi="Times New Roman" w:eastAsia="宋体" w:cs="Times New Roman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22</Pages>
  <Words>4895</Words>
  <Characters>5602</Characters>
  <Lines>17</Lines>
  <Paragraphs>4</Paragraphs>
  <TotalTime>10</TotalTime>
  <ScaleCrop>false</ScaleCrop>
  <LinksUpToDate>false</LinksUpToDate>
  <CharactersWithSpaces>6220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2018-09-06T04:20:00Z</dcterms:created>
  <dc:creator>Administrator</dc:creator>
  <cp:lastModifiedBy>鉦木辛圡</cp:lastModifiedBy>
  <dcterms:modified xsi:type="dcterms:W3CDTF">2026-10-13T11:20:50Z</dcterms:modified>
  <dc:title>CT肺部三切片病灶自动检测与可视化 设计报告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eyJoZGlkIjoiZDkzOTQ3ZTIzYjUwNWMyNjBiYzdjMTY0Nzc3NmNhZWUiLCJ1c2VySWQiOiIxMzUxNDYyMDYxIn0=</vt:lpwstr>
  </property>
  <property fmtid="{D5CDD505-2E9C-101B-9397-08002B2CF9AE}" pid="4" name="ICV">
    <vt:lpwstr>ABD9AEEC51E54AC9BD0AD3EAD1DD4564_13</vt:lpwstr>
  </property>
</Properties>
</file>