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Servio Backend, API, Database &amp; Infrastructure</w:t>
      </w:r>
    </w:p>
    <w:p>
      <w:pPr>
        <w:spacing w:after="280"/>
      </w:pPr>
      <w:r>
        <w:rPr>
          <w:rFonts w:ascii="Calibri" w:hAnsi="Calibri"/>
          <w:b w:val="0"/>
          <w:color w:val="555555"/>
          <w:sz w:val="24"/>
        </w:rPr>
        <w:t>Implementation summary and demonstration guide for tasks 16.1 to 16.10</w:t>
      </w:r>
    </w:p>
    <w:tbl>
      <w:tblPr>
        <w:tblStyle w:val="TableGrid"/>
        <w:tblW w:type="auto" w:w="0"/>
        <w:jc w:val="left"/>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pPr>
              <w:spacing w:after="0"/>
            </w:pPr>
            <w:r/>
            <w:r>
              <w:rPr>
                <w:rFonts w:ascii="Calibri" w:hAnsi="Calibri"/>
                <w:b/>
                <w:color w:val="1F4D78"/>
                <w:sz w:val="19"/>
              </w:rPr>
              <w:t>Module</w:t>
            </w:r>
          </w:p>
        </w:tc>
        <w:tc>
          <w:tcPr>
            <w:tcW w:type="dxa" w:w="7200"/>
            <w:vAlign w:val="center"/>
            <w:tcMar>
              <w:top w:w="80" w:type="dxa"/>
              <w:start w:w="120" w:type="dxa"/>
              <w:bottom w:w="80" w:type="dxa"/>
              <w:end w:w="120" w:type="dxa"/>
            </w:tcMar>
          </w:tcPr>
          <w:p>
            <w:pPr>
              <w:spacing w:after="0"/>
            </w:pPr>
            <w:r/>
            <w:r>
              <w:rPr>
                <w:rFonts w:ascii="Calibri" w:hAnsi="Calibri"/>
                <w:b w:val="0"/>
                <w:color w:val="000000"/>
                <w:sz w:val="19"/>
              </w:rPr>
              <w:t>Backend - API, Database &amp; Infrastructure</w:t>
            </w:r>
          </w:p>
        </w:tc>
      </w:tr>
      <w:tr>
        <w:tc>
          <w:tcPr>
            <w:tcW w:type="dxa" w:w="2160"/>
            <w:shd w:fill="E8EEF5"/>
            <w:vAlign w:val="center"/>
            <w:tcMar>
              <w:top w:w="80" w:type="dxa"/>
              <w:start w:w="120" w:type="dxa"/>
              <w:bottom w:w="80" w:type="dxa"/>
              <w:end w:w="120" w:type="dxa"/>
            </w:tcMar>
          </w:tcPr>
          <w:p>
            <w:pPr>
              <w:spacing w:after="0"/>
            </w:pPr>
            <w:r/>
            <w:r>
              <w:rPr>
                <w:rFonts w:ascii="Calibri" w:hAnsi="Calibri"/>
                <w:b/>
                <w:color w:val="1F4D78"/>
                <w:sz w:val="19"/>
              </w:rPr>
              <w:t>Platform</w:t>
            </w:r>
          </w:p>
        </w:tc>
        <w:tc>
          <w:tcPr>
            <w:tcW w:type="dxa" w:w="7200"/>
            <w:vAlign w:val="center"/>
            <w:tcMar>
              <w:top w:w="80" w:type="dxa"/>
              <w:start w:w="120" w:type="dxa"/>
              <w:bottom w:w="80" w:type="dxa"/>
              <w:end w:w="120" w:type="dxa"/>
            </w:tcMar>
          </w:tcPr>
          <w:p>
            <w:pPr>
              <w:spacing w:after="0"/>
            </w:pPr>
            <w:r/>
            <w:r>
              <w:rPr>
                <w:rFonts w:ascii="Calibri" w:hAnsi="Calibri"/>
                <w:b w:val="0"/>
                <w:color w:val="000000"/>
                <w:sz w:val="19"/>
              </w:rPr>
              <w:t>Next.js 16, Prisma, PostgreSQL, Socket.IO</w:t>
            </w:r>
          </w:p>
        </w:tc>
      </w:tr>
      <w:tr>
        <w:tc>
          <w:tcPr>
            <w:tcW w:type="dxa" w:w="2160"/>
            <w:shd w:fill="E8EEF5"/>
            <w:vAlign w:val="center"/>
            <w:tcMar>
              <w:top w:w="80" w:type="dxa"/>
              <w:start w:w="120" w:type="dxa"/>
              <w:bottom w:w="80" w:type="dxa"/>
              <w:end w:w="120" w:type="dxa"/>
            </w:tcMar>
          </w:tcPr>
          <w:p>
            <w:pPr>
              <w:spacing w:after="0"/>
            </w:pPr>
            <w:r/>
            <w:r>
              <w:rPr>
                <w:rFonts w:ascii="Calibri" w:hAnsi="Calibri"/>
                <w:b/>
                <w:color w:val="1F4D78"/>
                <w:sz w:val="19"/>
              </w:rPr>
              <w:t>Purpose</w:t>
            </w:r>
          </w:p>
        </w:tc>
        <w:tc>
          <w:tcPr>
            <w:tcW w:type="dxa" w:w="7200"/>
            <w:vAlign w:val="center"/>
            <w:tcMar>
              <w:top w:w="80" w:type="dxa"/>
              <w:start w:w="120" w:type="dxa"/>
              <w:bottom w:w="80" w:type="dxa"/>
              <w:end w:w="120" w:type="dxa"/>
            </w:tcMar>
          </w:tcPr>
          <w:p>
            <w:pPr>
              <w:spacing w:after="0"/>
            </w:pPr>
            <w:r/>
            <w:r>
              <w:rPr>
                <w:rFonts w:ascii="Calibri" w:hAnsi="Calibri"/>
                <w:b w:val="0"/>
                <w:color w:val="000000"/>
                <w:sz w:val="19"/>
              </w:rPr>
              <w:t>Explain the completed backend foundation and how to demonstrate each feature.</w:t>
            </w:r>
          </w:p>
        </w:tc>
      </w:tr>
    </w:tbl>
    <w:p>
      <w:pPr>
        <w:spacing w:before="320" w:after="120"/>
      </w:pPr>
      <w:r>
        <w:rPr>
          <w:rFonts w:ascii="Calibri" w:hAnsi="Calibri"/>
          <w:b/>
          <w:color w:val="2E74B5"/>
          <w:sz w:val="32"/>
        </w:rPr>
        <w:t>Executive summary</w:t>
      </w:r>
    </w:p>
    <w:p>
      <w:pPr>
        <w:spacing w:after="120" w:line="264" w:lineRule="auto"/>
      </w:pPr>
      <w:r>
        <w:rPr>
          <w:rFonts w:ascii="Calibri" w:hAnsi="Calibri"/>
          <w:b w:val="0"/>
          <w:color w:val="000000"/>
          <w:sz w:val="22"/>
        </w:rPr>
        <w:t>Servio is implemented as a role-based marketplace backend. Clients can post jobs, professionals can submit proposals and manage work, and administrators can monitor activity. Data is stored in PostgreSQL through Prisma, APIs are protected by signed sessions and role checks, and real-time notifications are delivered through authenticated Socket.IO rooms.</w:t>
      </w:r>
    </w:p>
    <w:p>
      <w:pPr>
        <w:spacing w:after="120" w:line="264" w:lineRule="auto"/>
      </w:pPr>
      <w:r>
        <w:rPr>
          <w:rFonts w:ascii="Calibri" w:hAnsi="Calibri"/>
          <w:b/>
          <w:color w:val="000000"/>
          <w:sz w:val="22"/>
        </w:rPr>
        <w:t xml:space="preserve">Current status: </w:t>
      </w:r>
      <w:r>
        <w:rPr>
          <w:rFonts w:ascii="Calibri" w:hAnsi="Calibri"/>
          <w:b w:val="0"/>
          <w:color w:val="000000"/>
          <w:sz w:val="22"/>
        </w:rPr>
        <w:t>The application has completed the internal backend implementation for the listed tasks. Production cloud storage, email delivery, maps, and payment providers require the project owner's provider accounts and environment credentials before live deployment.</w:t>
      </w:r>
    </w:p>
    <w:p>
      <w:pPr>
        <w:spacing w:before="320" w:after="120"/>
      </w:pPr>
      <w:r>
        <w:rPr>
          <w:rFonts w:ascii="Calibri" w:hAnsi="Calibri"/>
          <w:b/>
          <w:color w:val="2E74B5"/>
          <w:sz w:val="32"/>
        </w:rPr>
        <w:t>Task completion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fill="1F4D78"/>
            <w:vAlign w:val="center"/>
            <w:tcMar>
              <w:top w:w="80" w:type="dxa"/>
              <w:start w:w="120" w:type="dxa"/>
              <w:bottom w:w="80" w:type="dxa"/>
              <w:end w:w="120" w:type="dxa"/>
            </w:tcMar>
          </w:tcPr>
          <w:p>
            <w:pPr>
              <w:spacing w:after="0"/>
            </w:pPr>
            <w:r/>
            <w:r>
              <w:rPr>
                <w:rFonts w:ascii="Calibri" w:hAnsi="Calibri"/>
                <w:b/>
                <w:color w:val="FFFFFF"/>
                <w:sz w:val="18"/>
              </w:rPr>
              <w:t>#</w:t>
            </w:r>
          </w:p>
        </w:tc>
        <w:tc>
          <w:tcPr>
            <w:tcW w:type="dxa" w:w="1944"/>
            <w:shd w:fill="1F4D78"/>
            <w:vAlign w:val="center"/>
            <w:tcMar>
              <w:top w:w="80" w:type="dxa"/>
              <w:start w:w="120" w:type="dxa"/>
              <w:bottom w:w="80" w:type="dxa"/>
              <w:end w:w="120" w:type="dxa"/>
            </w:tcMar>
          </w:tcPr>
          <w:p>
            <w:pPr>
              <w:spacing w:after="0"/>
            </w:pPr>
            <w:r/>
            <w:r>
              <w:rPr>
                <w:rFonts w:ascii="Calibri" w:hAnsi="Calibri"/>
                <w:b/>
                <w:color w:val="FFFFFF"/>
                <w:sz w:val="18"/>
              </w:rPr>
              <w:t>Feature / Task</w:t>
            </w:r>
          </w:p>
        </w:tc>
        <w:tc>
          <w:tcPr>
            <w:tcW w:type="dxa" w:w="4320"/>
            <w:shd w:fill="1F4D78"/>
            <w:vAlign w:val="center"/>
            <w:tcMar>
              <w:top w:w="80" w:type="dxa"/>
              <w:start w:w="120" w:type="dxa"/>
              <w:bottom w:w="80" w:type="dxa"/>
              <w:end w:w="120" w:type="dxa"/>
            </w:tcMar>
          </w:tcPr>
          <w:p>
            <w:pPr>
              <w:spacing w:after="0"/>
            </w:pPr>
            <w:r/>
            <w:r>
              <w:rPr>
                <w:rFonts w:ascii="Calibri" w:hAnsi="Calibri"/>
                <w:b/>
                <w:color w:val="FFFFFF"/>
                <w:sz w:val="18"/>
              </w:rPr>
              <w:t>Implemented backend work</w:t>
            </w:r>
          </w:p>
        </w:tc>
        <w:tc>
          <w:tcPr>
            <w:tcW w:type="dxa" w:w="2448"/>
            <w:shd w:fill="1F4D78"/>
            <w:vAlign w:val="center"/>
            <w:tcMar>
              <w:top w:w="80" w:type="dxa"/>
              <w:start w:w="120" w:type="dxa"/>
              <w:bottom w:w="80" w:type="dxa"/>
              <w:end w:w="120" w:type="dxa"/>
            </w:tcMar>
          </w:tcPr>
          <w:p>
            <w:pPr>
              <w:spacing w:after="0"/>
            </w:pPr>
            <w:r/>
            <w:r>
              <w:rPr>
                <w:rFonts w:ascii="Calibri" w:hAnsi="Calibri"/>
                <w:b/>
                <w:color w:val="FFFFFF"/>
                <w:sz w:val="18"/>
              </w:rPr>
              <w:t>How to demonstrate</w:t>
            </w:r>
          </w:p>
        </w:tc>
      </w:tr>
      <w:tr>
        <w:tc>
          <w:tcPr>
            <w:tcW w:type="dxa" w:w="648"/>
            <w:vAlign w:val="center"/>
            <w:tcMar>
              <w:top w:w="80" w:type="dxa"/>
              <w:start w:w="120" w:type="dxa"/>
              <w:bottom w:w="80" w:type="dxa"/>
              <w:end w:w="120" w:type="dxa"/>
            </w:tcMar>
          </w:tcPr>
          <w:p>
            <w:pPr>
              <w:spacing w:after="0"/>
            </w:pPr>
            <w:r/>
            <w:r>
              <w:rPr>
                <w:rFonts w:ascii="Calibri" w:hAnsi="Calibri"/>
                <w:b w:val="0"/>
                <w:color w:val="000000"/>
                <w:sz w:val="18"/>
              </w:rPr>
              <w:t>16.1</w:t>
            </w:r>
          </w:p>
        </w:tc>
        <w:tc>
          <w:tcPr>
            <w:tcW w:type="dxa" w:w="1944"/>
            <w:vAlign w:val="center"/>
            <w:tcMar>
              <w:top w:w="80" w:type="dxa"/>
              <w:start w:w="120" w:type="dxa"/>
              <w:bottom w:w="80" w:type="dxa"/>
              <w:end w:w="120" w:type="dxa"/>
            </w:tcMar>
          </w:tcPr>
          <w:p>
            <w:pPr>
              <w:spacing w:after="0"/>
            </w:pPr>
            <w:r/>
            <w:r>
              <w:rPr>
                <w:rFonts w:ascii="Calibri" w:hAnsi="Calibri"/>
                <w:b w:val="0"/>
                <w:color w:val="000000"/>
                <w:sz w:val="18"/>
              </w:rPr>
              <w:t>Project architecture &amp; setup</w:t>
            </w:r>
          </w:p>
        </w:tc>
        <w:tc>
          <w:tcPr>
            <w:tcW w:type="dxa" w:w="4320"/>
            <w:vAlign w:val="center"/>
            <w:tcMar>
              <w:top w:w="80" w:type="dxa"/>
              <w:start w:w="120" w:type="dxa"/>
              <w:bottom w:w="80" w:type="dxa"/>
              <w:end w:w="120" w:type="dxa"/>
            </w:tcMar>
          </w:tcPr>
          <w:p>
            <w:pPr>
              <w:spacing w:after="0"/>
            </w:pPr>
            <w:r/>
            <w:r>
              <w:rPr>
                <w:rFonts w:ascii="Calibri" w:hAnsi="Calibri"/>
                <w:b w:val="0"/>
                <w:color w:val="000000"/>
                <w:sz w:val="18"/>
              </w:rPr>
              <w:t>Next.js App Router, reusable UI shells, API route structure, shared server libraries, environment configuration, lint/typecheck scripts.</w:t>
            </w:r>
          </w:p>
        </w:tc>
        <w:tc>
          <w:tcPr>
            <w:tcW w:type="dxa" w:w="2448"/>
            <w:vAlign w:val="center"/>
            <w:tcMar>
              <w:top w:w="80" w:type="dxa"/>
              <w:start w:w="120" w:type="dxa"/>
              <w:bottom w:w="80" w:type="dxa"/>
              <w:end w:w="120" w:type="dxa"/>
            </w:tcMar>
          </w:tcPr>
          <w:p>
            <w:pPr>
              <w:spacing w:after="0"/>
            </w:pPr>
            <w:r/>
            <w:r>
              <w:rPr>
                <w:rFonts w:ascii="Calibri" w:hAnsi="Calibri"/>
                <w:b w:val="0"/>
                <w:color w:val="000000"/>
                <w:sz w:val="18"/>
              </w:rPr>
              <w:t>Run npm run dev; open client, professional and admin routes.</w:t>
            </w:r>
          </w:p>
        </w:tc>
      </w:tr>
      <w:tr>
        <w:tc>
          <w:tcPr>
            <w:tcW w:type="dxa" w:w="648"/>
            <w:shd w:fill="F2F4F7"/>
            <w:vAlign w:val="center"/>
            <w:tcMar>
              <w:top w:w="80" w:type="dxa"/>
              <w:start w:w="120" w:type="dxa"/>
              <w:bottom w:w="80" w:type="dxa"/>
              <w:end w:w="120" w:type="dxa"/>
            </w:tcMar>
          </w:tcPr>
          <w:p>
            <w:pPr>
              <w:spacing w:after="0"/>
            </w:pPr>
            <w:r/>
            <w:r>
              <w:rPr>
                <w:rFonts w:ascii="Calibri" w:hAnsi="Calibri"/>
                <w:b w:val="0"/>
                <w:color w:val="000000"/>
                <w:sz w:val="18"/>
              </w:rPr>
              <w:t>16.2</w:t>
            </w:r>
          </w:p>
        </w:tc>
        <w:tc>
          <w:tcPr>
            <w:tcW w:type="dxa" w:w="1944"/>
            <w:shd w:fill="F2F4F7"/>
            <w:vAlign w:val="center"/>
            <w:tcMar>
              <w:top w:w="80" w:type="dxa"/>
              <w:start w:w="120" w:type="dxa"/>
              <w:bottom w:w="80" w:type="dxa"/>
              <w:end w:w="120" w:type="dxa"/>
            </w:tcMar>
          </w:tcPr>
          <w:p>
            <w:pPr>
              <w:spacing w:after="0"/>
            </w:pPr>
            <w:r/>
            <w:r>
              <w:rPr>
                <w:rFonts w:ascii="Calibri" w:hAnsi="Calibri"/>
                <w:b w:val="0"/>
                <w:color w:val="000000"/>
                <w:sz w:val="18"/>
              </w:rPr>
              <w:t>Authentication &amp; authorization</w:t>
            </w:r>
          </w:p>
        </w:tc>
        <w:tc>
          <w:tcPr>
            <w:tcW w:type="dxa" w:w="4320"/>
            <w:shd w:fill="F2F4F7"/>
            <w:vAlign w:val="center"/>
            <w:tcMar>
              <w:top w:w="80" w:type="dxa"/>
              <w:start w:w="120" w:type="dxa"/>
              <w:bottom w:w="80" w:type="dxa"/>
              <w:end w:w="120" w:type="dxa"/>
            </w:tcMar>
          </w:tcPr>
          <w:p>
            <w:pPr>
              <w:spacing w:after="0"/>
            </w:pPr>
            <w:r/>
            <w:r>
              <w:rPr>
                <w:rFonts w:ascii="Calibri" w:hAnsi="Calibri"/>
                <w:b w:val="0"/>
                <w:color w:val="000000"/>
                <w:sz w:val="18"/>
              </w:rPr>
              <w:t>Email/password registration, Google OAuth, phone proof flow, password reset, signed HTTP-only session cookie, role checks for Client, Professional and Admin.</w:t>
            </w:r>
          </w:p>
        </w:tc>
        <w:tc>
          <w:tcPr>
            <w:tcW w:type="dxa" w:w="2448"/>
            <w:shd w:fill="F2F4F7"/>
            <w:vAlign w:val="center"/>
            <w:tcMar>
              <w:top w:w="80" w:type="dxa"/>
              <w:start w:w="120" w:type="dxa"/>
              <w:bottom w:w="80" w:type="dxa"/>
              <w:end w:w="120" w:type="dxa"/>
            </w:tcMar>
          </w:tcPr>
          <w:p>
            <w:pPr>
              <w:spacing w:after="0"/>
            </w:pPr>
            <w:r/>
            <w:r>
              <w:rPr>
                <w:rFonts w:ascii="Calibri" w:hAnsi="Calibri"/>
                <w:b w:val="0"/>
                <w:color w:val="000000"/>
                <w:sz w:val="18"/>
              </w:rPr>
              <w:t>Register/login with each role; try accessing an API for another role to see 403 protection.</w:t>
            </w:r>
          </w:p>
        </w:tc>
      </w:tr>
      <w:tr>
        <w:tc>
          <w:tcPr>
            <w:tcW w:type="dxa" w:w="648"/>
            <w:vAlign w:val="center"/>
            <w:tcMar>
              <w:top w:w="80" w:type="dxa"/>
              <w:start w:w="120" w:type="dxa"/>
              <w:bottom w:w="80" w:type="dxa"/>
              <w:end w:w="120" w:type="dxa"/>
            </w:tcMar>
          </w:tcPr>
          <w:p>
            <w:pPr>
              <w:spacing w:after="0"/>
            </w:pPr>
            <w:r/>
            <w:r>
              <w:rPr>
                <w:rFonts w:ascii="Calibri" w:hAnsi="Calibri"/>
                <w:b w:val="0"/>
                <w:color w:val="000000"/>
                <w:sz w:val="18"/>
              </w:rPr>
              <w:t>16.3</w:t>
            </w:r>
          </w:p>
        </w:tc>
        <w:tc>
          <w:tcPr>
            <w:tcW w:type="dxa" w:w="1944"/>
            <w:vAlign w:val="center"/>
            <w:tcMar>
              <w:top w:w="80" w:type="dxa"/>
              <w:start w:w="120" w:type="dxa"/>
              <w:bottom w:w="80" w:type="dxa"/>
              <w:end w:w="120" w:type="dxa"/>
            </w:tcMar>
          </w:tcPr>
          <w:p>
            <w:pPr>
              <w:spacing w:after="0"/>
            </w:pPr>
            <w:r/>
            <w:r>
              <w:rPr>
                <w:rFonts w:ascii="Calibri" w:hAnsi="Calibri"/>
                <w:b w:val="0"/>
                <w:color w:val="000000"/>
                <w:sz w:val="18"/>
              </w:rPr>
              <w:t>Database schema design &amp; setup</w:t>
            </w:r>
          </w:p>
        </w:tc>
        <w:tc>
          <w:tcPr>
            <w:tcW w:type="dxa" w:w="4320"/>
            <w:vAlign w:val="center"/>
            <w:tcMar>
              <w:top w:w="80" w:type="dxa"/>
              <w:start w:w="120" w:type="dxa"/>
              <w:bottom w:w="80" w:type="dxa"/>
              <w:end w:w="120" w:type="dxa"/>
            </w:tcMar>
          </w:tcPr>
          <w:p>
            <w:pPr>
              <w:spacing w:after="0"/>
            </w:pPr>
            <w:r/>
            <w:r>
              <w:rPr>
                <w:rFonts w:ascii="Calibri" w:hAnsi="Calibri"/>
                <w:b w:val="0"/>
                <w:color w:val="000000"/>
                <w:sz w:val="18"/>
              </w:rPr>
              <w:t>Prisma schema and PostgreSQL models for users, jobs, proposals, projects, files, verification, payments, wallets, CMS and notifications.</w:t>
            </w:r>
          </w:p>
        </w:tc>
        <w:tc>
          <w:tcPr>
            <w:tcW w:type="dxa" w:w="2448"/>
            <w:vAlign w:val="center"/>
            <w:tcMar>
              <w:top w:w="80" w:type="dxa"/>
              <w:start w:w="120" w:type="dxa"/>
              <w:bottom w:w="80" w:type="dxa"/>
              <w:end w:w="120" w:type="dxa"/>
            </w:tcMar>
          </w:tcPr>
          <w:p>
            <w:pPr>
              <w:spacing w:after="0"/>
            </w:pPr>
            <w:r/>
            <w:r>
              <w:rPr>
                <w:rFonts w:ascii="Calibri" w:hAnsi="Calibri"/>
                <w:b w:val="0"/>
                <w:color w:val="000000"/>
                <w:sz w:val="18"/>
              </w:rPr>
              <w:t>Review prisma/schema.prisma and run Prisma migrations/seed for a fresh database.</w:t>
            </w:r>
          </w:p>
        </w:tc>
      </w:tr>
      <w:tr>
        <w:tc>
          <w:tcPr>
            <w:tcW w:type="dxa" w:w="648"/>
            <w:shd w:fill="F2F4F7"/>
            <w:vAlign w:val="center"/>
            <w:tcMar>
              <w:top w:w="80" w:type="dxa"/>
              <w:start w:w="120" w:type="dxa"/>
              <w:bottom w:w="80" w:type="dxa"/>
              <w:end w:w="120" w:type="dxa"/>
            </w:tcMar>
          </w:tcPr>
          <w:p>
            <w:pPr>
              <w:spacing w:after="0"/>
            </w:pPr>
            <w:r/>
            <w:r>
              <w:rPr>
                <w:rFonts w:ascii="Calibri" w:hAnsi="Calibri"/>
                <w:b w:val="0"/>
                <w:color w:val="000000"/>
                <w:sz w:val="18"/>
              </w:rPr>
              <w:t>16.4</w:t>
            </w:r>
          </w:p>
        </w:tc>
        <w:tc>
          <w:tcPr>
            <w:tcW w:type="dxa" w:w="1944"/>
            <w:shd w:fill="F2F4F7"/>
            <w:vAlign w:val="center"/>
            <w:tcMar>
              <w:top w:w="80" w:type="dxa"/>
              <w:start w:w="120" w:type="dxa"/>
              <w:bottom w:w="80" w:type="dxa"/>
              <w:end w:w="120" w:type="dxa"/>
            </w:tcMar>
          </w:tcPr>
          <w:p>
            <w:pPr>
              <w:spacing w:after="0"/>
            </w:pPr>
            <w:r/>
            <w:r>
              <w:rPr>
                <w:rFonts w:ascii="Calibri" w:hAnsi="Calibri"/>
                <w:b w:val="0"/>
                <w:color w:val="000000"/>
                <w:sz w:val="18"/>
              </w:rPr>
              <w:t>REST APIs - Client module</w:t>
            </w:r>
          </w:p>
        </w:tc>
        <w:tc>
          <w:tcPr>
            <w:tcW w:type="dxa" w:w="4320"/>
            <w:shd w:fill="F2F4F7"/>
            <w:vAlign w:val="center"/>
            <w:tcMar>
              <w:top w:w="80" w:type="dxa"/>
              <w:start w:w="120" w:type="dxa"/>
              <w:bottom w:w="80" w:type="dxa"/>
              <w:end w:w="120" w:type="dxa"/>
            </w:tcMar>
          </w:tcPr>
          <w:p>
            <w:pPr>
              <w:spacing w:after="0"/>
            </w:pPr>
            <w:r/>
            <w:r>
              <w:rPr>
                <w:rFonts w:ascii="Calibri" w:hAnsi="Calibri"/>
                <w:b w:val="0"/>
                <w:color w:val="000000"/>
                <w:sz w:val="18"/>
              </w:rPr>
              <w:t>Client account, jobs, proposals, verification, project actions, files, wallet and dashboard endpoints with input validation.</w:t>
            </w:r>
          </w:p>
        </w:tc>
        <w:tc>
          <w:tcPr>
            <w:tcW w:type="dxa" w:w="2448"/>
            <w:shd w:fill="F2F4F7"/>
            <w:vAlign w:val="center"/>
            <w:tcMar>
              <w:top w:w="80" w:type="dxa"/>
              <w:start w:w="120" w:type="dxa"/>
              <w:bottom w:w="80" w:type="dxa"/>
              <w:end w:w="120" w:type="dxa"/>
            </w:tcMar>
          </w:tcPr>
          <w:p>
            <w:pPr>
              <w:spacing w:after="0"/>
            </w:pPr>
            <w:r/>
            <w:r>
              <w:rPr>
                <w:rFonts w:ascii="Calibri" w:hAnsi="Calibri"/>
                <w:b w:val="0"/>
                <w:color w:val="000000"/>
                <w:sz w:val="18"/>
              </w:rPr>
              <w:t>Client: post a job, manage projects, approve work, and review payments.</w:t>
            </w:r>
          </w:p>
        </w:tc>
      </w:tr>
      <w:tr>
        <w:tc>
          <w:tcPr>
            <w:tcW w:type="dxa" w:w="648"/>
            <w:vAlign w:val="center"/>
            <w:tcMar>
              <w:top w:w="80" w:type="dxa"/>
              <w:start w:w="120" w:type="dxa"/>
              <w:bottom w:w="80" w:type="dxa"/>
              <w:end w:w="120" w:type="dxa"/>
            </w:tcMar>
          </w:tcPr>
          <w:p>
            <w:pPr>
              <w:spacing w:after="0"/>
            </w:pPr>
            <w:r/>
            <w:r>
              <w:rPr>
                <w:rFonts w:ascii="Calibri" w:hAnsi="Calibri"/>
                <w:b w:val="0"/>
                <w:color w:val="000000"/>
                <w:sz w:val="18"/>
              </w:rPr>
              <w:t>16.5</w:t>
            </w:r>
          </w:p>
        </w:tc>
        <w:tc>
          <w:tcPr>
            <w:tcW w:type="dxa" w:w="1944"/>
            <w:vAlign w:val="center"/>
            <w:tcMar>
              <w:top w:w="80" w:type="dxa"/>
              <w:start w:w="120" w:type="dxa"/>
              <w:bottom w:w="80" w:type="dxa"/>
              <w:end w:w="120" w:type="dxa"/>
            </w:tcMar>
          </w:tcPr>
          <w:p>
            <w:pPr>
              <w:spacing w:after="0"/>
            </w:pPr>
            <w:r/>
            <w:r>
              <w:rPr>
                <w:rFonts w:ascii="Calibri" w:hAnsi="Calibri"/>
                <w:b w:val="0"/>
                <w:color w:val="000000"/>
                <w:sz w:val="18"/>
              </w:rPr>
              <w:t>REST APIs - Professional module</w:t>
            </w:r>
          </w:p>
        </w:tc>
        <w:tc>
          <w:tcPr>
            <w:tcW w:type="dxa" w:w="4320"/>
            <w:vAlign w:val="center"/>
            <w:tcMar>
              <w:top w:w="80" w:type="dxa"/>
              <w:start w:w="120" w:type="dxa"/>
              <w:bottom w:w="80" w:type="dxa"/>
              <w:end w:w="120" w:type="dxa"/>
            </w:tcMar>
          </w:tcPr>
          <w:p>
            <w:pPr>
              <w:spacing w:after="0"/>
            </w:pPr>
            <w:r/>
            <w:r>
              <w:rPr>
                <w:rFonts w:ascii="Calibri" w:hAnsi="Calibri"/>
                <w:b w:val="0"/>
                <w:color w:val="000000"/>
                <w:sz w:val="18"/>
              </w:rPr>
              <w:t>Professional profile, verification upload, favorite jobs, proposals, project requests, running projects and earnings endpoints.</w:t>
            </w:r>
          </w:p>
        </w:tc>
        <w:tc>
          <w:tcPr>
            <w:tcW w:type="dxa" w:w="2448"/>
            <w:vAlign w:val="center"/>
            <w:tcMar>
              <w:top w:w="80" w:type="dxa"/>
              <w:start w:w="120" w:type="dxa"/>
              <w:bottom w:w="80" w:type="dxa"/>
              <w:end w:w="120" w:type="dxa"/>
            </w:tcMar>
          </w:tcPr>
          <w:p>
            <w:pPr>
              <w:spacing w:after="0"/>
            </w:pPr>
            <w:r/>
            <w:r>
              <w:rPr>
                <w:rFonts w:ascii="Calibri" w:hAnsi="Calibri"/>
                <w:b w:val="0"/>
                <w:color w:val="000000"/>
                <w:sz w:val="18"/>
              </w:rPr>
              <w:t>Professional: browse jobs, submit a proposal, upload work proof and request withdrawal.</w:t>
            </w:r>
          </w:p>
        </w:tc>
      </w:tr>
      <w:tr>
        <w:tc>
          <w:tcPr>
            <w:tcW w:type="dxa" w:w="648"/>
            <w:shd w:fill="F2F4F7"/>
            <w:vAlign w:val="center"/>
            <w:tcMar>
              <w:top w:w="80" w:type="dxa"/>
              <w:start w:w="120" w:type="dxa"/>
              <w:bottom w:w="80" w:type="dxa"/>
              <w:end w:w="120" w:type="dxa"/>
            </w:tcMar>
          </w:tcPr>
          <w:p>
            <w:pPr>
              <w:spacing w:after="0"/>
            </w:pPr>
            <w:r/>
            <w:r>
              <w:rPr>
                <w:rFonts w:ascii="Calibri" w:hAnsi="Calibri"/>
                <w:b w:val="0"/>
                <w:color w:val="000000"/>
                <w:sz w:val="18"/>
              </w:rPr>
              <w:t>16.6</w:t>
            </w:r>
          </w:p>
        </w:tc>
        <w:tc>
          <w:tcPr>
            <w:tcW w:type="dxa" w:w="1944"/>
            <w:shd w:fill="F2F4F7"/>
            <w:vAlign w:val="center"/>
            <w:tcMar>
              <w:top w:w="80" w:type="dxa"/>
              <w:start w:w="120" w:type="dxa"/>
              <w:bottom w:w="80" w:type="dxa"/>
              <w:end w:w="120" w:type="dxa"/>
            </w:tcMar>
          </w:tcPr>
          <w:p>
            <w:pPr>
              <w:spacing w:after="0"/>
            </w:pPr>
            <w:r/>
            <w:r>
              <w:rPr>
                <w:rFonts w:ascii="Calibri" w:hAnsi="Calibri"/>
                <w:b w:val="0"/>
                <w:color w:val="000000"/>
                <w:sz w:val="18"/>
              </w:rPr>
              <w:t>REST APIs - Maps &amp; location</w:t>
            </w:r>
          </w:p>
        </w:tc>
        <w:tc>
          <w:tcPr>
            <w:tcW w:type="dxa" w:w="4320"/>
            <w:shd w:fill="F2F4F7"/>
            <w:vAlign w:val="center"/>
            <w:tcMar>
              <w:top w:w="80" w:type="dxa"/>
              <w:start w:w="120" w:type="dxa"/>
              <w:bottom w:w="80" w:type="dxa"/>
              <w:end w:w="120" w:type="dxa"/>
            </w:tcMar>
          </w:tcPr>
          <w:p>
            <w:pPr>
              <w:spacing w:after="0"/>
            </w:pPr>
            <w:r/>
            <w:r>
              <w:rPr>
                <w:rFonts w:ascii="Calibri" w:hAnsi="Calibri"/>
                <w:b w:val="0"/>
                <w:color w:val="000000"/>
                <w:sz w:val="18"/>
              </w:rPr>
              <w:t>Address picker with geocoding endpoint, rate limiting and OpenStreetMap/Leaflet map display for profiles and jobs.</w:t>
            </w:r>
          </w:p>
        </w:tc>
        <w:tc>
          <w:tcPr>
            <w:tcW w:type="dxa" w:w="2448"/>
            <w:shd w:fill="F2F4F7"/>
            <w:vAlign w:val="center"/>
            <w:tcMar>
              <w:top w:w="80" w:type="dxa"/>
              <w:start w:w="120" w:type="dxa"/>
              <w:bottom w:w="80" w:type="dxa"/>
              <w:end w:w="120" w:type="dxa"/>
            </w:tcMar>
          </w:tcPr>
          <w:p>
            <w:pPr>
              <w:spacing w:after="0"/>
            </w:pPr>
            <w:r/>
            <w:r>
              <w:rPr>
                <w:rFonts w:ascii="Calibri" w:hAnsi="Calibri"/>
                <w:b w:val="0"/>
                <w:color w:val="000000"/>
                <w:sz w:val="18"/>
              </w:rPr>
              <w:t>Use the location picker and search an address while posting a job or editing a profile.</w:t>
            </w:r>
          </w:p>
        </w:tc>
      </w:tr>
      <w:tr>
        <w:tc>
          <w:tcPr>
            <w:tcW w:type="dxa" w:w="648"/>
            <w:vAlign w:val="center"/>
            <w:tcMar>
              <w:top w:w="80" w:type="dxa"/>
              <w:start w:w="120" w:type="dxa"/>
              <w:bottom w:w="80" w:type="dxa"/>
              <w:end w:w="120" w:type="dxa"/>
            </w:tcMar>
          </w:tcPr>
          <w:p>
            <w:pPr>
              <w:spacing w:after="0"/>
            </w:pPr>
            <w:r/>
            <w:r>
              <w:rPr>
                <w:rFonts w:ascii="Calibri" w:hAnsi="Calibri"/>
                <w:b w:val="0"/>
                <w:color w:val="000000"/>
                <w:sz w:val="18"/>
              </w:rPr>
              <w:t>16.7</w:t>
            </w:r>
          </w:p>
        </w:tc>
        <w:tc>
          <w:tcPr>
            <w:tcW w:type="dxa" w:w="1944"/>
            <w:vAlign w:val="center"/>
            <w:tcMar>
              <w:top w:w="80" w:type="dxa"/>
              <w:start w:w="120" w:type="dxa"/>
              <w:bottom w:w="80" w:type="dxa"/>
              <w:end w:w="120" w:type="dxa"/>
            </w:tcMar>
          </w:tcPr>
          <w:p>
            <w:pPr>
              <w:spacing w:after="0"/>
            </w:pPr>
            <w:r/>
            <w:r>
              <w:rPr>
                <w:rFonts w:ascii="Calibri" w:hAnsi="Calibri"/>
                <w:b w:val="0"/>
                <w:color w:val="000000"/>
                <w:sz w:val="18"/>
              </w:rPr>
              <w:t>File storage (cloud/CDN ready)</w:t>
            </w:r>
          </w:p>
        </w:tc>
        <w:tc>
          <w:tcPr>
            <w:tcW w:type="dxa" w:w="4320"/>
            <w:vAlign w:val="center"/>
            <w:tcMar>
              <w:top w:w="80" w:type="dxa"/>
              <w:start w:w="120" w:type="dxa"/>
              <w:bottom w:w="80" w:type="dxa"/>
              <w:end w:w="120" w:type="dxa"/>
            </w:tcMar>
          </w:tcPr>
          <w:p>
            <w:pPr>
              <w:spacing w:after="0"/>
            </w:pPr>
            <w:r/>
            <w:r>
              <w:rPr>
                <w:rFonts w:ascii="Calibri" w:hAnsi="Calibri"/>
                <w:b w:val="0"/>
                <w:color w:val="000000"/>
                <w:sz w:val="18"/>
              </w:rPr>
              <w:t>Secure project file validation, private storage keys, download authorization and stored-file database records. Current local adapter is ready to be replaced by S3/R2.</w:t>
            </w:r>
          </w:p>
        </w:tc>
        <w:tc>
          <w:tcPr>
            <w:tcW w:type="dxa" w:w="2448"/>
            <w:vAlign w:val="center"/>
            <w:tcMar>
              <w:top w:w="80" w:type="dxa"/>
              <w:start w:w="120" w:type="dxa"/>
              <w:bottom w:w="80" w:type="dxa"/>
              <w:end w:w="120" w:type="dxa"/>
            </w:tcMar>
          </w:tcPr>
          <w:p>
            <w:pPr>
              <w:spacing w:after="0"/>
            </w:pPr>
            <w:r/>
            <w:r>
              <w:rPr>
                <w:rFonts w:ascii="Calibri" w:hAnsi="Calibri"/>
                <w:b w:val="0"/>
                <w:color w:val="000000"/>
                <w:sz w:val="18"/>
              </w:rPr>
              <w:t>Upload an allowed project file during active work; confirm unauthorized users cannot download it.</w:t>
            </w:r>
          </w:p>
        </w:tc>
      </w:tr>
      <w:tr>
        <w:tc>
          <w:tcPr>
            <w:tcW w:type="dxa" w:w="648"/>
            <w:shd w:fill="F2F4F7"/>
            <w:vAlign w:val="center"/>
            <w:tcMar>
              <w:top w:w="80" w:type="dxa"/>
              <w:start w:w="120" w:type="dxa"/>
              <w:bottom w:w="80" w:type="dxa"/>
              <w:end w:w="120" w:type="dxa"/>
            </w:tcMar>
          </w:tcPr>
          <w:p>
            <w:pPr>
              <w:spacing w:after="0"/>
            </w:pPr>
            <w:r/>
            <w:r>
              <w:rPr>
                <w:rFonts w:ascii="Calibri" w:hAnsi="Calibri"/>
                <w:b w:val="0"/>
                <w:color w:val="000000"/>
                <w:sz w:val="18"/>
              </w:rPr>
              <w:t>16.8</w:t>
            </w:r>
          </w:p>
        </w:tc>
        <w:tc>
          <w:tcPr>
            <w:tcW w:type="dxa" w:w="1944"/>
            <w:shd w:fill="F2F4F7"/>
            <w:vAlign w:val="center"/>
            <w:tcMar>
              <w:top w:w="80" w:type="dxa"/>
              <w:start w:w="120" w:type="dxa"/>
              <w:bottom w:w="80" w:type="dxa"/>
              <w:end w:w="120" w:type="dxa"/>
            </w:tcMar>
          </w:tcPr>
          <w:p>
            <w:pPr>
              <w:spacing w:after="0"/>
            </w:pPr>
            <w:r/>
            <w:r>
              <w:rPr>
                <w:rFonts w:ascii="Calibri" w:hAnsi="Calibri"/>
                <w:b w:val="0"/>
                <w:color w:val="000000"/>
                <w:sz w:val="18"/>
              </w:rPr>
              <w:t>Email &amp; browser notification service</w:t>
            </w:r>
          </w:p>
        </w:tc>
        <w:tc>
          <w:tcPr>
            <w:tcW w:type="dxa" w:w="4320"/>
            <w:shd w:fill="F2F4F7"/>
            <w:vAlign w:val="center"/>
            <w:tcMar>
              <w:top w:w="80" w:type="dxa"/>
              <w:start w:w="120" w:type="dxa"/>
              <w:bottom w:w="80" w:type="dxa"/>
              <w:end w:w="120" w:type="dxa"/>
            </w:tcMar>
          </w:tcPr>
          <w:p>
            <w:pPr>
              <w:spacing w:after="0"/>
            </w:pPr>
            <w:r/>
            <w:r>
              <w:rPr>
                <w:rFonts w:ascii="Calibri" w:hAnsi="Calibri"/>
                <w:b w:val="0"/>
                <w:color w:val="000000"/>
                <w:sz w:val="18"/>
              </w:rPr>
              <w:t>SMTP email functions for verification/reset, database notification records, browser toast UI and authenticated Socket.IO realtime delivery.</w:t>
            </w:r>
          </w:p>
        </w:tc>
        <w:tc>
          <w:tcPr>
            <w:tcW w:type="dxa" w:w="2448"/>
            <w:shd w:fill="F2F4F7"/>
            <w:vAlign w:val="center"/>
            <w:tcMar>
              <w:top w:w="80" w:type="dxa"/>
              <w:start w:w="120" w:type="dxa"/>
              <w:bottom w:w="80" w:type="dxa"/>
              <w:end w:w="120" w:type="dxa"/>
            </w:tcMar>
          </w:tcPr>
          <w:p>
            <w:pPr>
              <w:spacing w:after="0"/>
            </w:pPr>
            <w:r/>
            <w:r>
              <w:rPr>
                <w:rFonts w:ascii="Calibri" w:hAnsi="Calibri"/>
                <w:b w:val="0"/>
                <w:color w:val="000000"/>
                <w:sz w:val="18"/>
              </w:rPr>
              <w:t>Create a job/proposal in a second session; the recipient sees a bottom-right toast without refreshing.</w:t>
            </w:r>
          </w:p>
        </w:tc>
      </w:tr>
      <w:tr>
        <w:tc>
          <w:tcPr>
            <w:tcW w:type="dxa" w:w="648"/>
            <w:vAlign w:val="center"/>
            <w:tcMar>
              <w:top w:w="80" w:type="dxa"/>
              <w:start w:w="120" w:type="dxa"/>
              <w:bottom w:w="80" w:type="dxa"/>
              <w:end w:w="120" w:type="dxa"/>
            </w:tcMar>
          </w:tcPr>
          <w:p>
            <w:pPr>
              <w:spacing w:after="0"/>
            </w:pPr>
            <w:r/>
            <w:r>
              <w:rPr>
                <w:rFonts w:ascii="Calibri" w:hAnsi="Calibri"/>
                <w:b w:val="0"/>
                <w:color w:val="000000"/>
                <w:sz w:val="18"/>
              </w:rPr>
              <w:t>16.9</w:t>
            </w:r>
          </w:p>
        </w:tc>
        <w:tc>
          <w:tcPr>
            <w:tcW w:type="dxa" w:w="1944"/>
            <w:vAlign w:val="center"/>
            <w:tcMar>
              <w:top w:w="80" w:type="dxa"/>
              <w:start w:w="120" w:type="dxa"/>
              <w:bottom w:w="80" w:type="dxa"/>
              <w:end w:w="120" w:type="dxa"/>
            </w:tcMar>
          </w:tcPr>
          <w:p>
            <w:pPr>
              <w:spacing w:after="0"/>
            </w:pPr>
            <w:r/>
            <w:r>
              <w:rPr>
                <w:rFonts w:ascii="Calibri" w:hAnsi="Calibri"/>
                <w:b w:val="0"/>
                <w:color w:val="000000"/>
                <w:sz w:val="18"/>
              </w:rPr>
              <w:t>Payment, wallet &amp; payout logic</w:t>
            </w:r>
          </w:p>
        </w:tc>
        <w:tc>
          <w:tcPr>
            <w:tcW w:type="dxa" w:w="4320"/>
            <w:vAlign w:val="center"/>
            <w:tcMar>
              <w:top w:w="80" w:type="dxa"/>
              <w:start w:w="120" w:type="dxa"/>
              <w:bottom w:w="80" w:type="dxa"/>
              <w:end w:w="120" w:type="dxa"/>
            </w:tcMar>
          </w:tcPr>
          <w:p>
            <w:pPr>
              <w:spacing w:after="0"/>
            </w:pPr>
            <w:r/>
            <w:r>
              <w:rPr>
                <w:rFonts w:ascii="Calibri" w:hAnsi="Calibri"/>
                <w:b w:val="0"/>
                <w:color w:val="000000"/>
                <w:sz w:val="18"/>
              </w:rPr>
              <w:t>Milestone transaction records, wallet balance calculation, commission fields and validated professional withdrawal requests.</w:t>
            </w:r>
          </w:p>
        </w:tc>
        <w:tc>
          <w:tcPr>
            <w:tcW w:type="dxa" w:w="2448"/>
            <w:vAlign w:val="center"/>
            <w:tcMar>
              <w:top w:w="80" w:type="dxa"/>
              <w:start w:w="120" w:type="dxa"/>
              <w:bottom w:w="80" w:type="dxa"/>
              <w:end w:w="120" w:type="dxa"/>
            </w:tcMar>
          </w:tcPr>
          <w:p>
            <w:pPr>
              <w:spacing w:after="0"/>
            </w:pPr>
            <w:r/>
            <w:r>
              <w:rPr>
                <w:rFonts w:ascii="Calibri" w:hAnsi="Calibri"/>
                <w:b w:val="0"/>
                <w:color w:val="000000"/>
                <w:sz w:val="18"/>
              </w:rPr>
              <w:t>Approve a milestone then open Earnings/Wallet; create a withdrawal request within available balance.</w:t>
            </w:r>
          </w:p>
        </w:tc>
      </w:tr>
      <w:tr>
        <w:tc>
          <w:tcPr>
            <w:tcW w:type="dxa" w:w="648"/>
            <w:shd w:fill="F2F4F7"/>
            <w:vAlign w:val="center"/>
            <w:tcMar>
              <w:top w:w="80" w:type="dxa"/>
              <w:start w:w="120" w:type="dxa"/>
              <w:bottom w:w="80" w:type="dxa"/>
              <w:end w:w="120" w:type="dxa"/>
            </w:tcMar>
          </w:tcPr>
          <w:p>
            <w:pPr>
              <w:spacing w:after="0"/>
            </w:pPr>
            <w:r/>
            <w:r>
              <w:rPr>
                <w:rFonts w:ascii="Calibri" w:hAnsi="Calibri"/>
                <w:b w:val="0"/>
                <w:color w:val="000000"/>
                <w:sz w:val="18"/>
              </w:rPr>
              <w:t>16.10</w:t>
            </w:r>
          </w:p>
        </w:tc>
        <w:tc>
          <w:tcPr>
            <w:tcW w:type="dxa" w:w="1944"/>
            <w:shd w:fill="F2F4F7"/>
            <w:vAlign w:val="center"/>
            <w:tcMar>
              <w:top w:w="80" w:type="dxa"/>
              <w:start w:w="120" w:type="dxa"/>
              <w:bottom w:w="80" w:type="dxa"/>
              <w:end w:w="120" w:type="dxa"/>
            </w:tcMar>
          </w:tcPr>
          <w:p>
            <w:pPr>
              <w:spacing w:after="0"/>
            </w:pPr>
            <w:r/>
            <w:r>
              <w:rPr>
                <w:rFonts w:ascii="Calibri" w:hAnsi="Calibri"/>
                <w:b w:val="0"/>
                <w:color w:val="000000"/>
                <w:sz w:val="18"/>
              </w:rPr>
              <w:t>Admin APIs &amp; dashboard</w:t>
            </w:r>
          </w:p>
        </w:tc>
        <w:tc>
          <w:tcPr>
            <w:tcW w:type="dxa" w:w="4320"/>
            <w:shd w:fill="F2F4F7"/>
            <w:vAlign w:val="center"/>
            <w:tcMar>
              <w:top w:w="80" w:type="dxa"/>
              <w:start w:w="120" w:type="dxa"/>
              <w:bottom w:w="80" w:type="dxa"/>
              <w:end w:w="120" w:type="dxa"/>
            </w:tcMar>
          </w:tcPr>
          <w:p>
            <w:pPr>
              <w:spacing w:after="0"/>
            </w:pPr>
            <w:r/>
            <w:r>
              <w:rPr>
                <w:rFonts w:ascii="Calibri" w:hAnsi="Calibri"/>
                <w:b w:val="0"/>
                <w:color w:val="000000"/>
                <w:sz w:val="18"/>
              </w:rPr>
              <w:t>Protected admin APIs for users, verification, services, jobs/disputes, finance, support, CMS and notification activity; historical events are backfilled.</w:t>
            </w:r>
          </w:p>
        </w:tc>
        <w:tc>
          <w:tcPr>
            <w:tcW w:type="dxa" w:w="2448"/>
            <w:shd w:fill="F2F4F7"/>
            <w:vAlign w:val="center"/>
            <w:tcMar>
              <w:top w:w="80" w:type="dxa"/>
              <w:start w:w="120" w:type="dxa"/>
              <w:bottom w:w="80" w:type="dxa"/>
              <w:end w:w="120" w:type="dxa"/>
            </w:tcMar>
          </w:tcPr>
          <w:p>
            <w:pPr>
              <w:spacing w:after="0"/>
            </w:pPr>
            <w:r/>
            <w:r>
              <w:rPr>
                <w:rFonts w:ascii="Calibri" w:hAnsi="Calibri"/>
                <w:b w:val="0"/>
                <w:color w:val="000000"/>
                <w:sz w:val="18"/>
              </w:rPr>
              <w:t>Open /admin, then review Users, Jobs &amp; disputes, Finance, CMS and Notifications.</w:t>
            </w:r>
          </w:p>
        </w:tc>
      </w:tr>
    </w:tbl>
    <w:p>
      <w:pPr>
        <w:spacing w:after="40"/>
      </w:pPr>
    </w:p>
    <w:p>
      <w:pPr>
        <w:spacing w:before="320" w:after="120"/>
      </w:pPr>
      <w:r>
        <w:rPr>
          <w:rFonts w:ascii="Calibri" w:hAnsi="Calibri"/>
          <w:b/>
          <w:color w:val="2E74B5"/>
          <w:sz w:val="32"/>
        </w:rPr>
        <w:t>Realtime notification flow</w:t>
      </w:r>
    </w:p>
    <w:p>
      <w:pPr>
        <w:spacing w:after="120" w:line="264" w:lineRule="auto"/>
      </w:pPr>
      <w:r>
        <w:rPr>
          <w:rFonts w:ascii="Calibri" w:hAnsi="Calibri"/>
          <w:b w:val="0"/>
          <w:color w:val="000000"/>
          <w:sz w:val="22"/>
        </w:rPr>
        <w:t>The notification system stores every event in the UserNotification database table and also sends a live Socket.IO event to each active recipient. This gives both reliable history and instant display.</w:t>
      </w:r>
    </w:p>
    <w:p>
      <w:pPr>
        <w:pStyle w:val="ListBullet"/>
        <w:spacing w:after="80" w:line="276" w:lineRule="auto"/>
      </w:pPr>
      <w:r>
        <w:rPr>
          <w:rFonts w:ascii="Calibri" w:hAnsi="Calibri"/>
          <w:b w:val="0"/>
          <w:color w:val="000000"/>
          <w:sz w:val="22"/>
        </w:rPr>
        <w:t>Professional registration -&gt; all active clients receive a marketplace notification; administrators receive an admin activity notification.</w:t>
      </w:r>
    </w:p>
    <w:p>
      <w:pPr>
        <w:pStyle w:val="ListBullet"/>
        <w:spacing w:after="80" w:line="276" w:lineRule="auto"/>
      </w:pPr>
      <w:r>
        <w:rPr>
          <w:rFonts w:ascii="Calibri" w:hAnsi="Calibri"/>
          <w:b w:val="0"/>
          <w:color w:val="000000"/>
          <w:sz w:val="22"/>
        </w:rPr>
        <w:t>Client publishes an open job -&gt; all active professionals and administrators receive a notification.</w:t>
      </w:r>
    </w:p>
    <w:p>
      <w:pPr>
        <w:pStyle w:val="ListBullet"/>
        <w:spacing w:after="80" w:line="276" w:lineRule="auto"/>
      </w:pPr>
      <w:r>
        <w:rPr>
          <w:rFonts w:ascii="Calibri" w:hAnsi="Calibri"/>
          <w:b w:val="0"/>
          <w:color w:val="000000"/>
          <w:sz w:val="22"/>
        </w:rPr>
        <w:t>Professional submits a proposal -&gt; the job owner and administrators receive a notification.</w:t>
      </w:r>
    </w:p>
    <w:p>
      <w:pPr>
        <w:pStyle w:val="ListBullet"/>
        <w:spacing w:after="80" w:line="276" w:lineRule="auto"/>
      </w:pPr>
      <w:r>
        <w:rPr>
          <w:rFonts w:ascii="Calibri" w:hAnsi="Calibri"/>
          <w:b w:val="0"/>
          <w:color w:val="000000"/>
          <w:sz w:val="22"/>
        </w:rPr>
        <w:t>Browser receives the authenticated socket event -&gt; a bottom-right toast appears immediately, the notification bell refreshes, and the notification page refreshes automatically.</w:t>
      </w:r>
    </w:p>
    <w:p>
      <w:pPr>
        <w:spacing w:before="320" w:after="120"/>
      </w:pPr>
      <w:r>
        <w:rPr>
          <w:rFonts w:ascii="Calibri" w:hAnsi="Calibri"/>
          <w:b/>
          <w:color w:val="2E74B5"/>
          <w:sz w:val="32"/>
        </w:rPr>
        <w:t>How to demonstrate the backend</w:t>
      </w:r>
    </w:p>
    <w:p>
      <w:pPr>
        <w:pStyle w:val="ListBullet"/>
        <w:spacing w:after="80" w:line="276" w:lineRule="auto"/>
      </w:pPr>
      <w:r>
        <w:rPr>
          <w:rFonts w:ascii="Calibri" w:hAnsi="Calibri"/>
          <w:b w:val="0"/>
          <w:color w:val="000000"/>
          <w:sz w:val="22"/>
        </w:rPr>
        <w:t>Start the application with npm run dev. The custom Node server starts Next.js and Socket.IO together.</w:t>
      </w:r>
    </w:p>
    <w:p>
      <w:pPr>
        <w:pStyle w:val="ListBullet"/>
        <w:spacing w:after="80" w:line="276" w:lineRule="auto"/>
      </w:pPr>
      <w:r>
        <w:rPr>
          <w:rFonts w:ascii="Calibri" w:hAnsi="Calibri"/>
          <w:b w:val="0"/>
          <w:color w:val="000000"/>
          <w:sz w:val="22"/>
        </w:rPr>
        <w:t>Open two browser sessions or use two accounts: one client and one professional. Keep both dashboards open.</w:t>
      </w:r>
    </w:p>
    <w:p>
      <w:pPr>
        <w:pStyle w:val="ListBullet"/>
        <w:spacing w:after="80" w:line="276" w:lineRule="auto"/>
      </w:pPr>
      <w:r>
        <w:rPr>
          <w:rFonts w:ascii="Calibri" w:hAnsi="Calibri"/>
          <w:b w:val="0"/>
          <w:color w:val="000000"/>
          <w:sz w:val="22"/>
        </w:rPr>
        <w:t>Register a professional or publish a job. Confirm that the other role receives a bottom-right notification without page reload.</w:t>
      </w:r>
    </w:p>
    <w:p>
      <w:pPr>
        <w:pStyle w:val="ListBullet"/>
        <w:spacing w:after="80" w:line="276" w:lineRule="auto"/>
      </w:pPr>
      <w:r>
        <w:rPr>
          <w:rFonts w:ascii="Calibri" w:hAnsi="Calibri"/>
          <w:b w:val="0"/>
          <w:color w:val="000000"/>
          <w:sz w:val="22"/>
        </w:rPr>
        <w:t>Submit a proposal from the professional account. Confirm that the client and the admin Notifications page receive the event.</w:t>
      </w:r>
    </w:p>
    <w:p>
      <w:pPr>
        <w:pStyle w:val="ListBullet"/>
        <w:spacing w:after="80" w:line="276" w:lineRule="auto"/>
      </w:pPr>
      <w:r>
        <w:rPr>
          <w:rFonts w:ascii="Calibri" w:hAnsi="Calibri"/>
          <w:b w:val="0"/>
          <w:color w:val="000000"/>
          <w:sz w:val="22"/>
        </w:rPr>
        <w:t>Open /admin/notifications to show both live and older, backfilled activity records.</w:t>
      </w:r>
    </w:p>
    <w:p>
      <w:pPr>
        <w:pStyle w:val="ListBullet"/>
        <w:spacing w:after="80" w:line="276" w:lineRule="auto"/>
      </w:pPr>
      <w:r>
        <w:rPr>
          <w:rFonts w:ascii="Calibri" w:hAnsi="Calibri"/>
          <w:b w:val="0"/>
          <w:color w:val="000000"/>
          <w:sz w:val="22"/>
        </w:rPr>
        <w:t>Run npm run lint and npm run typecheck to demonstrate code-quality validation.</w:t>
      </w:r>
    </w:p>
    <w:p>
      <w:pPr>
        <w:spacing w:before="320" w:after="120"/>
      </w:pPr>
      <w:r>
        <w:rPr>
          <w:rFonts w:ascii="Calibri" w:hAnsi="Calibri"/>
          <w:b/>
          <w:color w:val="2E74B5"/>
          <w:sz w:val="32"/>
        </w:rPr>
        <w:t>Environment and deployment checklist</w:t>
      </w:r>
    </w:p>
    <w:p>
      <w:pPr>
        <w:spacing w:after="120" w:line="264" w:lineRule="auto"/>
      </w:pPr>
      <w:r>
        <w:rPr>
          <w:rFonts w:ascii="Calibri" w:hAnsi="Calibri"/>
          <w:b w:val="0"/>
          <w:color w:val="000000"/>
          <w:sz w:val="22"/>
        </w:rPr>
        <w:t>Required internal configuration: DATABASE_URL, DIRECT_URL, AUTH_SECRET, APP_URL and the administrator bootstrap credentials. SMTP values are required for real email verification and password reset delivery. Google OAuth and Maps values are required only when those integrations are enabled.</w:t>
      </w:r>
    </w:p>
    <w:p>
      <w:pPr>
        <w:spacing w:after="120" w:line="264" w:lineRule="auto"/>
      </w:pPr>
      <w:r>
        <w:rPr>
          <w:rFonts w:ascii="Calibri" w:hAnsi="Calibri"/>
          <w:b w:val="0"/>
          <w:color w:val="000000"/>
          <w:sz w:val="22"/>
        </w:rPr>
        <w:t>Provider decision still required for production: choose AWS S3 or Cloudflare R2 for cloud file storage/CDN, and choose Razorpay or Stripe for real payment collection and payout processing. Test credentials must be configured before live payment testing.</w:t>
      </w:r>
    </w:p>
    <w:p>
      <w:pPr>
        <w:spacing w:after="120" w:line="264" w:lineRule="auto"/>
      </w:pPr>
      <w:r>
        <w:rPr>
          <w:rFonts w:ascii="Calibri" w:hAnsi="Calibri"/>
          <w:b w:val="0"/>
          <w:color w:val="000000"/>
          <w:sz w:val="22"/>
        </w:rPr>
        <w:t>Realtime deployment note: Socket.IO works with the custom Node server used by npm run dev and a Node server host. Standard Vercel serverless does not maintain persistent Socket.IO connections; a managed realtime provider is required there.</w:t>
      </w:r>
    </w:p>
    <w:p>
      <w:pPr>
        <w:spacing w:before="320" w:after="120"/>
      </w:pPr>
      <w:r>
        <w:rPr>
          <w:rFonts w:ascii="Calibri" w:hAnsi="Calibri"/>
          <w:b/>
          <w:color w:val="2E74B5"/>
          <w:sz w:val="32"/>
        </w:rPr>
        <w:t>Validation evidence</w:t>
      </w:r>
    </w:p>
    <w:tbl>
      <w:tblPr>
        <w:tblStyle w:val="TableGrid"/>
        <w:tblW w:type="auto" w:w="0"/>
        <w:jc w:val="center"/>
        <w:tblLook w:firstColumn="1" w:firstRow="1" w:lastColumn="0" w:lastRow="0" w:noHBand="0" w:noVBand="1" w:val="04A0"/>
      </w:tblPr>
      <w:tblGrid>
        <w:gridCol w:w="4680"/>
        <w:gridCol w:w="4680"/>
      </w:tblGrid>
      <w:tr>
        <w:tc>
          <w:tcPr>
            <w:tcW w:type="dxa" w:w="2592"/>
            <w:shd w:fill="1F4D78"/>
            <w:vAlign w:val="center"/>
            <w:tcMar>
              <w:top w:w="80" w:type="dxa"/>
              <w:start w:w="120" w:type="dxa"/>
              <w:bottom w:w="80" w:type="dxa"/>
              <w:end w:w="120" w:type="dxa"/>
            </w:tcMar>
          </w:tcPr>
          <w:p>
            <w:pPr>
              <w:spacing w:after="0"/>
            </w:pPr>
            <w:r/>
            <w:r>
              <w:rPr>
                <w:rFonts w:ascii="Calibri" w:hAnsi="Calibri"/>
                <w:b/>
                <w:color w:val="FFFFFF"/>
                <w:sz w:val="18"/>
              </w:rPr>
              <w:t>Check</w:t>
            </w:r>
          </w:p>
        </w:tc>
        <w:tc>
          <w:tcPr>
            <w:tcW w:type="dxa" w:w="6768"/>
            <w:shd w:fill="1F4D78"/>
            <w:vAlign w:val="center"/>
            <w:tcMar>
              <w:top w:w="80" w:type="dxa"/>
              <w:start w:w="120" w:type="dxa"/>
              <w:bottom w:w="80" w:type="dxa"/>
              <w:end w:w="120" w:type="dxa"/>
            </w:tcMar>
          </w:tcPr>
          <w:p>
            <w:pPr>
              <w:spacing w:after="0"/>
            </w:pPr>
            <w:r/>
            <w:r>
              <w:rPr>
                <w:rFonts w:ascii="Calibri" w:hAnsi="Calibri"/>
                <w:b/>
                <w:color w:val="FFFFFF"/>
                <w:sz w:val="18"/>
              </w:rPr>
              <w:t>Command or result</w:t>
            </w:r>
          </w:p>
        </w:tc>
      </w:tr>
      <w:tr>
        <w:tc>
          <w:tcPr>
            <w:tcW w:type="dxa" w:w="2592"/>
            <w:vAlign w:val="center"/>
            <w:tcMar>
              <w:top w:w="80" w:type="dxa"/>
              <w:start w:w="120" w:type="dxa"/>
              <w:bottom w:w="80" w:type="dxa"/>
              <w:end w:w="120" w:type="dxa"/>
            </w:tcMar>
          </w:tcPr>
          <w:p>
            <w:pPr>
              <w:spacing w:after="0"/>
            </w:pPr>
            <w:r/>
            <w:r>
              <w:rPr>
                <w:rFonts w:ascii="Calibri" w:hAnsi="Calibri"/>
                <w:b w:val="0"/>
                <w:color w:val="000000"/>
                <w:sz w:val="18"/>
              </w:rPr>
              <w:t>Code formatting</w:t>
            </w:r>
          </w:p>
        </w:tc>
        <w:tc>
          <w:tcPr>
            <w:tcW w:type="dxa" w:w="6768"/>
            <w:vAlign w:val="center"/>
            <w:tcMar>
              <w:top w:w="80" w:type="dxa"/>
              <w:start w:w="120" w:type="dxa"/>
              <w:bottom w:w="80" w:type="dxa"/>
              <w:end w:w="120" w:type="dxa"/>
            </w:tcMar>
          </w:tcPr>
          <w:p>
            <w:pPr>
              <w:spacing w:after="0"/>
            </w:pPr>
            <w:r/>
            <w:r>
              <w:rPr>
                <w:rFonts w:ascii="Calibri" w:hAnsi="Calibri"/>
                <w:b w:val="0"/>
                <w:color w:val="000000"/>
                <w:sz w:val="18"/>
              </w:rPr>
              <w:t>Prettier applied to authored source files.</w:t>
            </w:r>
          </w:p>
        </w:tc>
      </w:tr>
      <w:tr>
        <w:tc>
          <w:tcPr>
            <w:tcW w:type="dxa" w:w="2592"/>
            <w:shd w:fill="F2F4F7"/>
            <w:vAlign w:val="center"/>
            <w:tcMar>
              <w:top w:w="80" w:type="dxa"/>
              <w:start w:w="120" w:type="dxa"/>
              <w:bottom w:w="80" w:type="dxa"/>
              <w:end w:w="120" w:type="dxa"/>
            </w:tcMar>
          </w:tcPr>
          <w:p>
            <w:pPr>
              <w:spacing w:after="0"/>
            </w:pPr>
            <w:r/>
            <w:r>
              <w:rPr>
                <w:rFonts w:ascii="Calibri" w:hAnsi="Calibri"/>
                <w:b w:val="0"/>
                <w:color w:val="000000"/>
                <w:sz w:val="18"/>
              </w:rPr>
              <w:t>Lint</w:t>
            </w:r>
          </w:p>
        </w:tc>
        <w:tc>
          <w:tcPr>
            <w:tcW w:type="dxa" w:w="6768"/>
            <w:shd w:fill="F2F4F7"/>
            <w:vAlign w:val="center"/>
            <w:tcMar>
              <w:top w:w="80" w:type="dxa"/>
              <w:start w:w="120" w:type="dxa"/>
              <w:bottom w:w="80" w:type="dxa"/>
              <w:end w:w="120" w:type="dxa"/>
            </w:tcMar>
          </w:tcPr>
          <w:p>
            <w:pPr>
              <w:spacing w:after="0"/>
            </w:pPr>
            <w:r/>
            <w:r>
              <w:rPr>
                <w:rFonts w:ascii="Calibri" w:hAnsi="Calibri"/>
                <w:b w:val="0"/>
                <w:color w:val="000000"/>
                <w:sz w:val="18"/>
              </w:rPr>
              <w:t>npm run lint passes.</w:t>
            </w:r>
          </w:p>
        </w:tc>
      </w:tr>
      <w:tr>
        <w:tc>
          <w:tcPr>
            <w:tcW w:type="dxa" w:w="2592"/>
            <w:vAlign w:val="center"/>
            <w:tcMar>
              <w:top w:w="80" w:type="dxa"/>
              <w:start w:w="120" w:type="dxa"/>
              <w:bottom w:w="80" w:type="dxa"/>
              <w:end w:w="120" w:type="dxa"/>
            </w:tcMar>
          </w:tcPr>
          <w:p>
            <w:pPr>
              <w:spacing w:after="0"/>
            </w:pPr>
            <w:r/>
            <w:r>
              <w:rPr>
                <w:rFonts w:ascii="Calibri" w:hAnsi="Calibri"/>
                <w:b w:val="0"/>
                <w:color w:val="000000"/>
                <w:sz w:val="18"/>
              </w:rPr>
              <w:t>Type safety</w:t>
            </w:r>
          </w:p>
        </w:tc>
        <w:tc>
          <w:tcPr>
            <w:tcW w:type="dxa" w:w="6768"/>
            <w:vAlign w:val="center"/>
            <w:tcMar>
              <w:top w:w="80" w:type="dxa"/>
              <w:start w:w="120" w:type="dxa"/>
              <w:bottom w:w="80" w:type="dxa"/>
              <w:end w:w="120" w:type="dxa"/>
            </w:tcMar>
          </w:tcPr>
          <w:p>
            <w:pPr>
              <w:spacing w:after="0"/>
            </w:pPr>
            <w:r/>
            <w:r>
              <w:rPr>
                <w:rFonts w:ascii="Calibri" w:hAnsi="Calibri"/>
                <w:b w:val="0"/>
                <w:color w:val="000000"/>
                <w:sz w:val="18"/>
              </w:rPr>
              <w:t>npm run typecheck passes.</w:t>
            </w:r>
          </w:p>
        </w:tc>
      </w:tr>
      <w:tr>
        <w:tc>
          <w:tcPr>
            <w:tcW w:type="dxa" w:w="2592"/>
            <w:shd w:fill="F2F4F7"/>
            <w:vAlign w:val="center"/>
            <w:tcMar>
              <w:top w:w="80" w:type="dxa"/>
              <w:start w:w="120" w:type="dxa"/>
              <w:bottom w:w="80" w:type="dxa"/>
              <w:end w:w="120" w:type="dxa"/>
            </w:tcMar>
          </w:tcPr>
          <w:p>
            <w:pPr>
              <w:spacing w:after="0"/>
            </w:pPr>
            <w:r/>
            <w:r>
              <w:rPr>
                <w:rFonts w:ascii="Calibri" w:hAnsi="Calibri"/>
                <w:b w:val="0"/>
                <w:color w:val="000000"/>
                <w:sz w:val="18"/>
              </w:rPr>
              <w:t>Marketplace workflow</w:t>
            </w:r>
          </w:p>
        </w:tc>
        <w:tc>
          <w:tcPr>
            <w:tcW w:type="dxa" w:w="6768"/>
            <w:shd w:fill="F2F4F7"/>
            <w:vAlign w:val="center"/>
            <w:tcMar>
              <w:top w:w="80" w:type="dxa"/>
              <w:start w:w="120" w:type="dxa"/>
              <w:bottom w:w="80" w:type="dxa"/>
              <w:end w:w="120" w:type="dxa"/>
            </w:tcMar>
          </w:tcPr>
          <w:p>
            <w:pPr>
              <w:spacing w:after="0"/>
            </w:pPr>
            <w:r/>
            <w:r>
              <w:rPr>
                <w:rFonts w:ascii="Calibri" w:hAnsi="Calibri"/>
                <w:b w:val="0"/>
                <w:color w:val="000000"/>
                <w:sz w:val="18"/>
              </w:rPr>
              <w:t>npm run test:project-flow validates proposal, acceptance/rejection and shared project flows.</w:t>
            </w:r>
          </w:p>
        </w:tc>
      </w:tr>
      <w:tr>
        <w:tc>
          <w:tcPr>
            <w:tcW w:type="dxa" w:w="2592"/>
            <w:vAlign w:val="center"/>
            <w:tcMar>
              <w:top w:w="80" w:type="dxa"/>
              <w:start w:w="120" w:type="dxa"/>
              <w:bottom w:w="80" w:type="dxa"/>
              <w:end w:w="120" w:type="dxa"/>
            </w:tcMar>
          </w:tcPr>
          <w:p>
            <w:pPr>
              <w:spacing w:after="0"/>
            </w:pPr>
            <w:r/>
            <w:r>
              <w:rPr>
                <w:rFonts w:ascii="Calibri" w:hAnsi="Calibri"/>
                <w:b w:val="0"/>
                <w:color w:val="000000"/>
                <w:sz w:val="18"/>
              </w:rPr>
              <w:t>Historical admin activity</w:t>
            </w:r>
          </w:p>
        </w:tc>
        <w:tc>
          <w:tcPr>
            <w:tcW w:type="dxa" w:w="6768"/>
            <w:vAlign w:val="center"/>
            <w:tcMar>
              <w:top w:w="80" w:type="dxa"/>
              <w:start w:w="120" w:type="dxa"/>
              <w:bottom w:w="80" w:type="dxa"/>
              <w:end w:w="120" w:type="dxa"/>
            </w:tcMar>
          </w:tcPr>
          <w:p>
            <w:pPr>
              <w:spacing w:after="0"/>
            </w:pPr>
            <w:r/>
            <w:r>
              <w:rPr>
                <w:rFonts w:ascii="Calibri" w:hAnsi="Calibri"/>
                <w:b w:val="0"/>
                <w:color w:val="000000"/>
                <w:sz w:val="18"/>
              </w:rPr>
              <w:t>Backfill script populated existing account, job and proposal history for active administrators.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6"/>
      </w:rPr>
      <w:t>Technical explanation document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8"/>
      </w:rPr>
      <w:t>SERVIO | Backend, API, Database &amp;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