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0" w:name="content"/>
    <w:bookmarkStart w:id="31" w:name="X079f5bafc2277111e4b37d454eca28d9024dee2"/>
    <w:p>
      <w:pPr>
        <w:pStyle w:val="Heading1"/>
      </w:pPr>
      <w:r>
        <w:t xml:space="preserve">Green Steel Premium Calculator – Key Parameters and Pricing Logic</w:t>
      </w:r>
    </w:p>
    <w:p>
      <w:pPr>
        <w:pStyle w:val="FirstParagraph"/>
      </w:pPr>
      <w:r>
        <w:rPr>
          <w:b/>
          <w:bCs/>
        </w:rPr>
        <w:t xml:space="preserve">Abatement cost per tCO₂:</w:t>
      </w:r>
      <w:r>
        <w:t xml:space="preserve"> </w:t>
      </w:r>
      <w:r>
        <w:t xml:space="preserve">Recent analyses suggest carbon abatement costs in steel production on the order of ~$50–$100 per tonne of CO₂. For example, an Indian study notes that if carbon capture costs ~$92/tCO₂, near-zero steel costs ~40–70% more, whereas at $50/tCO₂ the premium falls to 15–25%</w:t>
      </w:r>
      <w:hyperlink r:id="rId21">
        <w:r>
          <w:rPr>
            <w:rStyle w:val="Hyperlink"/>
          </w:rPr>
          <w:t xml:space="preserve">[1]</w:t>
        </w:r>
      </w:hyperlink>
      <w:r>
        <w:t xml:space="preserve">. International experience shows public incentives for green steel vary widely ($110–$1,168/tCO₂ abated</w:t>
      </w:r>
      <w:hyperlink r:id="rId22">
        <w:r>
          <w:rPr>
            <w:rStyle w:val="Hyperlink"/>
          </w:rPr>
          <w:t xml:space="preserve">[2]</w:t>
        </w:r>
      </w:hyperlink>
      <w:r>
        <w:t xml:space="preserve">), implying that a mid-range abatement cost assumption (~$100/tCO₂) is reasonable for initial modeling. The algorithm should allow updating this value as carbon prices and technologies evolve (e.g. India’s carbon scheme may target ~$60/tCO₂ by 2030</w:t>
      </w:r>
      <w:hyperlink r:id="rId23">
        <w:r>
          <w:rPr>
            <w:rStyle w:val="Hyperlink"/>
          </w:rPr>
          <w:t xml:space="preserve">[3]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CBAM avoidance value:</w:t>
      </w:r>
      <w:r>
        <w:t xml:space="preserve"> </w:t>
      </w:r>
      <w:r>
        <w:t xml:space="preserve">To account for avoided carbon border taxes on exports, we use an EU-like carbon price. Recent estimates show EU carbon costs effectively add roughly €200–€225 per tonne of Indian steel (about $220–$245/t)</w:t>
      </w:r>
      <w:hyperlink r:id="rId24">
        <w:r>
          <w:rPr>
            <w:rStyle w:val="Hyperlink"/>
          </w:rPr>
          <w:t xml:space="preserve">[4]</w:t>
        </w:r>
      </w:hyperlink>
      <w:r>
        <w:t xml:space="preserve">. Using the Indian steel emission intensity (~2.36 tCO₂/t steel</w:t>
      </w:r>
      <w:hyperlink r:id="rId25">
        <w:r>
          <w:rPr>
            <w:rStyle w:val="Hyperlink"/>
          </w:rPr>
          <w:t xml:space="preserve">[5]</w:t>
        </w:r>
      </w:hyperlink>
      <w:r>
        <w:t xml:space="preserve">) and a carbon price (~€80/tCO₂), one obtains ~$200+ per tonne. For the domestic focus, we treat “CBAM avoidance” as the dollar-equivalent carbon cost per tonne of conventional steel (≈$200/t), reflecting the premium customers might pay to avoid future carbon penalties. This value should be revisable with updated carbon prices; for now we use ~$200/t steel (≈$85–$100/tCO₂) based on EU prices</w:t>
      </w:r>
      <w:hyperlink r:id="rId24">
        <w:r>
          <w:rPr>
            <w:rStyle w:val="Hyperlink"/>
          </w:rPr>
          <w:t xml:space="preserve">[4]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Willingness-to-pay multipliers:</w:t>
      </w:r>
      <w:r>
        <w:t xml:space="preserve"> </w:t>
      </w:r>
      <w:r>
        <w:t xml:space="preserve">End users’ willingness to pay extra for green steel varies by segment. Reports find that committed buyers (e.g. large automakers) pay premiums and tie long-term offtakes at ~20–30% above market</w:t>
      </w:r>
      <w:hyperlink r:id="rId26">
        <w:r>
          <w:rPr>
            <w:rStyle w:val="Hyperlink"/>
          </w:rPr>
          <w:t xml:space="preserve">[6]</w:t>
        </w:r>
      </w:hyperlink>
      <w:r>
        <w:t xml:space="preserve">. For example, green-steel start-ups report targeting ~25% price premiums for early customers (value-based pricing)</w:t>
      </w:r>
      <w:hyperlink r:id="rId27">
        <w:r>
          <w:rPr>
            <w:rStyle w:val="Hyperlink"/>
          </w:rPr>
          <w:t xml:space="preserve">[7]</w:t>
        </w:r>
      </w:hyperlink>
      <w:r>
        <w:t xml:space="preserve">. In India, a $210/t premium (for hydrogen-based DRI steel) translates to +3.7% in construction cost, +5.2% in infrastructure and +4.1% in automotive costs</w:t>
      </w:r>
      <w:hyperlink r:id="rId28">
        <w:r>
          <w:rPr>
            <w:rStyle w:val="Hyperlink"/>
          </w:rPr>
          <w:t xml:space="preserve">[8]</w:t>
        </w:r>
      </w:hyperlink>
      <w:r>
        <w:t xml:space="preserve">, suggesting stronger WTP in automotive/infrastructure sectors. Hence we recommend sector multipliers roughly in the range 1.0 (baseline, e.g. price-sensitive construction) to 1.3 (high-end infrastructure/OEM purchasers). These can be calibrated: e.g. 1.1× for automotive and 1.3× for infrastructure relative to construction (based on the above impacts)</w:t>
      </w:r>
      <w:hyperlink r:id="rId28">
        <w:r>
          <w:rPr>
            <w:rStyle w:val="Hyperlink"/>
          </w:rPr>
          <w:t xml:space="preserve">[8]</w:t>
        </w:r>
      </w:hyperlink>
      <w:r>
        <w:t xml:space="preserve">. (These are illustrative; actual WTP data is limited, so the model should allow user-defined multipliers.) Importantly, surveys and analyses emphasize segmentation – “different sectors will command different green premiums”</w:t>
      </w:r>
      <w:hyperlink r:id="rId29">
        <w:r>
          <w:rPr>
            <w:rStyle w:val="Hyperlink"/>
          </w:rPr>
          <w:t xml:space="preserve">[9]</w:t>
        </w:r>
      </w:hyperlink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– so the algorithm should apply distinct multipliers or rates by customer type.</w:t>
      </w:r>
    </w:p>
    <w:p>
      <w:pPr>
        <w:pStyle w:val="BodyText"/>
      </w:pPr>
      <w:r>
        <w:rPr>
          <w:b/>
          <w:bCs/>
        </w:rPr>
        <w:t xml:space="preserve">Verification and other costs:</w:t>
      </w:r>
      <w:r>
        <w:t xml:space="preserve"> </w:t>
      </w:r>
      <w:r>
        <w:t xml:space="preserve">Any third-party verification or certification costs (to prove steel is “green”) should be amortized similarly. For example, if a verification process costs $X per plant per year, include this annual cost divided by production volume. Documentation and audit costs are typically a small fraction of steel value, but should be included for completeness. We recommend adding a fixed “verification cost” per tonne (e.g. $1–$5/t) amortized over the project life.</w:t>
      </w:r>
    </w:p>
    <w:bookmarkEnd w:id="31"/>
    <w:bookmarkStart w:id="32" w:name="amortized-premium-pricing-logic"/>
    <w:p>
      <w:pPr>
        <w:pStyle w:val="Heading1"/>
      </w:pPr>
      <w:r>
        <w:t xml:space="preserve">Amortized Premium Pricing Logic</w:t>
      </w:r>
    </w:p>
    <w:p>
      <w:pPr>
        <w:pStyle w:val="FirstParagraph"/>
      </w:pPr>
      <w:r>
        <w:t xml:space="preserve">The premium pricing model is updated to</w:t>
      </w:r>
      <w:r>
        <w:t xml:space="preserve"> </w:t>
      </w:r>
      <w:r>
        <w:rPr>
          <w:b/>
          <w:bCs/>
        </w:rPr>
        <w:t xml:space="preserve">spread abatement and verification costs over the project lifecycle</w:t>
      </w:r>
      <w:r>
        <w:t xml:space="preserve">. Key steps: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 lifetime input:</w:t>
      </w:r>
      <w:r>
        <w:t xml:space="preserve"> </w:t>
      </w:r>
      <w:r>
        <w:t xml:space="preserve">Allow the user to specify the project lifetime (years); default to 10 years if unspecified. This reflects a typical steel plant’s capital amortization period.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Annualized cost per tonne:</w:t>
      </w:r>
      <w:r>
        <w:t xml:space="preserve"> </w:t>
      </w:r>
      <w:r>
        <w:t xml:space="preserve">Compute the annual cost of decarbonization per tonne of steel as:</w:t>
      </w:r>
    </w:p>
    <w:p>
      <w:pPr>
        <w:pStyle w:val="FirstParagraph"/>
      </w:pPr>
      <w:r>
        <w:t xml:space="preserve"> </w:t>
      </w:r>
      <w:r>
        <w:t xml:space="preserve">\text{Annual Cost per tsteel}</w:t>
      </w:r>
      <w:r>
        <w:t xml:space="preserve"> </w:t>
      </w:r>
      <w:r>
        <w:t xml:space="preserve">= \frac{\text{abatement_cost_per_tCO2} \times \text{CO₂ intensity (tCO₂/tsteel)}}{\text{lifetime}}</w:t>
      </w:r>
      <w:r>
        <w:t xml:space="preserve"> </w:t>
      </w:r>
      <w:r>
        <w:t xml:space="preserve">+ \frac{\text{verification_cost_per_year}}{\text{annual steel production (t)}}</w:t>
      </w:r>
      <w:r>
        <w:t xml:space="preserve"> </w:t>
      </w:r>
    </w:p>
    <w:p>
      <w:pPr>
        <w:pStyle w:val="BodyText"/>
      </w:pPr>
      <w:r>
        <w:t xml:space="preserve">For simplicity, if abatement_cost is viewed as a one-time capital-equipment cost per tCO₂ captured per year, dividing by life spreads it out. Alternatively, if abatement_cost is interpreted as an ongoing carbon tax, the /lifetime factor effectively distributes it evenly. In either case, using a 10-year life divides upfront costs by 10.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Premium calculation: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green-premium per tonne</w:t>
      </w:r>
      <w:r>
        <w:t xml:space="preserve"> </w:t>
      </w:r>
      <w:r>
        <w:t xml:space="preserve">is then the sum of amortized costs (above) plus any markup multiplier reflecting WTP. Formally:</w:t>
      </w:r>
    </w:p>
    <w:p>
      <w:pPr>
        <w:pStyle w:val="Compact"/>
        <w:numPr>
          <w:ilvl w:val="0"/>
          <w:numId w:val="1000"/>
        </w:numPr>
      </w:pPr>
      <w:r>
        <w:t xml:space="preserve"> </w:t>
      </w:r>
      <w:r>
        <w:t xml:space="preserve">\text{Premium} = \Bigl(\frac{\text{abatement_cost_per_tCO2} \times \text{CO₂ intensity}}{\text{lifetime}} + \frac{\text{verification_cost_per_year}}{\text{annual output}}\Bigr)</w:t>
      </w:r>
      <w:r>
        <w:t xml:space="preserve"> </w:t>
      </w:r>
      <w:r>
        <w:t xml:space="preserve">\times \text{WTP multiplier}.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For example, with abatement_cost~$100/tCO₂, CO₂ intensity~2.36, life=10y: base cost ≈$23.6/t; a 1.1× multiplier yields ~$25.9/t premium. (These numbers are illustrative.)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Cost recovery vs. time:</w:t>
      </w:r>
      <w:r>
        <w:t xml:space="preserve"> </w:t>
      </w:r>
      <w:r>
        <w:t xml:space="preserve">This approach ensures that high upfront capex (e.g. for a hydrogen plant or CCUS system) is not front-loaded on year-1 steel price, but spread out. It also allows the user to enter a shorter or longer lifecycle (e.g. 20 years) if justified by technology lifetime.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Example (with default values):</w:t>
      </w:r>
      <w:r>
        <w:t xml:space="preserve"> </w:t>
      </w:r>
      <w:r>
        <w:t xml:space="preserve">Assume abatement_cost=$100/tCO₂, CO₂ intensity=2.36, lifetime=10y, verification=$50k per year, plant output=100k t/yr (so $0.50/t). Annual cost/t = $(100×2.36)/10 + 0.5 = $23.6 + $0.5 = $24.1/t. With, say, a 1.1× sector multiplier, the premium ~ $26.5/t.</w:t>
      </w:r>
    </w:p>
    <w:p>
      <w:pPr>
        <w:pStyle w:val="FirstParagraph"/>
      </w:pPr>
      <w:r>
        <w:t xml:space="preserve">This amortized logic is more realistic than a one-time addition, and aligns with financial models (e.g. levelized cost). All parameters (abatement cost, intensity, lifetime, verification) are inputs or defaults and can be refined with actual project data.</w:t>
      </w:r>
    </w:p>
    <w:bookmarkEnd w:id="32"/>
    <w:bookmarkStart w:id="39" w:name="comparison-of-approaches-and-algorithms"/>
    <w:p>
      <w:pPr>
        <w:pStyle w:val="Heading1"/>
      </w:pPr>
      <w:r>
        <w:t xml:space="preserve">Comparison of Approaches and Algorithms</w:t>
      </w:r>
    </w:p>
    <w:p>
      <w:pPr>
        <w:pStyle w:val="FirstParagraph"/>
      </w:pPr>
      <w:r>
        <w:t xml:space="preserve">Several research and industry models exist for green-steel pricing. Table 1 summarizes key differences in how each handles</w:t>
      </w:r>
      <w:r>
        <w:t xml:space="preserve"> </w:t>
      </w:r>
      <w:r>
        <w:rPr>
          <w:b/>
          <w:bCs/>
        </w:rPr>
        <w:t xml:space="preserve">carbon abatement costs</w:t>
      </w:r>
      <w:r>
        <w:t xml:space="preserve">,</w:t>
      </w:r>
      <w:r>
        <w:t xml:space="preserve"> </w:t>
      </w:r>
      <w:r>
        <w:rPr>
          <w:b/>
          <w:bCs/>
        </w:rPr>
        <w:t xml:space="preserve">customer segmentation</w:t>
      </w:r>
      <w:r>
        <w:t xml:space="preserve">, and</w:t>
      </w:r>
      <w:r>
        <w:t xml:space="preserve"> </w:t>
      </w:r>
      <w:r>
        <w:rPr>
          <w:b/>
          <w:bCs/>
        </w:rPr>
        <w:t xml:space="preserve">pricing logic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Approach / 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Carbon Abatement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Segmentation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CRU “Green Premium” framework (2024)</w:t>
            </w:r>
            <w:hyperlink r:id="rId33">
              <w:r>
                <w:rPr>
                  <w:rStyle w:val="Hyperlink"/>
                </w:rPr>
                <w:t xml:space="preserve">[11]</w:t>
              </w:r>
            </w:hyperlink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Models a</w:t>
            </w:r>
            <w:r>
              <w:t xml:space="preserve"> </w:t>
            </w:r>
            <w:r>
              <w:rPr>
                <w:b/>
                <w:bCs/>
              </w:rPr>
              <w:t xml:space="preserve">Steel Abatement Value (Steav)</w:t>
            </w:r>
            <w:r>
              <w:t xml:space="preserve"> </w:t>
            </w:r>
            <w:r>
              <w:t xml:space="preserve">– the inherent value of reducing emissions. Uses carbon cost as floor, but market</w:t>
            </w:r>
            <w:r>
              <w:t xml:space="preserve"> </w:t>
            </w:r>
            <w:r>
              <w:rPr>
                <w:i/>
                <w:iCs/>
              </w:rPr>
              <w:t xml:space="preserve">pull</w:t>
            </w:r>
            <w:r>
              <w:t xml:space="preserve"> </w:t>
            </w:r>
            <w:r>
              <w:t xml:space="preserve">(demand from decarbonization targets) sets upper bound</w:t>
            </w:r>
            <w:hyperlink r:id="rId34">
              <w:r>
                <w:rPr>
                  <w:rStyle w:val="Hyperlink"/>
                </w:rPr>
                <w:t xml:space="preserve">[12]</w:t>
              </w:r>
            </w:hyperlink>
            <w:r>
              <w:t xml:space="preserve">. Carbon costs (ETS, CBAM) define baseline.</w:t>
            </w:r>
          </w:p>
        </w:tc>
        <w:tc>
          <w:tcPr/>
          <w:p>
            <w:pPr>
              <w:pStyle w:val="Compact"/>
            </w:pPr>
            <w:r>
              <w:t xml:space="preserve">Emphasizes</w:t>
            </w:r>
            <w:r>
              <w:t xml:space="preserve"> </w:t>
            </w:r>
            <w:r>
              <w:rPr>
                <w:b/>
                <w:bCs/>
              </w:rPr>
              <w:t xml:space="preserve">segmented demand</w:t>
            </w:r>
            <w:r>
              <w:t xml:space="preserve">. Different end-markets (automotive vs construction vs distribution) have distinct premium willingness. Recognizes heterogeneity – e.g. OEMs pay more than commodity buyers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 = perceived value above all costs.</w:t>
            </w:r>
            <w:r>
              <w:t xml:space="preserve"> </w:t>
            </w:r>
            <w:r>
              <w:t xml:space="preserve">Not limited by cost of decarbonization alone</w:t>
            </w:r>
            <w:hyperlink r:id="rId35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 Additional premium on top of any carbon price. If supply &lt; demand (e.g. early green steel scarcity), premium exceeds costs; if oversupply, premium erodes</w:t>
            </w:r>
            <w:hyperlink r:id="rId36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 Conceptual model rather than a closed-form formula.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Agora Industry “Steel Transformation Cost Calculator” (2022)</w:t>
            </w:r>
            <w:hyperlink r:id="rId37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Cost-based model.</w:t>
            </w:r>
            <w:r>
              <w:t xml:space="preserve"> </w:t>
            </w:r>
            <w:r>
              <w:t xml:space="preserve">Computes incremental capital/O&amp;M for H₂-DRI or NG-DRI vs BF-BOF. Outputs CO₂ abatement cost ($/tCO₂) and per-ton steel cost. The model inputs hydrogen price, energy, etc.</w:t>
            </w:r>
          </w:p>
        </w:tc>
        <w:tc>
          <w:tcPr/>
          <w:p>
            <w:pPr>
              <w:pStyle w:val="Compact"/>
            </w:pPr>
            <w:r>
              <w:t xml:space="preserve">Not sector-specific. Focuses on plant-level economics, not customer segments. Assumes decarbonizing steel will serve general demand.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Incremental cost approach.</w:t>
            </w:r>
            <w:r>
              <w:t xml:space="preserve"> </w:t>
            </w:r>
            <w:r>
              <w:t xml:space="preserve">Calculates</w:t>
            </w:r>
            <w:r>
              <w:t xml:space="preserve"> </w:t>
            </w:r>
            <w:r>
              <w:rPr>
                <w:i/>
                <w:iCs/>
              </w:rPr>
              <w:t xml:space="preserve">levelized cost of steel</w:t>
            </w:r>
            <w:r>
              <w:t xml:space="preserve"> </w:t>
            </w:r>
            <w:r>
              <w:t xml:space="preserve">for each technology, giving a “premium” as the difference vs baseline steel. This can inform carbon contracts (CfDs). Essentially “cost-plus”: premium covers extra capex/O&amp;M of green tech</w:t>
            </w:r>
            <w:hyperlink r:id="rId37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 No explicit markup by customer.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India Green Steel Coalition / EY Demand Model (2025)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b/>
                <w:bCs/>
              </w:rPr>
              <w:t xml:space="preserve">static scenario analysis</w:t>
            </w:r>
            <w:r>
              <w:t xml:space="preserve">. Assumes a baseline green-steel cost premium (currently ~$210/t for GH₂-DRI steel) and simulates decline as hydrogen cost falls. Implicitly includes abatement (high H₂ cost→high premium). Does not separately model carbon tax.</w:t>
            </w:r>
          </w:p>
        </w:tc>
        <w:tc>
          <w:tcPr/>
          <w:p>
            <w:pPr>
              <w:pStyle w:val="Compact"/>
            </w:pPr>
            <w:r>
              <w:t xml:space="preserve">Applies</w:t>
            </w:r>
            <w:r>
              <w:t xml:space="preserve"> </w:t>
            </w:r>
            <w:r>
              <w:rPr>
                <w:b/>
                <w:bCs/>
              </w:rPr>
              <w:t xml:space="preserve">sector multipliers indirectly</w:t>
            </w:r>
            <w:r>
              <w:t xml:space="preserve">. Reports premium impact on three end-use sectors (auto, construction, infra), reflecting that automotive/infrastructure can absorb ~5% cost hikes vs 3.7% in construction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r>
              <w:t xml:space="preserve">. Assumes uniform $/t premium but different % impacts.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plus decline</w:t>
            </w:r>
            <w:r>
              <w:t xml:space="preserve">: starts at a given premium ($210/t) then falls to ~$7/t by 2030 as tech scales</w:t>
            </w:r>
            <w:hyperlink r:id="rId38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 Pricing logic is scenario-driven (tech cost curves + assumed demand elasticity). Does not derive premium from marginal costs, but posits a future price path based on interviews.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H₂ Green Steel (Industry, Sweden)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Implicitly, green steel capex paid upfront (renewable H₂ production → green iron). Emphasizes that rising carbon prices justify higher green prices.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Selective, value-based</w:t>
            </w:r>
            <w:r>
              <w:t xml:space="preserve">: targets customers with binding science-based targets (e.g. BMW, Mercedes)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. Focuses on OEMs willing to prepay for green credits. Company avoids mass market.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Value-based premium (~25%)</w:t>
            </w:r>
            <w:r>
              <w:t xml:space="preserve">: CEO states green steel will sell “around 25% above” brown steel, moving from commodity to value pricing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. This premium is set by customer willingness, carbon expectations, and supply scarcity. It is not formulaic but based on negotiations (pre-sold contracts used as financing collateral).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BCG Consumer WTP Survey (2023)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Carbon abatement is not explicitly modeled; instead focuses on end-product decarbonization cost. Uses consumer willingness as proxy for premium potential.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segmentation by value/affinity.</w:t>
            </w:r>
            <w:r>
              <w:t xml:space="preserve"> </w:t>
            </w:r>
            <w:r>
              <w:t xml:space="preserve">Identifies high-value, sustainability-driven consumer segments in autos/appliances. Recommends either “skimming” (high price to niche) or “penetration” (modest premium to broad) strategies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 strategy</w:t>
            </w:r>
            <w:r>
              <w:t xml:space="preserve"> </w:t>
            </w:r>
            <w:r>
              <w:t xml:space="preserve">rather than formula. Recommends a</w:t>
            </w:r>
            <w:r>
              <w:t xml:space="preserve"> </w:t>
            </w:r>
            <w:r>
              <w:rPr>
                <w:b/>
                <w:bCs/>
              </w:rPr>
              <w:t xml:space="preserve">skimming approach</w:t>
            </w:r>
            <w:r>
              <w:t xml:space="preserve">: charge a high green premium to a smaller segment of eco-conscious buyers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 Premium size based on survey demand elasticity – e.g. many will pay small premium, few pay very high.</w:t>
            </w:r>
          </w:p>
        </w:tc>
      </w:tr>
    </w:tbl>
    <w:p>
      <w:pPr>
        <w:pStyle w:val="BodyText"/>
      </w:pPr>
      <w:r>
        <w:t xml:space="preserve">Each approach treats</w:t>
      </w:r>
      <w:r>
        <w:t xml:space="preserve"> </w:t>
      </w:r>
      <w:r>
        <w:rPr>
          <w:b/>
          <w:bCs/>
        </w:rPr>
        <w:t xml:space="preserve">abatement and costs</w:t>
      </w:r>
      <w:r>
        <w:t xml:space="preserve"> </w:t>
      </w:r>
      <w:r>
        <w:t xml:space="preserve">differently: cost-based models (Agora) derive premiums strictly from engineering costs, while market models (CRU, H₂GS) allow premiums above costs when buyers value sustainability. Segmentation is often addressed qualitatively: CRU and BCG explicitly segment by end-use, whereas the IGSC/EY model embeds segmentation via sectoral cost impacts</w:t>
      </w:r>
      <w:hyperlink r:id="rId28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updated calculator</w:t>
      </w:r>
      <w:r>
        <w:t xml:space="preserve"> </w:t>
      </w:r>
      <w:r>
        <w:t xml:space="preserve">should draw from these lessons: it uses actual abatement cost inputs (like Agora), applies customer-specific multipliers (in line with CRU/BCG emphasis on segmentation), and amortizes costs over time (ensuring realistic project finance). In contrast to a simple cost adder, these approaches highlight that early green steel may command a substantial premium (tens of dollars per tonne) which should be justified by both higher production costs and the willingness of certain buyers to pay for decarbonization</w:t>
      </w:r>
      <w:hyperlink r:id="rId27">
        <w:r>
          <w:rPr>
            <w:rStyle w:val="Hyperlink"/>
          </w:rPr>
          <w:t xml:space="preserve">[7]</w:t>
        </w:r>
      </w:hyperlink>
      <w:hyperlink r:id="rId35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Summary of green-steel pricing approaches (sources in text).</w:t>
      </w:r>
    </w:p>
    <w:bookmarkEnd w:id="39"/>
    <w:bookmarkEnd w:id="40"/>
    <w:p>
      <w:r>
        <w:pict>
          <v:rect style="width:0;height:1.5pt" o:hralign="center" o:hrstd="t" o:hr="t"/>
        </w:pict>
      </w:r>
    </w:p>
    <w:bookmarkStart w:id="5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How can India Decarbonise for Low Carbon Steel Sustainability?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https://www.ceew.in/publications/how-can-india-decarbonise-for-net-zero-steel-industry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India needs targeted public finance to scale green steel | IEEFA</w:t>
      </w:r>
    </w:p>
    <w:p>
      <w:pPr>
        <w:pStyle w:val="BodyText"/>
      </w:pPr>
      <w:hyperlink r:id="rId42">
        <w:r>
          <w:rPr>
            <w:rStyle w:val="Hyperlink"/>
          </w:rPr>
          <w:t xml:space="preserve">https://ieefa.org/articles/india-needs-targeted-public-finance-scale-green-steel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India steel sector competitiveness under threat as Europe tightens carbon rules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https://www.rystadenergy.com/news/india-steel-europe-carbon-rules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CBAM and the Future of India’s Steel Exports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https://www.metalbook.com/blogs/cbam-and-the-future-of-indias-steel-exports/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Henrik Henriksson: Scaling a green steel start-up | McKinsey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https://www.mckinsey.com/capabilities/sustainability/our-insights/henrik-henriksson-rapidly-scaling-a-green-steel-start-up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8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Unlocking Green Steel Demand In India - India Green Steel Coalition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https://www.indiagreensteelcoalition.org/reports-articles/unlocking-green-steel-demand-in-india/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hyperlink r:id="rId36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How will the green steel premia be determined? - CRU Group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https://www.crugroup.com/en/communities/thought-leadership/2024/how-will-the-green-steel-premia-be-determined/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Consumers Willing to Pay for Net Zero Production | BCG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https://www.bcg.com/publications/2023/consumers-are-willing-to-pay-for-net-zero-production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Steel Transformation Cost Calculator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https://www.agora-industry.org/data-tools/steel-transformation-cost-calculator</w:t>
        </w:r>
      </w:hyperlink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s://ieefa.org/articles/india-needs-targeted-public-finance-scale-green-steel" TargetMode="External" /><Relationship Type="http://schemas.openxmlformats.org/officeDocument/2006/relationships/hyperlink" Id="rId26" Target="https://ieefa.org/articles/india-needs-targeted-public-finance-scale-green-steel#:~:text=Global%20project%20failures%20reveal%20a,production%20to%20final%20steel%20output" TargetMode="External" /><Relationship Type="http://schemas.openxmlformats.org/officeDocument/2006/relationships/hyperlink" Id="rId22" Target="https://ieefa.org/articles/india-needs-targeted-public-finance-scale-green-steel#:~:text=International%20evidence%20shows%20public%20costs,alone%20cannot%20drive%20the%20transition" TargetMode="External" /><Relationship Type="http://schemas.openxmlformats.org/officeDocument/2006/relationships/hyperlink" Id="rId49" Target="https://www.agora-industry.org/data-tools/steel-transformation-cost-calculator" TargetMode="External" /><Relationship Type="http://schemas.openxmlformats.org/officeDocument/2006/relationships/hyperlink" Id="rId37" Target="https://www.agora-industry.org/data-tools/steel-transformation-cost-calculator#:~:text=This%20online%20tool%20allows%20one,the%20conventional%20blast%20furnace%20route" TargetMode="External" /><Relationship Type="http://schemas.openxmlformats.org/officeDocument/2006/relationships/hyperlink" Id="rId48" Target="https://www.bcg.com/publications/2023/consumers-are-willing-to-pay-for-net-zero-production" TargetMode="External" /><Relationship Type="http://schemas.openxmlformats.org/officeDocument/2006/relationships/hyperlink" Id="rId30" Target="https://www.bcg.com/publications/2023/consumers-are-willing-to-pay-for-net-zero-production#:~:text=case,would%20set%20a%20low%20initial" TargetMode="External" /><Relationship Type="http://schemas.openxmlformats.org/officeDocument/2006/relationships/hyperlink" Id="rId41" Target="https://www.ceew.in/publications/how-can-india-decarbonise-for-net-zero-steel-industry" TargetMode="External" /><Relationship Type="http://schemas.openxmlformats.org/officeDocument/2006/relationships/hyperlink" Id="rId21" Target="https://www.ceew.in/publications/how-can-india-decarbonise-for-net-zero-steel-industry#:~:text=,depending%20on%20the%20production%20route" TargetMode="External" /><Relationship Type="http://schemas.openxmlformats.org/officeDocument/2006/relationships/hyperlink" Id="rId25" Target="https://www.ceew.in/publications/how-can-india-decarbonise-for-net-zero-steel-industry#:~:text=the%20same%20year%2C%20equating%20to,alternative%20fuels%20and%20carbon%20management" TargetMode="External" /><Relationship Type="http://schemas.openxmlformats.org/officeDocument/2006/relationships/hyperlink" Id="rId47" Target="https://www.crugroup.com/en/communities/thought-leadership/2024/how-will-the-green-steel-premia-be-determined/" TargetMode="External" /><Relationship Type="http://schemas.openxmlformats.org/officeDocument/2006/relationships/hyperlink" Id="rId35" Target="https://www.crugroup.com/en/communities/thought-leadership/2024/how-will-the-green-steel-premia-be-determined/#:~:text=A%20green%20premium%20is%20ultimately,and%20future%20carbon%20costs%20or" TargetMode="External" /><Relationship Type="http://schemas.openxmlformats.org/officeDocument/2006/relationships/hyperlink" Id="rId33" Target="https://www.crugroup.com/en/communities/thought-leadership/2024/how-will-the-green-steel-premia-be-determined/#:~:text=A%20green%20premium%20is%20ultimately,any%20carbon%20taxes%2Femissions%20trading%20schemes" TargetMode="External" /><Relationship Type="http://schemas.openxmlformats.org/officeDocument/2006/relationships/hyperlink" Id="rId36" Target="https://www.crugroup.com/en/communities/thought-leadership/2024/how-will-the-green-steel-premia-be-determined/#:~:text=Our%20research%20has%20shown%20that,set%20by%20the%20market%20pull" TargetMode="External" /><Relationship Type="http://schemas.openxmlformats.org/officeDocument/2006/relationships/hyperlink" Id="rId29" Target="https://www.crugroup.com/en/communities/thought-leadership/2024/how-will-the-green-steel-premia-be-determined/#:~:text=The%20willingness%20of%20consumers%20to,and%20commanding%20different%20green%20premium" TargetMode="External" /><Relationship Type="http://schemas.openxmlformats.org/officeDocument/2006/relationships/hyperlink" Id="rId34" Target="https://www.crugroup.com/en/communities/thought-leadership/2024/how-will-the-green-steel-premia-be-determined/#:~:text=conducted%20with%20potential%20buyers%20of,any%20carbon%20taxes%2Femissions%20trading%20schemes" TargetMode="External" /><Relationship Type="http://schemas.openxmlformats.org/officeDocument/2006/relationships/hyperlink" Id="rId46" Target="https://www.indiagreensteelcoalition.org/reports-articles/unlocking-green-steel-demand-in-india/" TargetMode="External" /><Relationship Type="http://schemas.openxmlformats.org/officeDocument/2006/relationships/hyperlink" Id="rId28" Target="https://www.indiagreensteelcoalition.org/reports-articles/unlocking-green-steel-demand-in-india/#:~:text=Currently%2C%20the%20premium%20on%20green,of%20green%20hydrogen%20and%20the" TargetMode="External" /><Relationship Type="http://schemas.openxmlformats.org/officeDocument/2006/relationships/hyperlink" Id="rId38" Target="https://www.indiagreensteelcoalition.org/reports-articles/unlocking-green-steel-demand-in-india/#:~:text=early%20adoption%20phase%2C%20largely%20driven,2040" TargetMode="External" /><Relationship Type="http://schemas.openxmlformats.org/officeDocument/2006/relationships/hyperlink" Id="rId45" Target="https://www.mckinsey.com/capabilities/sustainability/our-insights/henrik-henriksson-rapidly-scaling-a-green-steel-start-up" TargetMode="External" /><Relationship Type="http://schemas.openxmlformats.org/officeDocument/2006/relationships/hyperlink" Id="rId27" Target="https://www.mckinsey.com/capabilities/sustainability/our-insights/henrik-henriksson-rapidly-scaling-a-green-steel-start-up#:~:text=McKinsey%3A%20Green%20steel%20is%20going,pay%20more%20for%20your%20product" TargetMode="External" /><Relationship Type="http://schemas.openxmlformats.org/officeDocument/2006/relationships/hyperlink" Id="rId44" Target="https://www.metalbook.com/blogs/cbam-and-the-future-of-indias-steel-exports/" TargetMode="External" /><Relationship Type="http://schemas.openxmlformats.org/officeDocument/2006/relationships/hyperlink" Id="rId24" Target="https://www.metalbook.com/blogs/cbam-and-the-future-of-indias-steel-exports/#:~:text=To%20understand%20CBAM%E2%80%99s%20commercial%20impact%2C,could%20be%20greater%20than%20%E2%82%AC220%2Ftonne" TargetMode="External" /><Relationship Type="http://schemas.openxmlformats.org/officeDocument/2006/relationships/hyperlink" Id="rId43" Target="https://www.rystadenergy.com/news/india-steel-europe-carbon-rules" TargetMode="External" /><Relationship Type="http://schemas.openxmlformats.org/officeDocument/2006/relationships/hyperlink" Id="rId23" Target="https://www.rystadenergy.com/news/india-steel-europe-carbon-rules#:~:text=Currently%2C%20these%20companies%20are%20on,and%20India%27s%20high%20carbon%20intens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ieefa.org/articles/india-needs-targeted-public-finance-scale-green-steel" TargetMode="External" /><Relationship Type="http://schemas.openxmlformats.org/officeDocument/2006/relationships/hyperlink" Id="rId26" Target="https://ieefa.org/articles/india-needs-targeted-public-finance-scale-green-steel#:~:text=Global%20project%20failures%20reveal%20a,production%20to%20final%20steel%20output" TargetMode="External" /><Relationship Type="http://schemas.openxmlformats.org/officeDocument/2006/relationships/hyperlink" Id="rId22" Target="https://ieefa.org/articles/india-needs-targeted-public-finance-scale-green-steel#:~:text=International%20evidence%20shows%20public%20costs,alone%20cannot%20drive%20the%20transition" TargetMode="External" /><Relationship Type="http://schemas.openxmlformats.org/officeDocument/2006/relationships/hyperlink" Id="rId49" Target="https://www.agora-industry.org/data-tools/steel-transformation-cost-calculator" TargetMode="External" /><Relationship Type="http://schemas.openxmlformats.org/officeDocument/2006/relationships/hyperlink" Id="rId37" Target="https://www.agora-industry.org/data-tools/steel-transformation-cost-calculator#:~:text=This%20online%20tool%20allows%20one,the%20conventional%20blast%20furnace%20route" TargetMode="External" /><Relationship Type="http://schemas.openxmlformats.org/officeDocument/2006/relationships/hyperlink" Id="rId48" Target="https://www.bcg.com/publications/2023/consumers-are-willing-to-pay-for-net-zero-production" TargetMode="External" /><Relationship Type="http://schemas.openxmlformats.org/officeDocument/2006/relationships/hyperlink" Id="rId30" Target="https://www.bcg.com/publications/2023/consumers-are-willing-to-pay-for-net-zero-production#:~:text=case,would%20set%20a%20low%20initial" TargetMode="External" /><Relationship Type="http://schemas.openxmlformats.org/officeDocument/2006/relationships/hyperlink" Id="rId41" Target="https://www.ceew.in/publications/how-can-india-decarbonise-for-net-zero-steel-industry" TargetMode="External" /><Relationship Type="http://schemas.openxmlformats.org/officeDocument/2006/relationships/hyperlink" Id="rId21" Target="https://www.ceew.in/publications/how-can-india-decarbonise-for-net-zero-steel-industry#:~:text=,depending%20on%20the%20production%20route" TargetMode="External" /><Relationship Type="http://schemas.openxmlformats.org/officeDocument/2006/relationships/hyperlink" Id="rId25" Target="https://www.ceew.in/publications/how-can-india-decarbonise-for-net-zero-steel-industry#:~:text=the%20same%20year%2C%20equating%20to,alternative%20fuels%20and%20carbon%20management" TargetMode="External" /><Relationship Type="http://schemas.openxmlformats.org/officeDocument/2006/relationships/hyperlink" Id="rId47" Target="https://www.crugroup.com/en/communities/thought-leadership/2024/how-will-the-green-steel-premia-be-determined/" TargetMode="External" /><Relationship Type="http://schemas.openxmlformats.org/officeDocument/2006/relationships/hyperlink" Id="rId35" Target="https://www.crugroup.com/en/communities/thought-leadership/2024/how-will-the-green-steel-premia-be-determined/#:~:text=A%20green%20premium%20is%20ultimately,and%20future%20carbon%20costs%20or" TargetMode="External" /><Relationship Type="http://schemas.openxmlformats.org/officeDocument/2006/relationships/hyperlink" Id="rId33" Target="https://www.crugroup.com/en/communities/thought-leadership/2024/how-will-the-green-steel-premia-be-determined/#:~:text=A%20green%20premium%20is%20ultimately,any%20carbon%20taxes%2Femissions%20trading%20schemes" TargetMode="External" /><Relationship Type="http://schemas.openxmlformats.org/officeDocument/2006/relationships/hyperlink" Id="rId36" Target="https://www.crugroup.com/en/communities/thought-leadership/2024/how-will-the-green-steel-premia-be-determined/#:~:text=Our%20research%20has%20shown%20that,set%20by%20the%20market%20pull" TargetMode="External" /><Relationship Type="http://schemas.openxmlformats.org/officeDocument/2006/relationships/hyperlink" Id="rId29" Target="https://www.crugroup.com/en/communities/thought-leadership/2024/how-will-the-green-steel-premia-be-determined/#:~:text=The%20willingness%20of%20consumers%20to,and%20commanding%20different%20green%20premium" TargetMode="External" /><Relationship Type="http://schemas.openxmlformats.org/officeDocument/2006/relationships/hyperlink" Id="rId34" Target="https://www.crugroup.com/en/communities/thought-leadership/2024/how-will-the-green-steel-premia-be-determined/#:~:text=conducted%20with%20potential%20buyers%20of,any%20carbon%20taxes%2Femissions%20trading%20schemes" TargetMode="External" /><Relationship Type="http://schemas.openxmlformats.org/officeDocument/2006/relationships/hyperlink" Id="rId46" Target="https://www.indiagreensteelcoalition.org/reports-articles/unlocking-green-steel-demand-in-india/" TargetMode="External" /><Relationship Type="http://schemas.openxmlformats.org/officeDocument/2006/relationships/hyperlink" Id="rId28" Target="https://www.indiagreensteelcoalition.org/reports-articles/unlocking-green-steel-demand-in-india/#:~:text=Currently%2C%20the%20premium%20on%20green,of%20green%20hydrogen%20and%20the" TargetMode="External" /><Relationship Type="http://schemas.openxmlformats.org/officeDocument/2006/relationships/hyperlink" Id="rId38" Target="https://www.indiagreensteelcoalition.org/reports-articles/unlocking-green-steel-demand-in-india/#:~:text=early%20adoption%20phase%2C%20largely%20driven,2040" TargetMode="External" /><Relationship Type="http://schemas.openxmlformats.org/officeDocument/2006/relationships/hyperlink" Id="rId45" Target="https://www.mckinsey.com/capabilities/sustainability/our-insights/henrik-henriksson-rapidly-scaling-a-green-steel-start-up" TargetMode="External" /><Relationship Type="http://schemas.openxmlformats.org/officeDocument/2006/relationships/hyperlink" Id="rId27" Target="https://www.mckinsey.com/capabilities/sustainability/our-insights/henrik-henriksson-rapidly-scaling-a-green-steel-start-up#:~:text=McKinsey%3A%20Green%20steel%20is%20going,pay%20more%20for%20your%20product" TargetMode="External" /><Relationship Type="http://schemas.openxmlformats.org/officeDocument/2006/relationships/hyperlink" Id="rId44" Target="https://www.metalbook.com/blogs/cbam-and-the-future-of-indias-steel-exports/" TargetMode="External" /><Relationship Type="http://schemas.openxmlformats.org/officeDocument/2006/relationships/hyperlink" Id="rId24" Target="https://www.metalbook.com/blogs/cbam-and-the-future-of-indias-steel-exports/#:~:text=To%20understand%20CBAM%E2%80%99s%20commercial%20impact%2C,could%20be%20greater%20than%20%E2%82%AC220%2Ftonne" TargetMode="External" /><Relationship Type="http://schemas.openxmlformats.org/officeDocument/2006/relationships/hyperlink" Id="rId43" Target="https://www.rystadenergy.com/news/india-steel-europe-carbon-rules" TargetMode="External" /><Relationship Type="http://schemas.openxmlformats.org/officeDocument/2006/relationships/hyperlink" Id="rId23" Target="https://www.rystadenergy.com/news/india-steel-europe-carbon-rules#:~:text=Currently%2C%20these%20companies%20are%20on,and%20India%27s%20high%20carbon%20intens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2025-12-27T08:45:54Z</dcterms:created>
  <dcterms:modified xsi:type="dcterms:W3CDTF">2025-12-27T08:45:54Z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