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GenSci136 (GeneScience Pharmaceutical) | Asset evaluation report</w:t>
      </w:r>
    </w:p>
    <w:p>
      <w:r>
        <w:t>Best-in-class dual APRIL/BAFF antagonist fusion protein (BCMA-ECD/VHH-HSA; SC; ≥Q4W)</w:t>
      </w:r>
    </w:p>
    <w:p>
      <w:r>
        <w:t>Screening view: GenSci136 is a novel BCMA-extracellular-domain/VHH-HSA fusion protein that blocks all 3 APRIL/BAFF receptors (BAFF-R, TACI, BCMA) with superior potency and a predicted monthly+ dosing interval. Lead indication: generalized myasthenia gravis (gMG), with IND submitted in China (IgAN) and FDA IND expected April 2026. Strongest preclinical profile in the APRIL/BAFF class. Stage is early (FIH imminent), creating a conditional pass on stage gate. Strong TA/modality fit.</w:t>
      </w:r>
    </w:p>
    <w:p>
      <w:r>
        <w:t>Lead asset framing: GenSci136 is designed to be the best-in-disease APRIL/BAFF dual antagonist: compared to Telitacicept (TACI-Fc, RemeGen) and Povetacicept/ALPN-303 (TACI variant-Fc, Vertex/Alpine), GenSci136 demonstrates superior in vivo efficacy in MRL-lpr lupus model, stronger in vitro BAFF/APRIL blockade across all hetero/homotrimer combinations, and a much longer predicted half-life (MRTlast 225h NHP vs 153h Povetacicept, 101h Telitacicept). gMG is chosen as lead indication based on Telitacicept Phase 3 data showing superior efficacy vs C5 and FcRn inhibitors across all autoantibody subtypes.</w:t>
      </w:r>
    </w:p>
    <w:p>
      <w:r>
        <w:t>Why it lands at Diligence: Lands at Diligence: The preclinical differentiation story is compelling (superior efficacy AND longer half-life AND broader receptor coverage vs both competitors), and the gMG lead indication is well-chosen (Telitacicept Phase 3 data is the validation). However, the asset is pre-IND (FIH imminent as of early 2026), which is at the floor of LSB's stage gate. The dev cost to a Phase 2 data point in gMG is likely $20-30M (borderline). The APRIL/BAFF space is crowding (Telitacicept Phase 3 MRCT, Povetacicept Vertex deal). Diligence is warranted given the strong BIC profile; watch for FIH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Overall 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Modality 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Conviction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Recommended posture</w:t>
            </w:r>
          </w:p>
        </w:tc>
      </w:tr>
      <w:tr>
        <w:tc>
          <w:tcPr>
            <w:tcW w:type="dxa" w:w="1728"/>
          </w:tcPr>
          <w:p>
            <w:r>
              <w:t>Diligence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Preferred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Keep active for focused diligence; do not widen scope yet.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Executive conclusion</w:t>
            </w:r>
          </w:p>
        </w:tc>
      </w:tr>
    </w:tbl>
    <w:p>
      <w:r>
        <w:t>GenSci136 presents the strongest preclinical APRIL/BAFF profile we have seen — superior to both Telitacicept and Povetacicept across efficacy, half-life, and receptor coverage dimensions. The gMG indication is validated by Telitacicept's Phase 3 data. The asset is at FIH stage (borderline on LSB stage gate), limiting conviction. Initiate diligence to understand IP package, partnering terms, and FIH data package when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Asset snapshot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Asset code</w:t>
            </w:r>
          </w:p>
        </w:tc>
        <w:tc>
          <w:tcPr>
            <w:tcW w:type="dxa" w:w="4320"/>
          </w:tcPr>
          <w:p>
            <w:r>
              <w:t>LSB02209 / GenSci136</w:t>
            </w:r>
          </w:p>
        </w:tc>
      </w:tr>
      <w:tr>
        <w:tc>
          <w:tcPr>
            <w:tcW w:type="dxa" w:w="4320"/>
          </w:tcPr>
          <w:p>
            <w:r>
              <w:t>Sponsor / source</w:t>
            </w:r>
          </w:p>
        </w:tc>
        <w:tc>
          <w:tcPr>
            <w:tcW w:type="dxa" w:w="4320"/>
          </w:tcPr>
          <w:p>
            <w:r>
              <w:t>GeneScience Pharmaceutical Co., Ltd. (Changchun, China)</w:t>
            </w:r>
          </w:p>
        </w:tc>
      </w:tr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Dual APRIL/BAFF antagonist — BCMA extracellular domain fused to VHH-anti-HSA domain; blocks all 3 APRIL/BAFF receptors (BAFF-R, TACI, BCMA) on B cells and plasma cells</w:t>
            </w:r>
          </w:p>
        </w:tc>
      </w:tr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Fusion protein (biologic): BCMA-ECD trimer / anti-HSA VHH; SC injection; predicted ≥Q4W dosing</w:t>
            </w:r>
          </w:p>
        </w:tc>
      </w:tr>
      <w:tr>
        <w:tc>
          <w:tcPr>
            <w:tcW w:type="dxa" w:w="4320"/>
          </w:tcPr>
          <w:p>
            <w:r>
              <w:t>Lead indication</w:t>
            </w:r>
          </w:p>
        </w:tc>
        <w:tc>
          <w:tcPr>
            <w:tcW w:type="dxa" w:w="4320"/>
          </w:tcPr>
          <w:p>
            <w:r>
              <w:t>Generalized Myasthenia Gravis (gMG — anti-AChR and anti-MuSK antibody positive)</w:t>
            </w:r>
          </w:p>
        </w:tc>
      </w:tr>
      <w:tr>
        <w:tc>
          <w:tcPr>
            <w:tcW w:type="dxa" w:w="4320"/>
          </w:tcPr>
          <w:p>
            <w:r>
              <w:t>Other indications</w:t>
            </w:r>
          </w:p>
        </w:tc>
        <w:tc>
          <w:tcPr>
            <w:tcW w:type="dxa" w:w="4320"/>
          </w:tcPr>
          <w:p>
            <w:r>
              <w:t>IgA Nephropathy (IgAN — IND submitted China Q1 2026), SLE (preclinical data), ocular MG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FIH imminent: IND cleared in China for IgAN; FDA IND submission for MG expected April 2026; Phase Ia SAD study planned</w:t>
            </w:r>
          </w:p>
        </w:tc>
      </w:tr>
      <w:tr>
        <w:tc>
          <w:tcPr>
            <w:tcW w:type="dxa" w:w="4320"/>
          </w:tcPr>
          <w:p>
            <w:r>
              <w:t>Source base</w:t>
            </w:r>
          </w:p>
        </w:tc>
        <w:tc>
          <w:tcPr>
            <w:tcW w:type="dxa" w:w="4320"/>
          </w:tcPr>
          <w:p>
            <w:r>
              <w:t>GenSci136 NCD deck, March 2026 (non-confidential); GeneScience internal data</w:t>
            </w:r>
          </w:p>
        </w:tc>
      </w:tr>
      <w:tr>
        <w:tc>
          <w:tcPr>
            <w:tcW w:type="dxa" w:w="4320"/>
          </w:tcPr>
          <w:p>
            <w:r>
              <w:t>Priority fit</w:t>
            </w:r>
          </w:p>
        </w:tc>
        <w:tc>
          <w:tcPr>
            <w:tcW w:type="dxa" w:w="4320"/>
          </w:tcPr>
          <w:p>
            <w:r>
              <w:t>Preferred TA (autoimmune: gMG / Immunology) | Preferred modality (biologic fusion protein) | FIH-stage (borderline on stage gate)</w:t>
            </w:r>
          </w:p>
        </w:tc>
      </w:tr>
      <w:tr>
        <w:tc>
          <w:tcPr>
            <w:tcW w:type="dxa" w:w="4320"/>
          </w:tcPr>
          <w:p>
            <w:r>
              <w:t>Near-term value trigger</w:t>
            </w:r>
          </w:p>
        </w:tc>
        <w:tc>
          <w:tcPr>
            <w:tcW w:type="dxa" w:w="4320"/>
          </w:tcPr>
          <w:p>
            <w:r>
              <w:t>FIH initiation in China + FDA IND clearance (Q2 2026); Phase Ia SAD data (2026-2027)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Disease and modality priority fit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supports the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still needs to be true</w:t>
            </w:r>
          </w:p>
        </w:tc>
      </w:tr>
      <w:tr>
        <w:tc>
          <w:tcPr>
            <w:tcW w:type="dxa" w:w="2160"/>
          </w:tcPr>
          <w:p>
            <w:r>
              <w:t>Disease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gMG is an autoimmune neuromuscular disease within I&amp;I preferred TA; Telitacicept Phase 3 validates APRIL/BAFF target in gMG; IgAN is also adjacent (renal immune); SLE is preferred</w:t>
            </w:r>
          </w:p>
        </w:tc>
        <w:tc>
          <w:tcPr>
            <w:tcW w:type="dxa" w:w="2160"/>
          </w:tcPr>
          <w:p>
            <w:r>
              <w:t>FIH safety establishes tolerability; Phase Ia data supports PK prediction of ≥Q4W dosing</w:t>
            </w:r>
          </w:p>
        </w:tc>
      </w:tr>
      <w:tr>
        <w:tc>
          <w:tcPr>
            <w:tcW w:type="dxa" w:w="2160"/>
          </w:tcPr>
          <w:p>
            <w:r>
              <w:t>Modality priority</w:t>
            </w:r>
          </w:p>
        </w:tc>
        <w:tc>
          <w:tcPr>
            <w:tcW w:type="dxa" w:w="2160"/>
          </w:tcPr>
          <w:p>
            <w:r>
              <w:t>Preferred</w:t>
            </w:r>
          </w:p>
        </w:tc>
        <w:tc>
          <w:tcPr>
            <w:tcW w:type="dxa" w:w="2160"/>
          </w:tcPr>
          <w:p>
            <w:r>
              <w:t>Biologic fusion protein is LSB preferred modality class; SC injection with long half-life is commercially attractive; BCMA-ECD platform has manufacturing precedent (atacicept, povetacicept)</w:t>
            </w:r>
          </w:p>
        </w:tc>
        <w:tc>
          <w:tcPr>
            <w:tcW w:type="dxa" w:w="2160"/>
          </w:tcPr>
          <w:p>
            <w:r>
              <w:t>Manufacturing scale-up from research to clinical-grade confirmed; immunogenicity acceptable in FIH</w:t>
            </w:r>
          </w:p>
        </w:tc>
      </w:tr>
      <w:tr>
        <w:tc>
          <w:tcPr>
            <w:tcW w:type="dxa" w:w="2160"/>
          </w:tcPr>
          <w:p>
            <w:r>
              <w:t>Stage fit</w:t>
            </w:r>
          </w:p>
        </w:tc>
        <w:tc>
          <w:tcPr>
            <w:tcW w:type="dxa" w:w="2160"/>
          </w:tcPr>
          <w:p>
            <w:r>
              <w:t>Adjacent</w:t>
            </w:r>
          </w:p>
        </w:tc>
        <w:tc>
          <w:tcPr>
            <w:tcW w:type="dxa" w:w="2160"/>
          </w:tcPr>
          <w:p>
            <w:r>
              <w:t>IND submitted in China; FDA IND expected April 2026 — asset is at the floor of the IND-cleared stage gate</w:t>
            </w:r>
          </w:p>
        </w:tc>
        <w:tc>
          <w:tcPr>
            <w:tcW w:type="dxa" w:w="2160"/>
          </w:tcPr>
          <w:p>
            <w:r>
              <w:t>FDA IND cleared; FIH initiation confirms regulatory acceptability of the novel BCMA-ECD/VHH-HSA fusion design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Selected source evidence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Decision implication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 read</w:t>
            </w:r>
          </w:p>
        </w:tc>
      </w:tr>
      <w:tr>
        <w:tc>
          <w:tcPr>
            <w:tcW w:type="dxa" w:w="2160"/>
          </w:tcPr>
          <w:p>
            <w:r>
              <w:t>GenSci136 deck p.5</w:t>
            </w:r>
          </w:p>
        </w:tc>
        <w:tc>
          <w:tcPr>
            <w:tcW w:type="dxa" w:w="2160"/>
          </w:tcPr>
          <w:p>
            <w:r>
              <w:t>MRL-lpr (spontaneous SLE) model: GenSci136 2.5 mg/kg achieves superior survival, UACR, skin lesion, and renal pathology scores vs Telitacicept 10 mg/kg — 4x dose advantage at 25% the dose</w:t>
            </w:r>
          </w:p>
        </w:tc>
        <w:tc>
          <w:tcPr>
            <w:tcW w:type="dxa" w:w="2160"/>
          </w:tcPr>
          <w:p>
            <w:r>
              <w:t>Preclinical efficacy advantage is striking; potency superiority at lower doses supports the BIC thesis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GenSci136 deck p.6-7</w:t>
            </w:r>
          </w:p>
        </w:tc>
        <w:tc>
          <w:tcPr>
            <w:tcW w:type="dxa" w:w="2160"/>
          </w:tcPr>
          <w:p>
            <w:r>
              <w:t>NHP PK: GenSci136 MRTlast 225h vs Telitacicept 101h and Povetacicept 153h; predicted human half-life 7-15 days (Telitacicept: QW dosing; GenSci136: ≥Q4W predicted)</w:t>
            </w:r>
          </w:p>
        </w:tc>
        <w:tc>
          <w:tcPr>
            <w:tcW w:type="dxa" w:w="2160"/>
          </w:tcPr>
          <w:p>
            <w:r>
              <w:t>Q4W or less frequent dosing is a major commercial differentiator in autoimmune — patient adherence and convenience advantage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GenSci136 deck p.4</w:t>
            </w:r>
          </w:p>
        </w:tc>
        <w:tc>
          <w:tcPr>
            <w:tcW w:type="dxa" w:w="2160"/>
          </w:tcPr>
          <w:p>
            <w:r>
              <w:t>In vitro: GenSci136 blocks all APRIL/BAFF hetero/homotrimers with pM IC50; Telitacicept blocks APRIL weakly (IC50 ~9 nM vs 0.3 nM for GenSci136 in hAPRIL2BAFF1)</w:t>
            </w:r>
          </w:p>
        </w:tc>
        <w:tc>
          <w:tcPr>
            <w:tcW w:type="dxa" w:w="2160"/>
          </w:tcPr>
          <w:p>
            <w:r>
              <w:t>Complete receptor coverage across all APRIL/BAFF species is a meaningful mechanistic differentiation; should translate to broader efficacy in gMG across anti-AChR and anti-MuSK subtypes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GenSci136 deck p.10</w:t>
            </w:r>
          </w:p>
        </w:tc>
        <w:tc>
          <w:tcPr>
            <w:tcW w:type="dxa" w:w="2160"/>
          </w:tcPr>
          <w:p>
            <w:r>
              <w:t>Development timeline as of Feb 2026: FIH IgAN China initiated Q1 2026; FDA IND for MG expected April 2026; no Phase 1 human data yet</w:t>
            </w:r>
          </w:p>
        </w:tc>
        <w:tc>
          <w:tcPr>
            <w:tcW w:type="dxa" w:w="2160"/>
          </w:tcPr>
          <w:p>
            <w:r>
              <w:t>Asset is at floor of LSB stage gate (IND imminent, not yet FIH data); higher execution risk than Phase 1+ assets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Regulatory path, commercial framing, and thesis test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Thesis 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Implication</w:t>
            </w:r>
          </w:p>
        </w:tc>
      </w:tr>
      <w:tr>
        <w:tc>
          <w:tcPr>
            <w:tcW w:type="dxa" w:w="2160"/>
          </w:tcPr>
          <w:p>
            <w:r>
              <w:t>Acquisition: Low/no upfront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China-based company with FIH-stage asset; licensing upfront likely modest ($5-15M); GeneScience may prefer ex-China rights deal structure</w:t>
            </w:r>
          </w:p>
        </w:tc>
        <w:tc>
          <w:tcPr>
            <w:tcW w:type="dxa" w:w="2160"/>
          </w:tcPr>
          <w:p>
            <w:r>
              <w:t>Acquisition cost is achievable; LSB Newco structure is well-suited for ex-China asset carve-out</w:t>
            </w:r>
          </w:p>
        </w:tc>
      </w:tr>
      <w:tr>
        <w:tc>
          <w:tcPr>
            <w:tcW w:type="dxa" w:w="2160"/>
          </w:tcPr>
          <w:p>
            <w:r>
              <w:t>Time to value &lt;= 3-5 years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FIH 2026 → Phase Ia data 2026-2027 → Phase 2 gMG 2027-2028 → Ph2 PoC 2028-2029 → M&amp;A/BD inflection ~2029 (3-4 years)</w:t>
            </w:r>
          </w:p>
        </w:tc>
        <w:tc>
          <w:tcPr>
            <w:tcW w:type="dxa" w:w="2160"/>
          </w:tcPr>
          <w:p>
            <w:r>
              <w:t>Timeline is achievable if FIH goes smoothly; gMG Phase 2 can be lean (n~80) given validated endpoints (MG-ADL, QMG)</w:t>
            </w:r>
          </w:p>
        </w:tc>
      </w:tr>
      <w:tr>
        <w:tc>
          <w:tcPr>
            <w:tcW w:type="dxa" w:w="2160"/>
          </w:tcPr>
          <w:p>
            <w:r>
              <w:t>Dev cost &lt;= $25M</w:t>
            </w:r>
          </w:p>
        </w:tc>
        <w:tc>
          <w:tcPr>
            <w:tcW w:type="dxa" w:w="2160"/>
          </w:tcPr>
          <w:p>
            <w:r>
              <w:t>Plausible</w:t>
            </w:r>
          </w:p>
        </w:tc>
        <w:tc>
          <w:tcPr>
            <w:tcW w:type="dxa" w:w="2160"/>
          </w:tcPr>
          <w:p>
            <w:r>
              <w:t>FIH Phase Ia + Phase 2 gMG (lean trial, validated endpoints) likely $15-25M; autoimmune biologic trials are efficient when endpoints are established</w:t>
            </w:r>
          </w:p>
        </w:tc>
        <w:tc>
          <w:tcPr>
            <w:tcW w:type="dxa" w:w="2160"/>
          </w:tcPr>
          <w:p>
            <w:r>
              <w:t>Dev cost is borderline within range; gMG is the most efficient path (established endpoints, precedented regulatory path)</w:t>
            </w:r>
          </w:p>
        </w:tc>
      </w:tr>
      <w:tr>
        <w:tc>
          <w:tcPr>
            <w:tcW w:type="dxa" w:w="2160"/>
          </w:tcPr>
          <w:p>
            <w:r>
              <w:t>High POS exit: pharma M&amp;A/BD fit</w:t>
            </w:r>
          </w:p>
        </w:tc>
        <w:tc>
          <w:tcPr>
            <w:tcW w:type="dxa" w:w="2160"/>
          </w:tcPr>
          <w:p>
            <w:r>
              <w:t>On target</w:t>
            </w:r>
          </w:p>
        </w:tc>
        <w:tc>
          <w:tcPr>
            <w:tcW w:type="dxa" w:w="2160"/>
          </w:tcPr>
          <w:p>
            <w:r>
              <w:t>APRIL/BAFF antagonists are an active M&amp;A area: Vertex acquired Alpine for Povetacicept ($4.9B); gMG is a $5B+ market with active pharma competition (argenx, UCB, AZ). A BIC APRIL/BAFF asset in gMG is highly acquirable by Vertex, AZ, UCB, or Janssen</w:t>
            </w:r>
          </w:p>
        </w:tc>
        <w:tc>
          <w:tcPr>
            <w:tcW w:type="dxa" w:w="2160"/>
          </w:tcPr>
          <w:p>
            <w:r>
              <w:t>Exit fit is strong given Vertex/Povetacicept precedent; GenSci136's superior PK profile could attract premium over Phase 2 data alone</w:t>
            </w:r>
          </w:p>
        </w:tc>
      </w:tr>
    </w:tbl>
    <w:p>
      <w:r>
        <w:t>Best-fit entry indication: gMG (generalized Myasthenia Gravis) — validated by Telitacicept Phase 3 data, established regulatory endpoints (MG-ADL, QMG), ~20,000 patients US annual incidence, large commercial precedent (efgartigimod $2.2B/yr)</w:t>
      </w:r>
    </w:p>
    <w:p>
      <w:r>
        <w:t>Differentiation claim: First BCMA-ECD-based APRIL/BAFF dual antagonist with confirmed block of all 5 BAFF/APRIL ligand-receptor combinations; uniquely predicted ≥Q4W SC dosing (vs QW for Telitacicept) — BIC across efficacy, convenience, and receptor coverage</w:t>
      </w:r>
    </w:p>
    <w:p>
      <w:r>
        <w:t>Most coherent first story: GenSci136 as the next-generation Telitacicept: validated mechanism in gMG (Telitacicept Phase 3), superior preclinical profile, and Q4W convenience advantage for a chronic disease where adherence is critical</w:t>
      </w:r>
    </w:p>
    <w:p>
      <w:r>
        <w:t>What broadening too early would risk: Pursuing IgAN and SLE simultaneously with gMG in Phase 1 would dilute resources; gMG is the fastest-to-PoC indication with clearest precedent and should be the singular Phase 2 focus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Key risks, diligence questions, and out-of-rating watchouts</w:t>
            </w:r>
          </w:p>
        </w:tc>
      </w:tr>
    </w:tbl>
    <w:p>
      <w:r>
        <w:t>Key risks and unresolved questions</w:t>
      </w:r>
    </w:p>
    <w:p>
      <w:pPr>
        <w:pStyle w:val="ListBullet"/>
      </w:pPr>
      <w:r>
        <w:t>FIH stage risk: No Phase 1 human data yet; BCMA-ECD/VHH-HSA fusion is a novel format with potential immunogenicity, unexpected PK, or safety signals</w:t>
      </w:r>
    </w:p>
    <w:p>
      <w:pPr>
        <w:pStyle w:val="ListBullet"/>
      </w:pPr>
      <w:r>
        <w:t>Space crowding: Povetacicept (Vertex) and Telitacicept (RemeGen Phase 3 MRCT) are advancing rapidly — GenSci136 needs to move quickly to avoid being third-to-market</w:t>
      </w:r>
    </w:p>
    <w:p>
      <w:pPr>
        <w:pStyle w:val="ListBullet"/>
      </w:pPr>
      <w:r>
        <w:t>IP package clarity: BCMA-ECD as a APRIL/BAFF blocker is conceptually similar to Povetacicept/TACI — freedom-to-operate and differentiation from existing IP requires detailed IP diligence</w:t>
      </w:r>
    </w:p>
    <w:p>
      <w:pPr>
        <w:pStyle w:val="ListBullet"/>
      </w:pPr>
      <w:r>
        <w:t>GeneScience deal structure: China-based company with China-first development; ex-China rights carve-out needs careful structuring; regulatory data bridging for FDA/EMA</w:t>
      </w:r>
    </w:p>
    <w:p>
      <w:pPr>
        <w:pStyle w:val="ListBullet"/>
      </w:pPr>
      <w:r>
        <w:t>Vertex (Povetacicept) acquisition risk: If Vertex moves to acquire GenSci136 or a similar asset, LSB may be outbid</w:t>
      </w:r>
    </w:p>
    <w:p>
      <w:r>
        <w:t>Priority diligence requests</w:t>
      </w:r>
    </w:p>
    <w:p>
      <w:pPr>
        <w:pStyle w:val="ListBullet"/>
      </w:pPr>
      <w:r>
        <w:t>FIH protocol for gMG and IgAN; FDA IND clearance status (April 2026 expected)</w:t>
      </w:r>
    </w:p>
    <w:p>
      <w:pPr>
        <w:pStyle w:val="ListBullet"/>
      </w:pPr>
      <w:r>
        <w:t>IP package: COM patent filed/granted for BCMA-ECD/VHH-HSA fusion; FTO analysis vs Telitacicept, Povetacicept, Atacicept</w:t>
      </w:r>
    </w:p>
    <w:p>
      <w:pPr>
        <w:pStyle w:val="ListBullet"/>
      </w:pPr>
      <w:r>
        <w:t>Complete NHP PK/PD data package (dose-response, immunogenicity, repeat-dose tox summary)</w:t>
      </w:r>
    </w:p>
    <w:p>
      <w:pPr>
        <w:pStyle w:val="ListBullet"/>
      </w:pPr>
      <w:r>
        <w:t>GeneScience's preferred deal structure: ex-China rights availability, milestone structure, manufacturing rights</w:t>
      </w:r>
    </w:p>
    <w:p>
      <w:pPr>
        <w:pStyle w:val="ListBullet"/>
      </w:pPr>
      <w:r>
        <w:t>Competitive positioning vs Povetacicept (Vertex): clinical data comparison and Phase 2 design differentiation strategy</w:t>
      </w:r>
    </w:p>
    <w:p>
      <w:r>
        <w:t>Out-of-rating watchouts</w:t>
      </w:r>
    </w:p>
    <w:p>
      <w:pPr>
        <w:pStyle w:val="ListBullet"/>
      </w:pPr>
      <w:r>
        <w:t>FIH reveals unexpected immunogenicity (anti-drug antibodies) that abrogates the long-half-life PK advantage</w:t>
      </w:r>
    </w:p>
    <w:p>
      <w:pPr>
        <w:pStyle w:val="ListBullet"/>
      </w:pPr>
      <w:r>
        <w:t>Vertex files Povetacicept BLA in gMG before GenSci136 reaches Phase 2 — 'BIC' window closes</w:t>
      </w:r>
    </w:p>
    <w:p>
      <w:pPr>
        <w:pStyle w:val="ListBullet"/>
      </w:pPr>
      <w:r>
        <w:t>BCMA-ECD IP conflicts with Povetacicept patents (Vertex/Alpine) — FTO risk could block commercialization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Rating-movement conditions and bottom-line recommendation</w:t>
            </w:r>
          </w:p>
        </w:tc>
      </w:tr>
    </w:tbl>
    <w:p>
      <w:r>
        <w:t>Move to Acquire if:</w:t>
      </w:r>
    </w:p>
    <w:p>
      <w:pPr>
        <w:pStyle w:val="ListBullet"/>
      </w:pPr>
      <w:r>
        <w:t>FDA IND cleared for gMG; Phase Ia safety data shows clean profile with PK confirming ≥Q4W dosing prediction</w:t>
      </w:r>
    </w:p>
    <w:p>
      <w:pPr>
        <w:pStyle w:val="ListBullet"/>
      </w:pPr>
      <w:r>
        <w:t>IP package confirms strong FTO vs Telitacicept/Povetacicept and GenSci136 COM patent is filed/granted</w:t>
      </w:r>
    </w:p>
    <w:p>
      <w:r>
        <w:t>Move to Deprioritize if:</w:t>
      </w:r>
    </w:p>
    <w:p>
      <w:pPr>
        <w:pStyle w:val="ListBullet"/>
      </w:pPr>
      <w:r>
        <w:t>FIH reveals unexpected immunogenicity, safety signals, or PK that fails to support monthly+ dosing</w:t>
      </w:r>
    </w:p>
    <w:p>
      <w:pPr>
        <w:pStyle w:val="ListBullet"/>
      </w:pPr>
      <w:r>
        <w:t>Vertex/Povetacicept achieves gMG approval, sharply reducing the commercial opportunity for GenSci136</w:t>
      </w:r>
    </w:p>
    <w:p>
      <w:r>
        <w:rPr>
          <w:b/>
        </w:rPr>
        <w:t>Bottom line: GenSci136 has the best preclinical APRIL/BAFF profile we have seen — superior to both Telitacicept and Povetacicept. The gMG indication is well-chosen and the exit fit is strong (Vertex paid $4.9B for Povetacicept). FIH stage is the key risk; initiate diligence immediately and gate Acquire on FDA IND clearance and Phase Ia safety data.</w:t>
      </w:r>
    </w:p>
    <w:p>
      <w:r>
        <w:t>Date prepared: 2026-06-22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Panel determination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Panel determination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Key swing factor</w:t>
            </w:r>
          </w:p>
        </w:tc>
      </w:tr>
      <w:tr>
        <w:tc>
          <w:tcPr>
            <w:tcW w:type="dxa" w:w="4320"/>
          </w:tcPr>
          <w:p>
            <w:r>
              <w:t>Prioritize: Tier 2</w:t>
            </w:r>
          </w:p>
        </w:tc>
        <w:tc>
          <w:tcPr>
            <w:tcW w:type="dxa" w:w="4320"/>
          </w:tcPr>
          <w:p>
            <w:r>
              <w:t>FIH human data — Phase Ia safety, PK confirmation of ≥Q4W dosing, and immunogenicity profile are the decisive factors for Acquire upgrade.</w:t>
            </w:r>
          </w:p>
        </w:tc>
      </w:tr>
    </w:tbl>
    <w:p>
      <w:r>
        <w:t>Panel determined Tier 2 Prioritize given compelling BIC preclinical profile and strong gMG exit fit (Vertex/Povetacicept precedent), balanced by FIH-stage risk and space crowding (Telitacicept Phase 3 MRCT, Povetacicept advancing). Asset requires human data before Tier 1 Prioritize.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