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BSI-082 (Biosion) | Asset evaluation report</w:t>
      </w:r>
    </w:p>
    <w:p>
      <w:r>
        <w:t>Anti-SIRPα mAb (pan-allelic, T-cell sparing, Fc-YTE)</w:t>
      </w:r>
    </w:p>
    <w:p>
      <w:r>
        <w:t>Screening view: BSI-082 is a best-in-class pan-allelic anti-SIRPα antagonist mAb in Phase 1 (US IIT), differentiated from Magrolimab and ALX148 by pan-allelic V1/V2/V8 coverage, selective SIRPγ sparing (preserving T-cell immunity), and robust ADC synergy data with Enhertu. The asset fits LSB preferred TAs and modality; the myeloid checkpoint space carries execution risk but BSI-082's mechanistic differentiation earns a Diligence rating.</w:t>
      </w:r>
    </w:p>
    <w:p>
      <w:r>
        <w:t>Lead asset framing: BSI-082 targets SIRPα (signal-regulatory protein α), a myeloid checkpoint receptor. Blockade of the CD47-SIRPα 'don't eat me' axis restores phagocytosis of tumor cells by macrophages without the anemia/thrombocytopenia associated with anti-CD47 (Magrolimab). Lead indications: Gastric/GEJ, CRC, HNSCC — all high unmet need, active pharma M&amp;A areas. Phase 1a dose escalation active in the US (IIT); Phase 1b combo with Enhertu planned.</w:t>
      </w:r>
    </w:p>
    <w:p>
      <w:r>
        <w:t>Why it lands at Diligence: Lands at Diligence: Phase 1 is active with a compelling mechanistic differentiation story (pan-allelic, SIRPγ sparing, ADC booster) that addresses the known failure modes of prior myeloid checkpoint agents. Efficacy data from Phase 1a are not yet available — the thesis is mechanistic + preclinical synergy. Acquisition cost is expected to be modest (China-based company seeking global partners for early-stage asset). LSB should wait for Phase 1a RP2D and early activity signals before moving to Acquire.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Overall rating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Disease fit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Modality fit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Conviction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Recommended posture</w:t>
            </w:r>
          </w:p>
        </w:tc>
      </w:tr>
      <w:tr>
        <w:tc>
          <w:tcPr>
            <w:tcW w:type="dxa" w:w="1728"/>
          </w:tcPr>
          <w:p>
            <w:r>
              <w:t>Diligence</w:t>
            </w:r>
          </w:p>
        </w:tc>
        <w:tc>
          <w:tcPr>
            <w:tcW w:type="dxa" w:w="1728"/>
          </w:tcPr>
          <w:p>
            <w:r>
              <w:t>Preferred</w:t>
            </w:r>
          </w:p>
        </w:tc>
        <w:tc>
          <w:tcPr>
            <w:tcW w:type="dxa" w:w="1728"/>
          </w:tcPr>
          <w:p>
            <w:r>
              <w:t>Preferred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Keep active for focused diligence; do not widen scope yet.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Executive conclusion</w:t>
            </w:r>
          </w:p>
        </w:tc>
      </w:tr>
    </w:tbl>
    <w:p>
      <w:r>
        <w:t>BSI-082 is a mechanistically differentiated anti-SIRPα mAb in active Phase 1 with a credible best-in-class profile (pan-allelic coverage, SIRPγ sparing, ADC synergy). The myeloid checkpoint space has suffered high-profile setbacks (Magrolimab Phase 3 failure) but BSI-082's design addresses the known failure modes. Recommend keeping active for diligence; initiate dialogue with Biosion BD and request Phase 1a data package when Q2 2026 readout is available.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Asset snapshot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Asset code</w:t>
            </w:r>
          </w:p>
        </w:tc>
        <w:tc>
          <w:tcPr>
            <w:tcW w:type="dxa" w:w="4320"/>
          </w:tcPr>
          <w:p>
            <w:r>
              <w:t>LSB02285 / BSI-082</w:t>
            </w:r>
          </w:p>
        </w:tc>
      </w:tr>
      <w:tr>
        <w:tc>
          <w:tcPr>
            <w:tcW w:type="dxa" w:w="4320"/>
          </w:tcPr>
          <w:p>
            <w:r>
              <w:t>Sponsor / source</w:t>
            </w:r>
          </w:p>
        </w:tc>
        <w:tc>
          <w:tcPr>
            <w:tcW w:type="dxa" w:w="4320"/>
          </w:tcPr>
          <w:p>
            <w:r>
              <w:t>Biosion Inc. (Nanjing, China / Newark DE, USA)</w:t>
            </w:r>
          </w:p>
        </w:tc>
      </w:tr>
      <w:tr>
        <w:tc>
          <w:tcPr>
            <w:tcW w:type="dxa" w:w="4320"/>
          </w:tcPr>
          <w:p>
            <w:r>
              <w:t>Mechanism</w:t>
            </w:r>
          </w:p>
        </w:tc>
        <w:tc>
          <w:tcPr>
            <w:tcW w:type="dxa" w:w="4320"/>
          </w:tcPr>
          <w:p>
            <w:r>
              <w:t>Anti-SIRPα antagonist mAb — blocks CD47-SIRPα 'don't eat me' axis; restores macrophage phagocytosis of tumor cells</w:t>
            </w:r>
          </w:p>
        </w:tc>
      </w:tr>
      <w:tr>
        <w:tc>
          <w:tcPr>
            <w:tcW w:type="dxa" w:w="4320"/>
          </w:tcPr>
          <w:p>
            <w:r>
              <w:t>Modality</w:t>
            </w:r>
          </w:p>
        </w:tc>
        <w:tc>
          <w:tcPr>
            <w:tcW w:type="dxa" w:w="4320"/>
          </w:tcPr>
          <w:p>
            <w:r>
              <w:t>mAb (Fc-YTE engineered for extended half-life; pan-allelic V1/V2/V8 SIRPα binding; zero SIRPγ/SIRPβ binding)</w:t>
            </w:r>
          </w:p>
        </w:tc>
      </w:tr>
      <w:tr>
        <w:tc>
          <w:tcPr>
            <w:tcW w:type="dxa" w:w="4320"/>
          </w:tcPr>
          <w:p>
            <w:r>
              <w:t>Lead indication</w:t>
            </w:r>
          </w:p>
        </w:tc>
        <w:tc>
          <w:tcPr>
            <w:tcW w:type="dxa" w:w="4320"/>
          </w:tcPr>
          <w:p>
            <w:r>
              <w:t>Solid tumors: Gastric/GEJ, CRC, HNSCC (3L, post-IO setting)</w:t>
            </w:r>
          </w:p>
        </w:tc>
      </w:tr>
      <w:tr>
        <w:tc>
          <w:tcPr>
            <w:tcW w:type="dxa" w:w="4320"/>
          </w:tcPr>
          <w:p>
            <w:r>
              <w:t>Other indications</w:t>
            </w:r>
          </w:p>
        </w:tc>
        <w:tc>
          <w:tcPr>
            <w:tcW w:type="dxa" w:w="4320"/>
          </w:tcPr>
          <w:p>
            <w:r>
              <w:t>Combinations with ADCs (Enhertu T-DXd), PD-1 inhibitors, ADCC biologics (Rituximab)</w:t>
            </w:r>
          </w:p>
        </w:tc>
      </w:tr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Phase 1 Active (US IIT): 1a dose escalation ongoing (0.3→20 mg/kg, 3+3 design); Phase 1b combo with T-DXd planned 2026-2027</w:t>
            </w:r>
          </w:p>
        </w:tc>
      </w:tr>
      <w:tr>
        <w:tc>
          <w:tcPr>
            <w:tcW w:type="dxa" w:w="4320"/>
          </w:tcPr>
          <w:p>
            <w:r>
              <w:t>Source base</w:t>
            </w:r>
          </w:p>
        </w:tc>
        <w:tc>
          <w:tcPr>
            <w:tcW w:type="dxa" w:w="4320"/>
          </w:tcPr>
          <w:p>
            <w:r>
              <w:t>Biosion Licensing Opportunities deck, May 2026 (non-confidential)</w:t>
            </w:r>
          </w:p>
        </w:tc>
      </w:tr>
      <w:tr>
        <w:tc>
          <w:tcPr>
            <w:tcW w:type="dxa" w:w="4320"/>
          </w:tcPr>
          <w:p>
            <w:r>
              <w:t>Priority fit</w:t>
            </w:r>
          </w:p>
        </w:tc>
        <w:tc>
          <w:tcPr>
            <w:tcW w:type="dxa" w:w="4320"/>
          </w:tcPr>
          <w:p>
            <w:r>
              <w:t>Preferred TA (solid tumors: gastric, CRC, HNSCC) | Preferred modality (mAb) | Phase 1 active</w:t>
            </w:r>
          </w:p>
        </w:tc>
      </w:tr>
      <w:tr>
        <w:tc>
          <w:tcPr>
            <w:tcW w:type="dxa" w:w="4320"/>
          </w:tcPr>
          <w:p>
            <w:r>
              <w:t>Near-term value trigger</w:t>
            </w:r>
          </w:p>
        </w:tc>
        <w:tc>
          <w:tcPr>
            <w:tcW w:type="dxa" w:w="4320"/>
          </w:tcPr>
          <w:p>
            <w:r>
              <w:t>Phase 1a RP2D + preliminary activity data in Gastric/CRC/HNSCC (Q2-Q3 2026); Phase 1b combo initiation with T-DXd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Disease and modality priority fit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supports the rating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still needs to be true</w:t>
            </w:r>
          </w:p>
        </w:tc>
      </w:tr>
      <w:tr>
        <w:tc>
          <w:tcPr>
            <w:tcW w:type="dxa" w:w="2160"/>
          </w:tcPr>
          <w:p>
            <w:r>
              <w:t>Disease priority</w:t>
            </w:r>
          </w:p>
        </w:tc>
        <w:tc>
          <w:tcPr>
            <w:tcW w:type="dxa" w:w="2160"/>
          </w:tcPr>
          <w:p>
            <w:r>
              <w:t>Preferred</w:t>
            </w:r>
          </w:p>
        </w:tc>
        <w:tc>
          <w:tcPr>
            <w:tcW w:type="dxa" w:w="2160"/>
          </w:tcPr>
          <w:p>
            <w:r>
              <w:t>Gastric/GEJ, CRC, HNSCC are explicitly named LSB preferred solid tumor indications; all have active pharma M&amp;A/BD precedent</w:t>
            </w:r>
          </w:p>
        </w:tc>
        <w:tc>
          <w:tcPr>
            <w:tcW w:type="dxa" w:w="2160"/>
          </w:tcPr>
          <w:p>
            <w:r>
              <w:t>Phase 1 activity in ≥1 lead indication to justify Phase 2 investment; biomarker strategy for patient selection</w:t>
            </w:r>
          </w:p>
        </w:tc>
      </w:tr>
      <w:tr>
        <w:tc>
          <w:tcPr>
            <w:tcW w:type="dxa" w:w="2160"/>
          </w:tcPr>
          <w:p>
            <w:r>
              <w:t>Modality priority</w:t>
            </w:r>
          </w:p>
        </w:tc>
        <w:tc>
          <w:tcPr>
            <w:tcW w:type="dxa" w:w="2160"/>
          </w:tcPr>
          <w:p>
            <w:r>
              <w:t>Preferred</w:t>
            </w:r>
          </w:p>
        </w:tc>
        <w:tc>
          <w:tcPr>
            <w:tcW w:type="dxa" w:w="2160"/>
          </w:tcPr>
          <w:p>
            <w:r>
              <w:t>mAb is a core preferred LSB modality; Fc-YTE engineering is established CMC precedent; manufacturability is clear</w:t>
            </w:r>
          </w:p>
        </w:tc>
        <w:tc>
          <w:tcPr>
            <w:tcW w:type="dxa" w:w="2160"/>
          </w:tcPr>
          <w:p>
            <w:r>
              <w:t>Phase 1 PK/PD confirms Fc-YTE half-life extension; no unexpected immunogenicity signals</w:t>
            </w:r>
          </w:p>
        </w:tc>
      </w:tr>
      <w:tr>
        <w:tc>
          <w:tcPr>
            <w:tcW w:type="dxa" w:w="2160"/>
          </w:tcPr>
          <w:p>
            <w:r>
              <w:t>Stage fit</w:t>
            </w:r>
          </w:p>
        </w:tc>
        <w:tc>
          <w:tcPr>
            <w:tcW w:type="dxa" w:w="2160"/>
          </w:tcPr>
          <w:p>
            <w:r>
              <w:t>Preferred</w:t>
            </w:r>
          </w:p>
        </w:tc>
        <w:tc>
          <w:tcPr>
            <w:tcW w:type="dxa" w:w="2160"/>
          </w:tcPr>
          <w:p>
            <w:r>
              <w:t>Phase 1 active (US IIT) — passes LSB stage gate; IND already cleared in US, EU, China (per Biosion portfolio overview)</w:t>
            </w:r>
          </w:p>
        </w:tc>
        <w:tc>
          <w:tcPr>
            <w:tcW w:type="dxa" w:w="2160"/>
          </w:tcPr>
          <w:p>
            <w:r>
              <w:t>Phase 1a readout on schedule (Q2-Q3 2026); no safety signals that stall the program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Selected source evidence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Source page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Decision implication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Screen read</w:t>
            </w:r>
          </w:p>
        </w:tc>
      </w:tr>
      <w:tr>
        <w:tc>
          <w:tcPr>
            <w:tcW w:type="dxa" w:w="2160"/>
          </w:tcPr>
          <w:p>
            <w:r>
              <w:t>Biosion deck p.14</w:t>
            </w:r>
          </w:p>
        </w:tc>
        <w:tc>
          <w:tcPr>
            <w:tcW w:type="dxa" w:w="2160"/>
          </w:tcPr>
          <w:p>
            <w:r>
              <w:t>BSI-082 achieves 0% SIRPγ binding (T-cell sparing) vs. ALX148 and Magrolimab which bind SIRPγ — a key mechanistic differentiator avoiding T-cell suppression</w:t>
            </w:r>
          </w:p>
        </w:tc>
        <w:tc>
          <w:tcPr>
            <w:tcW w:type="dxa" w:w="2160"/>
          </w:tcPr>
          <w:p>
            <w:r>
              <w:t>Addresses primary failure mode of prior SIRPα agents; preclinical combination data with T-DXd shows 69% TGI vs 54% T-DXd alone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Biosion deck p.14</w:t>
            </w:r>
          </w:p>
        </w:tc>
        <w:tc>
          <w:tcPr>
            <w:tcW w:type="dxa" w:w="2160"/>
          </w:tcPr>
          <w:p>
            <w:r>
              <w:t>Pan-allelic V1/V2/V8 coverage (&gt;90% global population) vs. V1/V2-only for ALX148 — meaningful expansion of addressable patient population</w:t>
            </w:r>
          </w:p>
        </w:tc>
        <w:tc>
          <w:tcPr>
            <w:tcW w:type="dxa" w:w="2160"/>
          </w:tcPr>
          <w:p>
            <w:r>
              <w:t>Competitive differentiation is real; most competitor anti-SIRPα agents miss V8 allele prevalent in Asian populations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Biosion deck p.14 (clinical roadmap)</w:t>
            </w:r>
          </w:p>
        </w:tc>
        <w:tc>
          <w:tcPr>
            <w:tcW w:type="dxa" w:w="2160"/>
          </w:tcPr>
          <w:p>
            <w:r>
              <w:t>Phase 1a RP2D expected Q2 2026; Phase 1b combo with T-DXd to follow — no Phase 1a efficacy data available yet in this deck</w:t>
            </w:r>
          </w:p>
        </w:tc>
        <w:tc>
          <w:tcPr>
            <w:tcW w:type="dxa" w:w="2160"/>
          </w:tcPr>
          <w:p>
            <w:r>
              <w:t>Investment thesis is mechanistic at this stage; clinical validation pending. Risk of efficacy disconnect between preclinical ADC synergy and clinical outcome</w:t>
            </w:r>
          </w:p>
        </w:tc>
        <w:tc>
          <w:tcPr>
            <w:tcW w:type="dxa" w:w="2160"/>
          </w:tcPr>
          <w:p>
            <w:r>
              <w:t>Mixed</w:t>
            </w:r>
          </w:p>
        </w:tc>
      </w:tr>
      <w:tr>
        <w:tc>
          <w:tcPr>
            <w:tcW w:type="dxa" w:w="2160"/>
          </w:tcPr>
          <w:p>
            <w:r>
              <w:t>Biosion deck p.2</w:t>
            </w:r>
          </w:p>
        </w:tc>
        <w:tc>
          <w:tcPr>
            <w:tcW w:type="dxa" w:w="2160"/>
          </w:tcPr>
          <w:p>
            <w:r>
              <w:t>Magrolimab (anti-CD47, Gilead) failed Phase 3 in AML (2024) — the anti-CD47-SIRPα axis has had clinical setbacks; SIRPα-specific approach may avoid CD47 issues</w:t>
            </w:r>
          </w:p>
        </w:tc>
        <w:tc>
          <w:tcPr>
            <w:tcW w:type="dxa" w:w="2160"/>
          </w:tcPr>
          <w:p>
            <w:r>
              <w:t>Market skepticism around myeloid checkpoint; LSB must be confident in BSI-082 mechanistic differentiation before committing diligence resources</w:t>
            </w:r>
          </w:p>
        </w:tc>
        <w:tc>
          <w:tcPr>
            <w:tcW w:type="dxa" w:w="2160"/>
          </w:tcPr>
          <w:p>
            <w:r>
              <w:t>Mixed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Regulatory path, commercial framing, and thesis test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Thesis gate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Commentary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Implication</w:t>
            </w:r>
          </w:p>
        </w:tc>
      </w:tr>
      <w:tr>
        <w:tc>
          <w:tcPr>
            <w:tcW w:type="dxa" w:w="2160"/>
          </w:tcPr>
          <w:p>
            <w:r>
              <w:t>Acquisition: Low/no upfront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Biosion is a China-based company actively seeking global licensing partners for Phase 1 assets; upfront likely in single-digit to low-double-digit USD millions range</w:t>
            </w:r>
          </w:p>
        </w:tc>
        <w:tc>
          <w:tcPr>
            <w:tcW w:type="dxa" w:w="2160"/>
          </w:tcPr>
          <w:p>
            <w:r>
              <w:t>Low upfront acquisition cost is achievable; milestone structure will need to cover Phase 1b costs</w:t>
            </w:r>
          </w:p>
        </w:tc>
      </w:tr>
      <w:tr>
        <w:tc>
          <w:tcPr>
            <w:tcW w:type="dxa" w:w="2160"/>
          </w:tcPr>
          <w:p>
            <w:r>
              <w:t>Time to value &lt;= 3-5 years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Phase 1a RP2D 2026 → Phase 1b combo 2026-2027 → Phase 2 PoC 2028-2029 → pharma M&amp;A/BD inflection ~2028-2029 (3-4 years from acquisition)</w:t>
            </w:r>
          </w:p>
        </w:tc>
        <w:tc>
          <w:tcPr>
            <w:tcW w:type="dxa" w:w="2160"/>
          </w:tcPr>
          <w:p>
            <w:r>
              <w:t>Timeline is achievable but depends on Phase 1b initiation without delay; Gastric/CRC M&amp;A precedent supports 2028+ exit</w:t>
            </w:r>
          </w:p>
        </w:tc>
      </w:tr>
      <w:tr>
        <w:tc>
          <w:tcPr>
            <w:tcW w:type="dxa" w:w="2160"/>
          </w:tcPr>
          <w:p>
            <w:r>
              <w:t>Dev cost &lt;= $25M</w:t>
            </w:r>
          </w:p>
        </w:tc>
        <w:tc>
          <w:tcPr>
            <w:tcW w:type="dxa" w:w="2160"/>
          </w:tcPr>
          <w:p>
            <w:r>
              <w:t>Stretched</w:t>
            </w:r>
          </w:p>
        </w:tc>
        <w:tc>
          <w:tcPr>
            <w:tcW w:type="dxa" w:w="2160"/>
          </w:tcPr>
          <w:p>
            <w:r>
              <w:t>Phase 1b combo with T-DXd + Phase 2 in solid tumor indication likely requires $30-50M to first meaningful M&amp;A data point; mAb CMC + combination trials are inherently expensive</w:t>
            </w:r>
          </w:p>
        </w:tc>
        <w:tc>
          <w:tcPr>
            <w:tcW w:type="dxa" w:w="2160"/>
          </w:tcPr>
          <w:p>
            <w:r>
              <w:t>Dev cost may exceed $25M threshold; LSB must model Phase 2 spend carefully and consider partnership to defray costs</w:t>
            </w:r>
          </w:p>
        </w:tc>
      </w:tr>
      <w:tr>
        <w:tc>
          <w:tcPr>
            <w:tcW w:type="dxa" w:w="2160"/>
          </w:tcPr>
          <w:p>
            <w:r>
              <w:t>High POS exit: pharma M&amp;A/BD fit</w:t>
            </w:r>
          </w:p>
        </w:tc>
        <w:tc>
          <w:tcPr>
            <w:tcW w:type="dxa" w:w="2160"/>
          </w:tcPr>
          <w:p>
            <w:r>
              <w:t>On target</w:t>
            </w:r>
          </w:p>
        </w:tc>
        <w:tc>
          <w:tcPr>
            <w:tcW w:type="dxa" w:w="2160"/>
          </w:tcPr>
          <w:p>
            <w:r>
              <w:t>Myeloid checkpoint + ADC combination is an active BD/M&amp;A priority for large pharma (AZ/Daiichi Sankyo, BMS, Pfizer); gastric/CRC/HNSCC targets are active acquisition areas; T-DXd combination could attract Daiichi Sankyo or AZ directly</w:t>
            </w:r>
          </w:p>
        </w:tc>
        <w:tc>
          <w:tcPr>
            <w:tcW w:type="dxa" w:w="2160"/>
          </w:tcPr>
          <w:p>
            <w:r>
              <w:t>Pharma M&amp;A fit is strong IF Phase 1b data shows combination activity; deal would likely be structured as co-development or acquisition of Newco + combination rights</w:t>
            </w:r>
          </w:p>
        </w:tc>
      </w:tr>
    </w:tbl>
    <w:p>
      <w:r>
        <w:t>Best-fit entry indication: 3L HNSCC (post-PD1) — fastest regulatory path, smallest patient population for PoC, strongest unmet need rationale</w:t>
      </w:r>
    </w:p>
    <w:p>
      <w:r>
        <w:t>Differentiation claim: Pan-allelic (V1/V2/V8) SIRPα antagonist with zero SIRPγ binding (T-cell sparing) and confirmed preclinical ADC synergy — the only asset in class to address all three known failure modes of anti-CD47/SIRPα</w:t>
      </w:r>
    </w:p>
    <w:p>
      <w:r>
        <w:t>Most coherent first story: BSI-082 as an ADC force multiplier: combination with T-DXd (Enhertu) in HER2+ or HER2-low Gastric/GEJ, using biomarker-defined patient selection (SIRPα V-allele, CD68+ macrophage infiltration) to establish a clean Phase 2 PoC</w:t>
      </w:r>
    </w:p>
    <w:p>
      <w:r>
        <w:t>What broadening too early would risk: Spreading Phase 1b across too many combination partners (T-DXd + Rituximab + PD-1) simultaneously would dilute the clinical story and delay the single PoC data point needed for BD/M&amp;A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Key risks, diligence questions, and out-of-rating watchouts</w:t>
            </w:r>
          </w:p>
        </w:tc>
      </w:tr>
    </w:tbl>
    <w:p>
      <w:r>
        <w:t>Key risks and unresolved questions</w:t>
      </w:r>
    </w:p>
    <w:p>
      <w:pPr>
        <w:pStyle w:val="ListBullet"/>
      </w:pPr>
      <w:r>
        <w:t>Class risk: myeloid checkpoint has failed at Phase 3 (Magrolimab in AML); market skepticism is high; pharma BD may discount the asset until Phase 2 PoC data</w:t>
      </w:r>
    </w:p>
    <w:p>
      <w:pPr>
        <w:pStyle w:val="ListBullet"/>
      </w:pPr>
      <w:r>
        <w:t>Combination-dependent thesis: BSI-082's value is primarily as a combination booster, not a monotherapy — commercial positioning requires active collaboration with ADC/mAb partner</w:t>
      </w:r>
    </w:p>
    <w:p>
      <w:pPr>
        <w:pStyle w:val="ListBullet"/>
      </w:pPr>
      <w:r>
        <w:t>IP clarity: Patent term and COM patent scope not confirmed in deck; Biosion's China-based IP filing requires validation of ex-China enforceability</w:t>
      </w:r>
    </w:p>
    <w:p>
      <w:pPr>
        <w:pStyle w:val="ListBullet"/>
      </w:pPr>
      <w:r>
        <w:t>China origin manufacturing: CDMO/CMC risk if US-China geopolitical tensions affect supply chain or FDA scrutiny</w:t>
      </w:r>
    </w:p>
    <w:p>
      <w:pPr>
        <w:pStyle w:val="ListBullet"/>
      </w:pPr>
      <w:r>
        <w:t>Phase 1a readout risk: No clinical efficacy data yet; RP2D and preliminary signals needed before LSB can validate the thesis</w:t>
      </w:r>
    </w:p>
    <w:p>
      <w:r>
        <w:t>Priority diligence requests</w:t>
      </w:r>
    </w:p>
    <w:p>
      <w:pPr>
        <w:pStyle w:val="ListBullet"/>
      </w:pPr>
      <w:r>
        <w:t>Phase 1a data package: dose escalation safety data, PK, and any preliminary tumor biomarker/activity signals (expected Q2 2026)</w:t>
      </w:r>
    </w:p>
    <w:p>
      <w:pPr>
        <w:pStyle w:val="ListBullet"/>
      </w:pPr>
      <w:r>
        <w:t>IP diligence: confirm COM patent filing date, countries, expiry date, and freedom-to-operate for ex-China territories</w:t>
      </w:r>
    </w:p>
    <w:p>
      <w:pPr>
        <w:pStyle w:val="ListBullet"/>
      </w:pPr>
      <w:r>
        <w:t>Phase 1b protocol: combo design with T-DXd, patient selection strategy, biomarker plan</w:t>
      </w:r>
    </w:p>
    <w:p>
      <w:pPr>
        <w:pStyle w:val="ListBullet"/>
      </w:pPr>
      <w:r>
        <w:t>Biosion's partnering terms and structures: what global vs. regional rights are available and at what stage of the deal</w:t>
      </w:r>
    </w:p>
    <w:p>
      <w:pPr>
        <w:pStyle w:val="ListBullet"/>
      </w:pPr>
      <w:r>
        <w:t>Competitive landscape update on anti-SIRPα field post-Magrolimab failure (ALX148, BI 770371 status)</w:t>
      </w:r>
    </w:p>
    <w:p>
      <w:r>
        <w:t>Out-of-rating watchouts</w:t>
      </w:r>
    </w:p>
    <w:p>
      <w:pPr>
        <w:pStyle w:val="ListBullet"/>
      </w:pPr>
      <w:r>
        <w:t>If Phase 1a shows dose-limiting hepatotoxicity or cytokine release — class risk materializes; immediate deprioritize</w:t>
      </w:r>
    </w:p>
    <w:p>
      <w:pPr>
        <w:pStyle w:val="ListBullet"/>
      </w:pPr>
      <w:r>
        <w:t>If BSI-082's SIRPγ sparing claim does not translate (immunogenicity against T cells in clinic) — key differentiator lost</w:t>
      </w:r>
    </w:p>
    <w:p>
      <w:pPr>
        <w:pStyle w:val="ListBullet"/>
      </w:pPr>
      <w:r>
        <w:t>AZ acquires the anti-SIRPα space (or Daiichi Sankyo partners with another asset) — reduces BD/M&amp;A exit optionality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Rating-movement conditions and bottom-line recommendation</w:t>
            </w:r>
          </w:p>
        </w:tc>
      </w:tr>
    </w:tbl>
    <w:p>
      <w:r>
        <w:t>Move to Acquire if:</w:t>
      </w:r>
    </w:p>
    <w:p>
      <w:pPr>
        <w:pStyle w:val="ListBullet"/>
      </w:pPr>
      <w:r>
        <w:t>Phase 1a shows favorable PK, confirmed SIRPγ sparing in humans, and preliminary activity signal (DCR or biomarker change) in Gastric or CRC</w:t>
      </w:r>
    </w:p>
    <w:p>
      <w:pPr>
        <w:pStyle w:val="ListBullet"/>
      </w:pPr>
      <w:r>
        <w:t>Phase 1b combo with T-DXd initiated with encouraging early data</w:t>
      </w:r>
    </w:p>
    <w:p>
      <w:r>
        <w:t>Move to Deprioritize if:</w:t>
      </w:r>
    </w:p>
    <w:p>
      <w:pPr>
        <w:pStyle w:val="ListBullet"/>
      </w:pPr>
      <w:r>
        <w:t>Phase 1a reveals unexpected toxicity (hepatotoxicity, thrombocytopenia) or no PD signal</w:t>
      </w:r>
    </w:p>
    <w:p>
      <w:pPr>
        <w:pStyle w:val="ListBullet"/>
      </w:pPr>
      <w:r>
        <w:t>Pharma BD/M&amp;A appetite for anti-SIRPα collapses following additional field failures</w:t>
      </w:r>
    </w:p>
    <w:p>
      <w:r>
        <w:rPr>
          <w:b/>
        </w:rPr>
        <w:t>Bottom line: BSI-082 is a well-differentiated Phase 1 anti-SIRPα mAb with a mechanistically coherent BIC profile. The myeloid checkpoint space carries class risk post-Magrolimab, but BSI-082 directly addresses the failure modes. Keep active for diligence; gate the Acquire decision on Phase 1a clinical readout (Q2-Q3 2026).</w:t>
      </w:r>
    </w:p>
    <w:p>
      <w:r>
        <w:t>Date prepared: 2026-06-22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Panel determination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Panel determination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Key swing factor</w:t>
            </w:r>
          </w:p>
        </w:tc>
      </w:tr>
      <w:tr>
        <w:tc>
          <w:tcPr>
            <w:tcW w:type="dxa" w:w="4320"/>
          </w:tcPr>
          <w:p>
            <w:r>
              <w:t>Prioritize: Tier 2</w:t>
            </w:r>
          </w:p>
        </w:tc>
        <w:tc>
          <w:tcPr>
            <w:tcW w:type="dxa" w:w="4320"/>
          </w:tcPr>
          <w:p>
            <w:r>
              <w:t>Absence of Phase 1a clinical efficacy data — mechanistic thesis is compelling but unvalidated in humans.</w:t>
            </w:r>
          </w:p>
        </w:tc>
      </w:tr>
    </w:tbl>
    <w:p>
      <w:r>
        <w:t>Panel determined Tier 2 Prioritize reflecting strong mechanistic differentiation and preferred TA/modality fit, balanced against the absence of clinical efficacy data and meaningful class risk following Magrolimab's Phase 3 failure. The ADC combination angle (T-DXd synergy) is the most credible near-term inflection 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