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BSI-128 (Biosion) | Asset evaluation report</w:t>
      </w:r>
    </w:p>
    <w:p>
      <w:r>
        <w:t>Anti-HER2 mAb — TOSE epitope, ADC/combo enhancer (Fc-YTE)</w:t>
      </w:r>
    </w:p>
    <w:p>
      <w:r>
        <w:t>Screening view: BSI-128 is a next-generation anti-HER2 mAb targeting a unique TOSE epitope (distinct from trastuzumab and pertuzumab), designed to function as a synergy enhancer for Enhertu (T-DXd) and trastuzumab. Phase 1 ongoing (collaboration with AnkeBio). While HER2+ solid tumors are a preferred LSB TA and mAb is a preferred modality, the commercial path for a 'combination partner' HER2 mAb is complex and the differentiation story depends on clinical combination data that are not yet available.</w:t>
      </w:r>
    </w:p>
    <w:p>
      <w:r>
        <w:t>Lead asset framing: BSI-128 targets the HER2 receptor at the TOSE (Trastuzumab-Optimal-Synergistic-Epitope), a binding site that delivers gain-of-synergy when combined with trastuzumab and Enhertu. The asset is positioned as a 'cornerstone enhancer' for HER2+ and HER2-low tumors (gastric, breast), not as a monotherapy. Preclinical gastric model shows 85% tumor growth inhibition in combination vs 55% for trastuzumab alone; Enhertu combination data cited as superior to standard of care.</w:t>
      </w:r>
    </w:p>
    <w:p>
      <w:r>
        <w:t>Why it lands at Diligence: Lands at Diligence: Phase 1 is ongoing with a differentiated epitope hypothesis, but BSI-128 is fundamentally a combination partner — its commercial value depends on deal structure with the anchor ADC or mAb manufacturer. HER2 is among the most crowded spaces in oncology; the exit thesis requires that a pharma acquirer values BSI-128's synergy profile enough to pay for it. This is possible but requires Phase 1/2 combination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Overall rating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Disease fit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Modality fit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Conviction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Recommended posture</w:t>
            </w:r>
          </w:p>
        </w:tc>
      </w:tr>
      <w:tr>
        <w:tc>
          <w:tcPr>
            <w:tcW w:type="dxa" w:w="1728"/>
          </w:tcPr>
          <w:p>
            <w:r>
              <w:t>Diligence</w:t>
            </w:r>
          </w:p>
        </w:tc>
        <w:tc>
          <w:tcPr>
            <w:tcW w:type="dxa" w:w="1728"/>
          </w:tcPr>
          <w:p>
            <w:r>
              <w:t>Preferred</w:t>
            </w:r>
          </w:p>
        </w:tc>
        <w:tc>
          <w:tcPr>
            <w:tcW w:type="dxa" w:w="1728"/>
          </w:tcPr>
          <w:p>
            <w:r>
              <w:t>Preferred</w:t>
            </w:r>
          </w:p>
        </w:tc>
        <w:tc>
          <w:tcPr>
            <w:tcW w:type="dxa" w:w="1728"/>
          </w:tcPr>
          <w:p>
            <w:r>
              <w:t>Medium-Low</w:t>
            </w:r>
          </w:p>
        </w:tc>
        <w:tc>
          <w:tcPr>
            <w:tcW w:type="dxa" w:w="1728"/>
          </w:tcPr>
          <w:p>
            <w:r>
              <w:t>Keep active for focused diligence; do not widen scope yet.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Executive conclusion</w:t>
            </w:r>
          </w:p>
        </w:tc>
      </w:tr>
    </w:tbl>
    <w:p>
      <w:r>
        <w:t>BSI-128's TOSE epitope differentiation and preclinical synergy with Enhertu are scientifically credible, and Phase 1 is ongoing. The commercial challenge is positioning a combination-partner mAb in an ADC-dominated HER2 landscape. LSB should watch for Phase 1 safety/PK data and early combination signals; defer Acquire decision until Phase 1 data package is available and Biosion's BD structure is clarified.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Asset snapshot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Asset code</w:t>
            </w:r>
          </w:p>
        </w:tc>
        <w:tc>
          <w:tcPr>
            <w:tcW w:type="dxa" w:w="4320"/>
          </w:tcPr>
          <w:p>
            <w:r>
              <w:t>LSB02286 / BSI-128</w:t>
            </w:r>
          </w:p>
        </w:tc>
      </w:tr>
      <w:tr>
        <w:tc>
          <w:tcPr>
            <w:tcW w:type="dxa" w:w="4320"/>
          </w:tcPr>
          <w:p>
            <w:r>
              <w:t>Sponsor / source</w:t>
            </w:r>
          </w:p>
        </w:tc>
        <w:tc>
          <w:tcPr>
            <w:tcW w:type="dxa" w:w="4320"/>
          </w:tcPr>
          <w:p>
            <w:r>
              <w:t>Biosion Inc. (global rights except Greater China, which is partnered with AnkeBio)</w:t>
            </w:r>
          </w:p>
        </w:tc>
      </w:tr>
      <w:tr>
        <w:tc>
          <w:tcPr>
            <w:tcW w:type="dxa" w:w="4320"/>
          </w:tcPr>
          <w:p>
            <w:r>
              <w:t>Mechanism</w:t>
            </w:r>
          </w:p>
        </w:tc>
        <w:tc>
          <w:tcPr>
            <w:tcW w:type="dxa" w:w="4320"/>
          </w:tcPr>
          <w:p>
            <w:r>
              <w:t>Anti-HER2 mAb targeting TOSE (Trastuzumab-Optimal-Synergistic-Epitope) — designed for gain-of-synergy with trastuzumab and ADCs (Enhertu/T-DXd)</w:t>
            </w:r>
          </w:p>
        </w:tc>
      </w:tr>
      <w:tr>
        <w:tc>
          <w:tcPr>
            <w:tcW w:type="dxa" w:w="4320"/>
          </w:tcPr>
          <w:p>
            <w:r>
              <w:t>Modality</w:t>
            </w:r>
          </w:p>
        </w:tc>
        <w:tc>
          <w:tcPr>
            <w:tcW w:type="dxa" w:w="4320"/>
          </w:tcPr>
          <w:p>
            <w:r>
              <w:t>mAb (HER2 antagonist; Fc-YTE half-life extension implied by platform)</w:t>
            </w:r>
          </w:p>
        </w:tc>
      </w:tr>
      <w:tr>
        <w:tc>
          <w:tcPr>
            <w:tcW w:type="dxa" w:w="4320"/>
          </w:tcPr>
          <w:p>
            <w:r>
              <w:t>Lead indication</w:t>
            </w:r>
          </w:p>
        </w:tc>
        <w:tc>
          <w:tcPr>
            <w:tcW w:type="dxa" w:w="4320"/>
          </w:tcPr>
          <w:p>
            <w:r>
              <w:t>HER2+ solid tumors: Gastric/GEJ cancer (lead), HER2+ breast cancer (secondary)</w:t>
            </w:r>
          </w:p>
        </w:tc>
      </w:tr>
      <w:tr>
        <w:tc>
          <w:tcPr>
            <w:tcW w:type="dxa" w:w="4320"/>
          </w:tcPr>
          <w:p>
            <w:r>
              <w:t>Other indications</w:t>
            </w:r>
          </w:p>
        </w:tc>
        <w:tc>
          <w:tcPr>
            <w:tcW w:type="dxa" w:w="4320"/>
          </w:tcPr>
          <w:p>
            <w:r>
              <w:t>HER2-low solid tumors (in combination with Enhertu); potential triple combination with trastuzumab + BSI-128 + Enhertu</w:t>
            </w:r>
          </w:p>
        </w:tc>
      </w:tr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Phase 1 clinical trials ongoing (collaboration with AnkeBio in Greater China); global ex-China rights seeking partner</w:t>
            </w:r>
          </w:p>
        </w:tc>
      </w:tr>
      <w:tr>
        <w:tc>
          <w:tcPr>
            <w:tcW w:type="dxa" w:w="4320"/>
          </w:tcPr>
          <w:p>
            <w:r>
              <w:t>Source base</w:t>
            </w:r>
          </w:p>
        </w:tc>
        <w:tc>
          <w:tcPr>
            <w:tcW w:type="dxa" w:w="4320"/>
          </w:tcPr>
          <w:p>
            <w:r>
              <w:t>Biosion Licensing Opportunities deck, May 2026 (non-confidential); page 16</w:t>
            </w:r>
          </w:p>
        </w:tc>
      </w:tr>
      <w:tr>
        <w:tc>
          <w:tcPr>
            <w:tcW w:type="dxa" w:w="4320"/>
          </w:tcPr>
          <w:p>
            <w:r>
              <w:t>Priority fit</w:t>
            </w:r>
          </w:p>
        </w:tc>
        <w:tc>
          <w:tcPr>
            <w:tcW w:type="dxa" w:w="4320"/>
          </w:tcPr>
          <w:p>
            <w:r>
              <w:t>Preferred TA (HER2+ gastric/breast solid tumors) | Preferred modality (mAb) | Phase 1 ongoing</w:t>
            </w:r>
          </w:p>
        </w:tc>
      </w:tr>
      <w:tr>
        <w:tc>
          <w:tcPr>
            <w:tcW w:type="dxa" w:w="4320"/>
          </w:tcPr>
          <w:p>
            <w:r>
              <w:t>Near-term value trigger</w:t>
            </w:r>
          </w:p>
        </w:tc>
        <w:tc>
          <w:tcPr>
            <w:tcW w:type="dxa" w:w="4320"/>
          </w:tcPr>
          <w:p>
            <w:r>
              <w:t>Phase 1 safety/PK data from AnkeBio collaboration; combination data with Enhertu showing clinical synergy in Gastric/GEJ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Disease and modality priority fit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supports the rating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still needs to be true</w:t>
            </w:r>
          </w:p>
        </w:tc>
      </w:tr>
      <w:tr>
        <w:tc>
          <w:tcPr>
            <w:tcW w:type="dxa" w:w="2160"/>
          </w:tcPr>
          <w:p>
            <w:r>
              <w:t>Disease priority</w:t>
            </w:r>
          </w:p>
        </w:tc>
        <w:tc>
          <w:tcPr>
            <w:tcW w:type="dxa" w:w="2160"/>
          </w:tcPr>
          <w:p>
            <w:r>
              <w:t>Preferred</w:t>
            </w:r>
          </w:p>
        </w:tc>
        <w:tc>
          <w:tcPr>
            <w:tcW w:type="dxa" w:w="2160"/>
          </w:tcPr>
          <w:p>
            <w:r>
              <w:t>Gastric/GEJ and HER2+ breast are core LSB preferred solid tumor indications with active pharma M&amp;A/BD precedent (AZ/Daiichi Sankyo, Roche/Genentech)</w:t>
            </w:r>
          </w:p>
        </w:tc>
        <w:tc>
          <w:tcPr>
            <w:tcW w:type="dxa" w:w="2160"/>
          </w:tcPr>
          <w:p>
            <w:r>
              <w:t>Clinical combination data demonstrating incremental benefit over trastuzumab + Enhertu as a doublet</w:t>
            </w:r>
          </w:p>
        </w:tc>
      </w:tr>
      <w:tr>
        <w:tc>
          <w:tcPr>
            <w:tcW w:type="dxa" w:w="2160"/>
          </w:tcPr>
          <w:p>
            <w:r>
              <w:t>Modality priority</w:t>
            </w:r>
          </w:p>
        </w:tc>
        <w:tc>
          <w:tcPr>
            <w:tcW w:type="dxa" w:w="2160"/>
          </w:tcPr>
          <w:p>
            <w:r>
              <w:t>Preferred</w:t>
            </w:r>
          </w:p>
        </w:tc>
        <w:tc>
          <w:tcPr>
            <w:tcW w:type="dxa" w:w="2160"/>
          </w:tcPr>
          <w:p>
            <w:r>
              <w:t>Anti-HER2 mAb — exactly the class of biologic that large pharma acquires and pairs with their ADC platforms</w:t>
            </w:r>
          </w:p>
        </w:tc>
        <w:tc>
          <w:tcPr>
            <w:tcW w:type="dxa" w:w="2160"/>
          </w:tcPr>
          <w:p>
            <w:r>
              <w:t>Clear CMC and manufacturability path; Phase 1 PK confirms Fc-YTE half-life advantage</w:t>
            </w:r>
          </w:p>
        </w:tc>
      </w:tr>
      <w:tr>
        <w:tc>
          <w:tcPr>
            <w:tcW w:type="dxa" w:w="2160"/>
          </w:tcPr>
          <w:p>
            <w:r>
              <w:t>Stage fit</w:t>
            </w:r>
          </w:p>
        </w:tc>
        <w:tc>
          <w:tcPr>
            <w:tcW w:type="dxa" w:w="2160"/>
          </w:tcPr>
          <w:p>
            <w:r>
              <w:t>Preferred</w:t>
            </w:r>
          </w:p>
        </w:tc>
        <w:tc>
          <w:tcPr>
            <w:tcW w:type="dxa" w:w="2160"/>
          </w:tcPr>
          <w:p>
            <w:r>
              <w:t>Phase 1 ongoing in collaboration with AnkeBio (China); IND is cleared</w:t>
            </w:r>
          </w:p>
        </w:tc>
        <w:tc>
          <w:tcPr>
            <w:tcW w:type="dxa" w:w="2160"/>
          </w:tcPr>
          <w:p>
            <w:r>
              <w:t>Phase 1 clinical data available for review; ex-China Phase 1 or extension planned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Selected source evidence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Source page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Decision implication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Screen read</w:t>
            </w:r>
          </w:p>
        </w:tc>
      </w:tr>
      <w:tr>
        <w:tc>
          <w:tcPr>
            <w:tcW w:type="dxa" w:w="2160"/>
          </w:tcPr>
          <w:p>
            <w:r>
              <w:t>Biosion deck p.16</w:t>
            </w:r>
          </w:p>
        </w:tc>
        <w:tc>
          <w:tcPr>
            <w:tcW w:type="dxa" w:w="2160"/>
          </w:tcPr>
          <w:p>
            <w:r>
              <w:t>BSI-128 + trastuzumab achieves 85% tumor growth inhibition in NCI-N87 gastric model vs 55% for trastuzumab alone; completely eradicates tumors in 6/7 mice</w:t>
            </w:r>
          </w:p>
        </w:tc>
        <w:tc>
          <w:tcPr>
            <w:tcW w:type="dxa" w:w="2160"/>
          </w:tcPr>
          <w:p>
            <w:r>
              <w:t>Strong preclinical synergy signal; epitope complementarity with trastuzumab is mechanistically plausible (non-overlapping binding sites)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Biosion deck p.16</w:t>
            </w:r>
          </w:p>
        </w:tc>
        <w:tc>
          <w:tcPr>
            <w:tcW w:type="dxa" w:w="2160"/>
          </w:tcPr>
          <w:p>
            <w:r>
              <w:t>BSI-128 positions as ADC 'force multiplier' for Enhertu — consistent outperformance vs pertuzumab in combination with trastuzumab</w:t>
            </w:r>
          </w:p>
        </w:tc>
        <w:tc>
          <w:tcPr>
            <w:tcW w:type="dxa" w:w="2160"/>
          </w:tcPr>
          <w:p>
            <w:r>
              <w:t>Enhertu combination is the highest-value commercial positioning; requires data from Daiichi Sankyo or AZ collaboration to validate in clinic</w:t>
            </w:r>
          </w:p>
        </w:tc>
        <w:tc>
          <w:tcPr>
            <w:tcW w:type="dxa" w:w="2160"/>
          </w:tcPr>
          <w:p>
            <w:r>
              <w:t>Mixed</w:t>
            </w:r>
          </w:p>
        </w:tc>
      </w:tr>
      <w:tr>
        <w:tc>
          <w:tcPr>
            <w:tcW w:type="dxa" w:w="2160"/>
          </w:tcPr>
          <w:p>
            <w:r>
              <w:t>Biosion deck p.16</w:t>
            </w:r>
          </w:p>
        </w:tc>
        <w:tc>
          <w:tcPr>
            <w:tcW w:type="dxa" w:w="2160"/>
          </w:tcPr>
          <w:p>
            <w:r>
              <w:t>Phase 1 is ongoing in Greater China (AnkeBio collaboration) — clinical safety/PK data not shared in this non-confidential deck</w:t>
            </w:r>
          </w:p>
        </w:tc>
        <w:tc>
          <w:tcPr>
            <w:tcW w:type="dxa" w:w="2160"/>
          </w:tcPr>
          <w:p>
            <w:r>
              <w:t>Absence of Phase 1 data limits conviction; must request data package under CDA</w:t>
            </w:r>
          </w:p>
        </w:tc>
        <w:tc>
          <w:tcPr>
            <w:tcW w:type="dxa" w:w="2160"/>
          </w:tcPr>
          <w:p>
            <w:r>
              <w:t>Mixed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Regulatory path, commercial framing, and thesis test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Thesis gate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Commentary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Implication</w:t>
            </w:r>
          </w:p>
        </w:tc>
      </w:tr>
      <w:tr>
        <w:tc>
          <w:tcPr>
            <w:tcW w:type="dxa" w:w="2160"/>
          </w:tcPr>
          <w:p>
            <w:r>
              <w:t>Acquisition: Low/no upfront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China-based company seeking global ex-China licensing partner; asset is Phase 1 so upfront payment likely modest (single to low-double-digit USD M)</w:t>
            </w:r>
          </w:p>
        </w:tc>
        <w:tc>
          <w:tcPr>
            <w:tcW w:type="dxa" w:w="2160"/>
          </w:tcPr>
          <w:p>
            <w:r>
              <w:t>Low acquisition cost is achievable; structure must be clear on whether AnkeBio China rights affect global commercial value</w:t>
            </w:r>
          </w:p>
        </w:tc>
      </w:tr>
      <w:tr>
        <w:tc>
          <w:tcPr>
            <w:tcW w:type="dxa" w:w="2160"/>
          </w:tcPr>
          <w:p>
            <w:r>
              <w:t>Time to value &lt;= 3-5 years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Phase 1 ongoing → Phase 2 combination PoC 2027-2028 → BD/M&amp;A inflection 2028-2029 (3-4 years); HER2 space has rapid BD timelines given established platforms</w:t>
            </w:r>
          </w:p>
        </w:tc>
        <w:tc>
          <w:tcPr>
            <w:tcW w:type="dxa" w:w="2160"/>
          </w:tcPr>
          <w:p>
            <w:r>
              <w:t>Timeline is achievable; key dependency is Phase 2 combination data with Enhertu in Gastric/GEJ</w:t>
            </w:r>
          </w:p>
        </w:tc>
      </w:tr>
      <w:tr>
        <w:tc>
          <w:tcPr>
            <w:tcW w:type="dxa" w:w="2160"/>
          </w:tcPr>
          <w:p>
            <w:r>
              <w:t>Dev cost &lt;= $25M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Combination mAb as ADC enhancer: Phase 2 could be lean if piggybacked onto existing Enhertu trials; $15-25M to PoC is plausible if combination trial design is efficient</w:t>
            </w:r>
          </w:p>
        </w:tc>
        <w:tc>
          <w:tcPr>
            <w:tcW w:type="dxa" w:w="2160"/>
          </w:tcPr>
          <w:p>
            <w:r>
              <w:t>Dev cost is within range IF combination is designed as add-on to existing Enhertu standard regimen</w:t>
            </w:r>
          </w:p>
        </w:tc>
      </w:tr>
      <w:tr>
        <w:tc>
          <w:tcPr>
            <w:tcW w:type="dxa" w:w="2160"/>
          </w:tcPr>
          <w:p>
            <w:r>
              <w:t>High POS exit: pharma M&amp;A/BD fit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HER2 is the highest M&amp;A-density space in oncology; AZ/Daiichi Sankyo, Roche, Pfizer, Seagen (Pfizer) all active; anti-HER2 synergy data could attract BD interest from Daiichi Sankyo specifically</w:t>
            </w:r>
          </w:p>
        </w:tc>
        <w:tc>
          <w:tcPr>
            <w:tcW w:type="dxa" w:w="2160"/>
          </w:tcPr>
          <w:p>
            <w:r>
              <w:t>Exit fit is real but depends heavily on having clean Phase 2 combination data; pure preclinical story is not enough for large pharma M&amp;A</w:t>
            </w:r>
          </w:p>
        </w:tc>
      </w:tr>
    </w:tbl>
    <w:p>
      <w:r>
        <w:t>Best-fit entry indication: Gastric/GEJ cancer (HER2+, 2L post-trastuzumab) — fastest regulatory precedent, direct Enhertu combination story, unmet need after trastuzumab progression</w:t>
      </w:r>
    </w:p>
    <w:p>
      <w:r>
        <w:t>Differentiation claim: First mAb targeting the TOSE epitope — a unique HER2 binding site that provides gain-of-synergy with trastuzumab and Enhertu; not another pertuzumab competitor</w:t>
      </w:r>
    </w:p>
    <w:p>
      <w:r>
        <w:t>Most coherent first story: BSI-128 as an Enhertu force multiplier: triplet combination (BSI-128 + trastuzumab + Enhertu) in 2L HER2+ gastric cancer, delivering deep response rates that exceed the trastuzumab + Enhertu doublet</w:t>
      </w:r>
    </w:p>
    <w:p>
      <w:r>
        <w:t>What broadening too early would risk: Attempting to develop BSI-128 as a monotherapy or across multiple HER2-expressing tumors simultaneously would consume resources without generating the combination story needed for M&amp;A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Key risks, diligence questions, and out-of-rating watchouts</w:t>
            </w:r>
          </w:p>
        </w:tc>
      </w:tr>
    </w:tbl>
    <w:p>
      <w:r>
        <w:t>Key risks and unresolved questions</w:t>
      </w:r>
    </w:p>
    <w:p>
      <w:pPr>
        <w:pStyle w:val="ListBullet"/>
      </w:pPr>
      <w:r>
        <w:t>Commercial complexity: HER2 combination partner mAb requires a deal with the ADC manufacturer (Daiichi Sankyo/AZ for Enhertu) — without that partnership, the Phase 2 design and commercial story are difficult</w:t>
      </w:r>
    </w:p>
    <w:p>
      <w:pPr>
        <w:pStyle w:val="ListBullet"/>
      </w:pPr>
      <w:r>
        <w:t>China-China dynamic: Phase 1 is in Greater China (AnkeBio); ex-China clinical data package may be limited; FDA/EMA may require bridging studies</w:t>
      </w:r>
    </w:p>
    <w:p>
      <w:pPr>
        <w:pStyle w:val="ListBullet"/>
      </w:pPr>
      <w:r>
        <w:t>HER2 landscape crowding: Enhertu has reset the standard of care in HER2+ and HER2-low; it is not obvious that pharma will pay a premium for a combination enhancer without large Phase 2 data</w:t>
      </w:r>
    </w:p>
    <w:p>
      <w:pPr>
        <w:pStyle w:val="ListBullet"/>
      </w:pPr>
      <w:r>
        <w:t>IP territory split: AnkeBio holds Greater China rights — LSB would acquire ex-China only; this limits deal size at exit</w:t>
      </w:r>
    </w:p>
    <w:p>
      <w:pPr>
        <w:pStyle w:val="ListBullet"/>
      </w:pPr>
      <w:r>
        <w:t>No Phase 1 data disclosed: clinical safety, PK, and any early activity in humans unknown from public materials</w:t>
      </w:r>
    </w:p>
    <w:p>
      <w:r>
        <w:t>Priority diligence requests</w:t>
      </w:r>
    </w:p>
    <w:p>
      <w:pPr>
        <w:pStyle w:val="ListBullet"/>
      </w:pPr>
      <w:r>
        <w:t>Phase 1 data from AnkeBio collaboration: safety, PK, and any preliminary anti-tumor signals</w:t>
      </w:r>
    </w:p>
    <w:p>
      <w:pPr>
        <w:pStyle w:val="ListBullet"/>
      </w:pPr>
      <w:r>
        <w:t>IP package: COM patent status, coverage territory, expiry date; freedom-to-operate ex-China</w:t>
      </w:r>
    </w:p>
    <w:p>
      <w:pPr>
        <w:pStyle w:val="ListBullet"/>
      </w:pPr>
      <w:r>
        <w:t>BSI-128 + Enhertu preclinical data package: detailed tumor model data, dose schedules, biomarker readouts</w:t>
      </w:r>
    </w:p>
    <w:p>
      <w:pPr>
        <w:pStyle w:val="ListBullet"/>
      </w:pPr>
      <w:r>
        <w:t>Biosion's BD structure: what ex-China rights include (global manufacturing rights, Phase 2 co-development responsibilities, milestone structure)</w:t>
      </w:r>
    </w:p>
    <w:p>
      <w:pPr>
        <w:pStyle w:val="ListBullet"/>
      </w:pPr>
      <w:r>
        <w:t>Competitive analysis: how BSI-128 compares to pertuzumab (Perjeta) + Enhertu triplet being explored by Roche</w:t>
      </w:r>
    </w:p>
    <w:p>
      <w:r>
        <w:t>Out-of-rating watchouts</w:t>
      </w:r>
    </w:p>
    <w:p>
      <w:pPr>
        <w:pStyle w:val="ListBullet"/>
      </w:pPr>
      <w:r>
        <w:t>Phase 1 safety signals (cardiotoxicity, GI toxicity) that complicate the combination story</w:t>
      </w:r>
    </w:p>
    <w:p>
      <w:pPr>
        <w:pStyle w:val="ListBullet"/>
      </w:pPr>
      <w:r>
        <w:t>Roche/Genentech moves on pertuzumab + Enhertu triplet first — would significantly reduce the novelty premium for BSI-128</w:t>
      </w:r>
    </w:p>
    <w:p>
      <w:pPr>
        <w:pStyle w:val="ListBullet"/>
      </w:pPr>
      <w:r>
        <w:t>Daiichi Sankyo declines to partner for combination trial — leaves the Phase 2 design commercially stranded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Rating-movement conditions and bottom-line recommendation</w:t>
            </w:r>
          </w:p>
        </w:tc>
      </w:tr>
    </w:tbl>
    <w:p>
      <w:r>
        <w:t>Move to Acquire if:</w:t>
      </w:r>
    </w:p>
    <w:p>
      <w:pPr>
        <w:pStyle w:val="ListBullet"/>
      </w:pPr>
      <w:r>
        <w:t>Phase 1 data shows clean PK/safety and combination signal in Gastric/GEJ</w:t>
      </w:r>
    </w:p>
    <w:p>
      <w:pPr>
        <w:pStyle w:val="ListBullet"/>
      </w:pPr>
      <w:r>
        <w:t>Daiichi Sankyo or AZ signals interest in BSI-128 combination study</w:t>
      </w:r>
    </w:p>
    <w:p>
      <w:r>
        <w:t>Move to Deprioritize if:</w:t>
      </w:r>
    </w:p>
    <w:p>
      <w:pPr>
        <w:pStyle w:val="ListBullet"/>
      </w:pPr>
      <w:r>
        <w:t>Phase 1 reveals unexpected safety signals or no pharmacodynamic effect</w:t>
      </w:r>
    </w:p>
    <w:p>
      <w:pPr>
        <w:pStyle w:val="ListBullet"/>
      </w:pPr>
      <w:r>
        <w:t>Pertuzumab + Enhertu triplet achieves regulatory approval, eliminating BSI-128's commercial niche</w:t>
      </w:r>
    </w:p>
    <w:p>
      <w:r>
        <w:rPr>
          <w:b/>
        </w:rPr>
        <w:t>Bottom line: BSI-128 is a differentiated HER2 mAb with a novel epitope and credible preclinical combination story. The commercial path requires a combination partnership with Daiichi Sankyo/AZ and Phase 2 data. Diligence rating maintained pending Phase 1 clinical data package from AnkeBio collaboration.</w:t>
      </w:r>
    </w:p>
    <w:p>
      <w:r>
        <w:t>Date prepared: 2026-06-22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Panel determination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Panel determination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Key swing factor</w:t>
            </w:r>
          </w:p>
        </w:tc>
      </w:tr>
      <w:tr>
        <w:tc>
          <w:tcPr>
            <w:tcW w:type="dxa" w:w="4320"/>
          </w:tcPr>
          <w:p>
            <w:r>
              <w:t>Prioritize: Tier 2</w:t>
            </w:r>
          </w:p>
        </w:tc>
        <w:tc>
          <w:tcPr>
            <w:tcW w:type="dxa" w:w="4320"/>
          </w:tcPr>
          <w:p>
            <w:r>
              <w:t>Commercial pathway depends on Daiichi Sankyo/AZ combination partnership — without it, Phase 2 design and exit thesis are stranded.</w:t>
            </w:r>
          </w:p>
        </w:tc>
      </w:tr>
    </w:tbl>
    <w:p>
      <w:r>
        <w:t>Panel determined Tier 2 Prioritize given the preferred TA/modality fit and Phase 1 active status, but tempered by medium-low conviction on the commercial path (combination-dependent positioning in a crowded HER2 space) and the absence of ex-China clinical data. Watch for Phase 1 data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