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Emunkitug (HFB200301) — HiFiBiO Therapeutics | Asset evaluation report</w:t>
      </w:r>
    </w:p>
    <w:p>
      <w:r>
        <w:t>First-in-class TNFR2 agonist mAb (systemic; IV)</w:t>
      </w:r>
    </w:p>
    <w:p>
      <w:r>
        <w:t>Screening view: Emunkitug is a first-in-class TNFR2 agonist mAb with Phase 1a completed in 72 patients across 9 indications; Phase 1b ready. Early signals of disease control in IO-refractory NSCLC (mPFS 10.5+ mo biomarker+), Mesothelioma (ORR 33%), and HNSCC suggest a differentiated immune restoration MoA. All preferred LSB criteria are met — preferred TA, preferred modality, Phase 1 complete — earning a Diligence/Acquire-boundary rating.</w:t>
      </w:r>
    </w:p>
    <w:p>
      <w:r>
        <w:t>Lead asset framing: Emunkitug agonizes TNFR2 on CD8+ tumor-infiltrating lymphocytes (TILs) and NK cells, providing a co-stimulatory signal that restores immune fitness in IO-refractory tumors. The mechanism is distinct from all current checkpoint inhibitors (PD-1, CTLA-4, LAG-3) — instead of releasing a brake, it provides an accelerator for exhausted T cells. Phase 1a safety is well-tolerated (mostly G1-2 TRAEs, no DLTs in 72 patients); combination with PD-1 is combination-ready from regulatory standpoint; PD-1 supply agreements for Phase 1b/2 are in place.</w:t>
      </w:r>
    </w:p>
    <w:p>
      <w:r>
        <w:t>Why it lands at Diligence: Lands at Diligence (approaching Acquire): Phase 1a data package is strong — 72 patients, clean safety, and early activity signals in 3 high-unmet-need post-PD1 indications. The mPFS of 10.5+ months (biomarker+ NSCLC 3L, all prior PD-1) vs 3.3 months for durvalumab comparator is a notable early signal. The key unknown is whether biomarker-defined patient selection will hold in Phase 1b and whether the combo signal translates to larger cohorts. Dev cost at &gt;$25M for Phase 2 is a thesis gate risk.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Overall rating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Disease fit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Modality fit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Conviction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Recommended posture</w:t>
            </w:r>
          </w:p>
        </w:tc>
      </w:tr>
      <w:tr>
        <w:tc>
          <w:tcPr>
            <w:tcW w:type="dxa" w:w="1728"/>
          </w:tcPr>
          <w:p>
            <w:r>
              <w:t>Diligence</w:t>
            </w:r>
          </w:p>
        </w:tc>
        <w:tc>
          <w:tcPr>
            <w:tcW w:type="dxa" w:w="1728"/>
          </w:tcPr>
          <w:p>
            <w:r>
              <w:t>Preferred</w:t>
            </w:r>
          </w:p>
        </w:tc>
        <w:tc>
          <w:tcPr>
            <w:tcW w:type="dxa" w:w="1728"/>
          </w:tcPr>
          <w:p>
            <w:r>
              <w:t>Preferred</w:t>
            </w:r>
          </w:p>
        </w:tc>
        <w:tc>
          <w:tcPr>
            <w:tcW w:type="dxa" w:w="1728"/>
          </w:tcPr>
          <w:p>
            <w:r>
              <w:t>Medium-High</w:t>
            </w:r>
          </w:p>
        </w:tc>
        <w:tc>
          <w:tcPr>
            <w:tcW w:type="dxa" w:w="1728"/>
          </w:tcPr>
          <w:p>
            <w:r>
              <w:t>Keep active for focused diligence; do not widen scope yet.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Executive conclusion</w:t>
            </w:r>
          </w:p>
        </w:tc>
      </w:tr>
    </w:tbl>
    <w:p>
      <w:r>
        <w:t>Emunkitug has a best-in-class Phase 1 dataset for a first-in-class TNFR2 agonist: 72 patients, clean safety, and credible early signals in IO-refractory NSCLC, Mesothelioma, and HNSCC. PD-1 supply agreements for Phase 1b are in place. The thesis gate risk is development cost (&gt;$25M likely for Phase 2) and biomarker validation. LSB should move to active diligence immediately; this asset is on the Acquire boundary.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Asset snapshot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Asset code</w:t>
            </w:r>
          </w:p>
        </w:tc>
        <w:tc>
          <w:tcPr>
            <w:tcW w:type="dxa" w:w="4320"/>
          </w:tcPr>
          <w:p>
            <w:r>
              <w:t>LSB02297 / HFB200301 (Emunkitug)</w:t>
            </w:r>
          </w:p>
        </w:tc>
      </w:tr>
      <w:tr>
        <w:tc>
          <w:tcPr>
            <w:tcW w:type="dxa" w:w="4320"/>
          </w:tcPr>
          <w:p>
            <w:r>
              <w:t>Sponsor / source</w:t>
            </w:r>
          </w:p>
        </w:tc>
        <w:tc>
          <w:tcPr>
            <w:tcW w:type="dxa" w:w="4320"/>
          </w:tcPr>
          <w:p>
            <w:r>
              <w:t>HiFiBiO Therapeutics (Paris/Cambridge-based IO biotech)</w:t>
            </w:r>
          </w:p>
        </w:tc>
      </w:tr>
      <w:tr>
        <w:tc>
          <w:tcPr>
            <w:tcW w:type="dxa" w:w="4320"/>
          </w:tcPr>
          <w:p>
            <w:r>
              <w:t>Mechanism</w:t>
            </w:r>
          </w:p>
        </w:tc>
        <w:tc>
          <w:tcPr>
            <w:tcW w:type="dxa" w:w="4320"/>
          </w:tcPr>
          <w:p>
            <w:r>
              <w:t>TNFR2 agonist mAb — co-stimulates CD8+ TILs and NK cells in the TME; restores immune fitness in IO-refractory tumors; enables PD-1 re-sensitization</w:t>
            </w:r>
          </w:p>
        </w:tc>
      </w:tr>
      <w:tr>
        <w:tc>
          <w:tcPr>
            <w:tcW w:type="dxa" w:w="4320"/>
          </w:tcPr>
          <w:p>
            <w:r>
              <w:t>Modality</w:t>
            </w:r>
          </w:p>
        </w:tc>
        <w:tc>
          <w:tcPr>
            <w:tcW w:type="dxa" w:w="4320"/>
          </w:tcPr>
          <w:p>
            <w:r>
              <w:t>mAb (IV; TNFR2 agonist; monotherapy and combination-ready)</w:t>
            </w:r>
          </w:p>
        </w:tc>
      </w:tr>
      <w:tr>
        <w:tc>
          <w:tcPr>
            <w:tcW w:type="dxa" w:w="4320"/>
          </w:tcPr>
          <w:p>
            <w:r>
              <w:t>Lead indication</w:t>
            </w:r>
          </w:p>
        </w:tc>
        <w:tc>
          <w:tcPr>
            <w:tcW w:type="dxa" w:w="4320"/>
          </w:tcPr>
          <w:p>
            <w:r>
              <w:t>3L NSCLC (post-PD1), 2L/3L Mesothelioma, post-PD1 HNSCC</w:t>
            </w:r>
          </w:p>
        </w:tc>
      </w:tr>
      <w:tr>
        <w:tc>
          <w:tcPr>
            <w:tcW w:type="dxa" w:w="4320"/>
          </w:tcPr>
          <w:p>
            <w:r>
              <w:t>Other indications</w:t>
            </w:r>
          </w:p>
        </w:tc>
        <w:tc>
          <w:tcPr>
            <w:tcW w:type="dxa" w:w="4320"/>
          </w:tcPr>
          <w:p>
            <w:r>
              <w:t>ccRCC (early signals); potential combinations with chemo, ADCs, anti-EGFR (cetuximab)</w:t>
            </w:r>
          </w:p>
        </w:tc>
      </w:tr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Phase 1a completed (72 patients, 9 indications, 4 cohorts mono/combo); Phase 1b ready (PD-1 supply agreements in place with Novartis tislelizumab)</w:t>
            </w:r>
          </w:p>
        </w:tc>
      </w:tr>
      <w:tr>
        <w:tc>
          <w:tcPr>
            <w:tcW w:type="dxa" w:w="4320"/>
          </w:tcPr>
          <w:p>
            <w:r>
              <w:t>Source base</w:t>
            </w:r>
          </w:p>
        </w:tc>
        <w:tc>
          <w:tcPr>
            <w:tcW w:type="dxa" w:w="4320"/>
          </w:tcPr>
          <w:p>
            <w:r>
              <w:t>Emunkitug TNFR2 Agonist Introduction deck, Jan 2026 (non-confidential); HiFiBiO IO pipeline overview</w:t>
            </w:r>
          </w:p>
        </w:tc>
      </w:tr>
      <w:tr>
        <w:tc>
          <w:tcPr>
            <w:tcW w:type="dxa" w:w="4320"/>
          </w:tcPr>
          <w:p>
            <w:r>
              <w:t>Priority fit</w:t>
            </w:r>
          </w:p>
        </w:tc>
        <w:tc>
          <w:tcPr>
            <w:tcW w:type="dxa" w:w="4320"/>
          </w:tcPr>
          <w:p>
            <w:r>
              <w:t>Preferred TA (NSCLC, HNSCC, Mesothelioma — solid tumors, IO-refractory) | Preferred modality (mAb) | Phase 1 complete</w:t>
            </w:r>
          </w:p>
        </w:tc>
      </w:tr>
      <w:tr>
        <w:tc>
          <w:tcPr>
            <w:tcW w:type="dxa" w:w="4320"/>
          </w:tcPr>
          <w:p>
            <w:r>
              <w:t>Near-term value trigger</w:t>
            </w:r>
          </w:p>
        </w:tc>
        <w:tc>
          <w:tcPr>
            <w:tcW w:type="dxa" w:w="4320"/>
          </w:tcPr>
          <w:p>
            <w:r>
              <w:t>Phase 1b expansion cohorts (biomarker+ NSCLC/Mesothelioma) + RP2D confirmation; Phase 2 design and go/no-go decision (2026-2027)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Disease and modality priority fit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supports the rating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still needs to be true</w:t>
            </w:r>
          </w:p>
        </w:tc>
      </w:tr>
      <w:tr>
        <w:tc>
          <w:tcPr>
            <w:tcW w:type="dxa" w:w="2160"/>
          </w:tcPr>
          <w:p>
            <w:r>
              <w:t>Disease priority</w:t>
            </w:r>
          </w:p>
        </w:tc>
        <w:tc>
          <w:tcPr>
            <w:tcW w:type="dxa" w:w="2160"/>
          </w:tcPr>
          <w:p>
            <w:r>
              <w:t>Preferred</w:t>
            </w:r>
          </w:p>
        </w:tc>
        <w:tc>
          <w:tcPr>
            <w:tcW w:type="dxa" w:w="2160"/>
          </w:tcPr>
          <w:p>
            <w:r>
              <w:t>NSCLC, HNSCC, Mesothelioma are core LSB preferred solid tumor indications; IO-refractory positioning has active BD/M&amp;A precedent (Summit/Akeso, BMS, AZ)</w:t>
            </w:r>
          </w:p>
        </w:tc>
        <w:tc>
          <w:tcPr>
            <w:tcW w:type="dxa" w:w="2160"/>
          </w:tcPr>
          <w:p>
            <w:r>
              <w:t>Phase 1b biomarker+ cohort confirms mPFS signal; biomarker (target TBD) validated as selection criterion</w:t>
            </w:r>
          </w:p>
        </w:tc>
      </w:tr>
      <w:tr>
        <w:tc>
          <w:tcPr>
            <w:tcW w:type="dxa" w:w="2160"/>
          </w:tcPr>
          <w:p>
            <w:r>
              <w:t>Modality priority</w:t>
            </w:r>
          </w:p>
        </w:tc>
        <w:tc>
          <w:tcPr>
            <w:tcW w:type="dxa" w:w="2160"/>
          </w:tcPr>
          <w:p>
            <w:r>
              <w:t>Preferred</w:t>
            </w:r>
          </w:p>
        </w:tc>
        <w:tc>
          <w:tcPr>
            <w:tcW w:type="dxa" w:w="2160"/>
          </w:tcPr>
          <w:p>
            <w:r>
              <w:t>mAb is a core LSB preferred modality; TNFR2 agonist is first-in-class — no class toxicity precedent for TNFR2 agonism reduces competitive pressure</w:t>
            </w:r>
          </w:p>
        </w:tc>
        <w:tc>
          <w:tcPr>
            <w:tcW w:type="dxa" w:w="2160"/>
          </w:tcPr>
          <w:p>
            <w:r>
              <w:t>Phase 1b confirms no unexpected hepatotoxicity or cytokine storm (known theoretical risk for TNFR2 agonism in literature)</w:t>
            </w:r>
          </w:p>
        </w:tc>
      </w:tr>
      <w:tr>
        <w:tc>
          <w:tcPr>
            <w:tcW w:type="dxa" w:w="2160"/>
          </w:tcPr>
          <w:p>
            <w:r>
              <w:t>Stage fit</w:t>
            </w:r>
          </w:p>
        </w:tc>
        <w:tc>
          <w:tcPr>
            <w:tcW w:type="dxa" w:w="2160"/>
          </w:tcPr>
          <w:p>
            <w:r>
              <w:t>Preferred</w:t>
            </w:r>
          </w:p>
        </w:tc>
        <w:tc>
          <w:tcPr>
            <w:tcW w:type="dxa" w:w="2160"/>
          </w:tcPr>
          <w:p>
            <w:r>
              <w:t>Phase 1a complete (72 patients, established RP2D); Phase 1b ready with PD-1 supply agreements — strong development execution track record</w:t>
            </w:r>
          </w:p>
        </w:tc>
        <w:tc>
          <w:tcPr>
            <w:tcW w:type="dxa" w:w="2160"/>
          </w:tcPr>
          <w:p>
            <w:r>
              <w:t>Phase 1b initiation on schedule; no regulatory holds or unexpected safety findings in extended Phase 1a cohorts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Selected source evidence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Source page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Decision implication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Screen read</w:t>
            </w:r>
          </w:p>
        </w:tc>
      </w:tr>
      <w:tr>
        <w:tc>
          <w:tcPr>
            <w:tcW w:type="dxa" w:w="2160"/>
          </w:tcPr>
          <w:p>
            <w:r>
              <w:t>Emunkitug deck p.11</w:t>
            </w:r>
          </w:p>
        </w:tc>
        <w:tc>
          <w:tcPr>
            <w:tcW w:type="dxa" w:w="2160"/>
          </w:tcPr>
          <w:p>
            <w:r>
              <w:t>3L NSCLC (biomarker+, n=5): mPFS 10.5+ mo vs durvalumab comparator (ATLANTIC) mPFS 3.3 mo; DCR 80% vs 28.8%; all patients had prior PD-1</w:t>
            </w:r>
          </w:p>
        </w:tc>
        <w:tc>
          <w:tcPr>
            <w:tcW w:type="dxa" w:w="2160"/>
          </w:tcPr>
          <w:p>
            <w:r>
              <w:t>Clinically meaningful improvement in IO-refractory NSCLC; biomarker+ enrichment is key — needs validation in Phase 1b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Emunkitug deck p.14</w:t>
            </w:r>
          </w:p>
        </w:tc>
        <w:tc>
          <w:tcPr>
            <w:tcW w:type="dxa" w:w="2160"/>
          </w:tcPr>
          <w:p>
            <w:r>
              <w:t>2L/3L Mesothelioma (biomarker+, n=2): ORR 50%, DCR 100%, mPFS 9.2 mo vs nivolumab CONFIRM mPFS 3.0 mo; small n but dramatic improvement</w:t>
            </w:r>
          </w:p>
        </w:tc>
        <w:tc>
          <w:tcPr>
            <w:tcW w:type="dxa" w:w="2160"/>
          </w:tcPr>
          <w:p>
            <w:r>
              <w:t>Mesothelioma is the highest-impact rare cancer opportunity; even small Phase 2 could be registrational if mPFS 9+ mo holds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Emunkitug deck p.9</w:t>
            </w:r>
          </w:p>
        </w:tc>
        <w:tc>
          <w:tcPr>
            <w:tcW w:type="dxa" w:w="2160"/>
          </w:tcPr>
          <w:p>
            <w:r>
              <w:t>Phase 1a safety: 72 patients, mostly G1-2 TRAEs, 0 DLTs, G3 TRAEs (amylase, rash) resolved in 6 days; no overlapping toxicity with PD-1</w:t>
            </w:r>
          </w:p>
        </w:tc>
        <w:tc>
          <w:tcPr>
            <w:tcW w:type="dxa" w:w="2160"/>
          </w:tcPr>
          <w:p>
            <w:r>
              <w:t>Clean safety profile enables combination; regulatory path for Phase 1b is clear; no unexpected TNFR2 agonism hepatotoxicity signals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Emunkitug deck p.3</w:t>
            </w:r>
          </w:p>
        </w:tc>
        <w:tc>
          <w:tcPr>
            <w:tcW w:type="dxa" w:w="2160"/>
          </w:tcPr>
          <w:p>
            <w:r>
              <w:t>HiFiBiO pipeline has 6 additional IO programs (BTLA, Gal-9, OX40, CCR8, DDR1, VSIG4) — Emunkitug is the most advanced; pipeline breadth adds company M&amp;A optionality</w:t>
            </w:r>
          </w:p>
        </w:tc>
        <w:tc>
          <w:tcPr>
            <w:tcW w:type="dxa" w:w="2160"/>
          </w:tcPr>
          <w:p>
            <w:r>
              <w:t>Acquiring Emunkitug as a Newco may be complicated if HiFiBiO wants a platform deal; structure of rights must be clarified</w:t>
            </w:r>
          </w:p>
        </w:tc>
        <w:tc>
          <w:tcPr>
            <w:tcW w:type="dxa" w:w="2160"/>
          </w:tcPr>
          <w:p>
            <w:r>
              <w:t>Mixed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Regulatory path, commercial framing, and thesis test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Thesis gate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Commentary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Implication</w:t>
            </w:r>
          </w:p>
        </w:tc>
      </w:tr>
      <w:tr>
        <w:tc>
          <w:tcPr>
            <w:tcW w:type="dxa" w:w="2160"/>
          </w:tcPr>
          <w:p>
            <w:r>
              <w:t>Acquisition: Low/no upfront</w:t>
            </w:r>
          </w:p>
        </w:tc>
        <w:tc>
          <w:tcPr>
            <w:tcW w:type="dxa" w:w="2160"/>
          </w:tcPr>
          <w:p>
            <w:r>
              <w:t>Plausible</w:t>
            </w:r>
          </w:p>
        </w:tc>
        <w:tc>
          <w:tcPr>
            <w:tcW w:type="dxa" w:w="2160"/>
          </w:tcPr>
          <w:p>
            <w:r>
              <w:t>HiFiBiO is a VC-backed IO biotech seeking BD; Phase 1a-complete asset typically commands $5-20M upfront for single-asset deal; single-asset Newco structure is feasible</w:t>
            </w:r>
          </w:p>
        </w:tc>
        <w:tc>
          <w:tcPr>
            <w:tcW w:type="dxa" w:w="2160"/>
          </w:tcPr>
          <w:p>
            <w:r>
              <w:t>LSB's single-asset Newco model is well-suited here; separate Emunkitug from broader HiFiBiO pipeline</w:t>
            </w:r>
          </w:p>
        </w:tc>
      </w:tr>
      <w:tr>
        <w:tc>
          <w:tcPr>
            <w:tcW w:type="dxa" w:w="2160"/>
          </w:tcPr>
          <w:p>
            <w:r>
              <w:t>Time to value &lt;= 3-5 years</w:t>
            </w:r>
          </w:p>
        </w:tc>
        <w:tc>
          <w:tcPr>
            <w:tcW w:type="dxa" w:w="2160"/>
          </w:tcPr>
          <w:p>
            <w:r>
              <w:t>Plausible</w:t>
            </w:r>
          </w:p>
        </w:tc>
        <w:tc>
          <w:tcPr>
            <w:tcW w:type="dxa" w:w="2160"/>
          </w:tcPr>
          <w:p>
            <w:r>
              <w:t>Phase 1b 2026-2027 → Phase 2 PoC 2027-2028 → pharma BD/M&amp;A inflection 2028-2029 (3-4 years); IO-refractory NSCLC/HNSCC M&amp;A timelines can be fast</w:t>
            </w:r>
          </w:p>
        </w:tc>
        <w:tc>
          <w:tcPr>
            <w:tcW w:type="dxa" w:w="2160"/>
          </w:tcPr>
          <w:p>
            <w:r>
              <w:t>Timeline is achievable; Mesothelioma Phase 2 may be fastest to PoC given small patient numbers</w:t>
            </w:r>
          </w:p>
        </w:tc>
      </w:tr>
      <w:tr>
        <w:tc>
          <w:tcPr>
            <w:tcW w:type="dxa" w:w="2160"/>
          </w:tcPr>
          <w:p>
            <w:r>
              <w:t>Dev cost &lt;= $25M</w:t>
            </w:r>
          </w:p>
        </w:tc>
        <w:tc>
          <w:tcPr>
            <w:tcW w:type="dxa" w:w="2160"/>
          </w:tcPr>
          <w:p>
            <w:r>
              <w:t>Stretched</w:t>
            </w:r>
          </w:p>
        </w:tc>
        <w:tc>
          <w:tcPr>
            <w:tcW w:type="dxa" w:w="2160"/>
          </w:tcPr>
          <w:p>
            <w:r>
              <w:t>Phase 1b (multi-indication, combo) + Phase 2 PoC in NSCLC or Mesothelioma likely requires $30-50M; mAb manufacturing + combination supply costs are substantial</w:t>
            </w:r>
          </w:p>
        </w:tc>
        <w:tc>
          <w:tcPr>
            <w:tcW w:type="dxa" w:w="2160"/>
          </w:tcPr>
          <w:p>
            <w:r>
              <w:t>Dev cost likely exceeds $25M; LSB should model Phase 2 spend carefully; Mesothelioma may be most cost-efficient PoC path (smaller trial size)</w:t>
            </w:r>
          </w:p>
        </w:tc>
      </w:tr>
      <w:tr>
        <w:tc>
          <w:tcPr>
            <w:tcW w:type="dxa" w:w="2160"/>
          </w:tcPr>
          <w:p>
            <w:r>
              <w:t>High POS exit: pharma M&amp;A/BD fit</w:t>
            </w:r>
          </w:p>
        </w:tc>
        <w:tc>
          <w:tcPr>
            <w:tcW w:type="dxa" w:w="2160"/>
          </w:tcPr>
          <w:p>
            <w:r>
              <w:t>On target</w:t>
            </w:r>
          </w:p>
        </w:tc>
        <w:tc>
          <w:tcPr>
            <w:tcW w:type="dxa" w:w="2160"/>
          </w:tcPr>
          <w:p>
            <w:r>
              <w:t>First-in-class TNFR2 agonist with Phase 1 data in IO-refractory NSCLC/HNSCC is an active M&amp;A target category; BMS, AZ, MSD, Gilead all active in IO-refractory; HNSCC specifically has had M&amp;A activity</w:t>
            </w:r>
          </w:p>
        </w:tc>
        <w:tc>
          <w:tcPr>
            <w:tcW w:type="dxa" w:w="2160"/>
          </w:tcPr>
          <w:p>
            <w:r>
              <w:t>Exit fit is strong IF Phase 1b biomarker+ data replicates; HNSCC/Mesothelioma are premium M&amp;A indications</w:t>
            </w:r>
          </w:p>
        </w:tc>
      </w:tr>
    </w:tbl>
    <w:p>
      <w:r>
        <w:t>Best-fit entry indication: 3L Mesothelioma (post-PD1) — strongest efficacy signal (ORR 50% biomarker+), rare tumor with regulatory flexibility (small Phase 2 can be registrational), high unmet need, no approved standard-of-care post-PD1</w:t>
      </w:r>
    </w:p>
    <w:p>
      <w:r>
        <w:t>Differentiation claim: Only clinical-stage TNFR2 agonist — provides a fundamentally different immune stimulation mechanism (co-stimulatory accelerator vs checkpoint brake release); enables PD-1 re-sensitization in IO-refractory tumors</w:t>
      </w:r>
    </w:p>
    <w:p>
      <w:r>
        <w:t>Most coherent first story: Emunkitug as a PD-1 re-sensitizer in biomarker-defined IO-refractory Mesothelioma: lean Phase 2 (n~60) with biomarker+ enrichment and Novartis tislelizumab combination, targeting ORR 30%+ and mPFS &gt;6 months</w:t>
      </w:r>
    </w:p>
    <w:p>
      <w:r>
        <w:t>What broadening too early would risk: Running Phase 1b simultaneously in NSCLC, Mesothelioma, and HNSCC without committing to a single registrational path would delay the Phase 2 decision and exhaust capital before PoC is achieved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Key risks, diligence questions, and out-of-rating watchouts</w:t>
            </w:r>
          </w:p>
        </w:tc>
      </w:tr>
    </w:tbl>
    <w:p>
      <w:r>
        <w:t>Key risks and unresolved questions</w:t>
      </w:r>
    </w:p>
    <w:p>
      <w:pPr>
        <w:pStyle w:val="ListBullet"/>
      </w:pPr>
      <w:r>
        <w:t>Biomarker uncertainty: The 'biomarker+' enrichment (nature of biomarker not specified in non-confidential deck) drives the strongest efficacy signals — if the biomarker is not clinically validated, patient selection in Phase 2 is difficult</w:t>
      </w:r>
    </w:p>
    <w:p>
      <w:pPr>
        <w:pStyle w:val="ListBullet"/>
      </w:pPr>
      <w:r>
        <w:t>Small Phase 1a cohort sizes: NSCLC biomarker+ n=5, Mesothelioma biomarker+ n=2 — signals are early and subject to random variation; larger Phase 1b cohorts may not replicate</w:t>
      </w:r>
    </w:p>
    <w:p>
      <w:pPr>
        <w:pStyle w:val="ListBullet"/>
      </w:pPr>
      <w:r>
        <w:t>Development cost: Phase 1b + Phase 2 in combination likely exceeds LSB's $25M threshold — needs cost modeling and potential co-development partnership</w:t>
      </w:r>
    </w:p>
    <w:p>
      <w:pPr>
        <w:pStyle w:val="ListBullet"/>
      </w:pPr>
      <w:r>
        <w:t>TNFR2 theoretical hepatotoxicity: Prior agonistic anti-TNF approaches showed liver toxicity; while Phase 1a shows clean safety, the signal at higher doses or longer duration requires monitoring</w:t>
      </w:r>
    </w:p>
    <w:p>
      <w:pPr>
        <w:pStyle w:val="ListBullet"/>
      </w:pPr>
      <w:r>
        <w:t>HiFiBiO platform deal pressure: HiFiBiO may prefer pipeline-level deals rather than single-asset; LSB Newco structure requires clean asset carve-out</w:t>
      </w:r>
    </w:p>
    <w:p>
      <w:r>
        <w:t>Priority diligence requests</w:t>
      </w:r>
    </w:p>
    <w:p>
      <w:pPr>
        <w:pStyle w:val="ListBullet"/>
      </w:pPr>
      <w:r>
        <w:t>Complete Phase 1a data package: all 72 patients, full safety, PK/PD, dose-response, tumor biomarker data</w:t>
      </w:r>
    </w:p>
    <w:p>
      <w:pPr>
        <w:pStyle w:val="ListBullet"/>
      </w:pPr>
      <w:r>
        <w:t>Biomarker definition: what is 'biomarker+' in the NSCLC and Mesothelioma efficacy data — is it TNFR2 expression, TMB, CD8+ infiltration, or a composite?</w:t>
      </w:r>
    </w:p>
    <w:p>
      <w:pPr>
        <w:pStyle w:val="ListBullet"/>
      </w:pPr>
      <w:r>
        <w:t>Phase 1b protocol and PD-1 supply agreement with Novartis (tislelizumab details, combo design)</w:t>
      </w:r>
    </w:p>
    <w:p>
      <w:pPr>
        <w:pStyle w:val="ListBullet"/>
      </w:pPr>
      <w:r>
        <w:t>IP package: COM patent status, filed/granted, scope (single epitope vs target class), expiry</w:t>
      </w:r>
    </w:p>
    <w:p>
      <w:pPr>
        <w:pStyle w:val="ListBullet"/>
      </w:pPr>
      <w:r>
        <w:t>HiFiBiO's preferred deal structure: is Emunkitug available as single-asset license/acquisition or does HiFiBiO prefer a platform deal?</w:t>
      </w:r>
    </w:p>
    <w:p>
      <w:r>
        <w:t>Out-of-rating watchouts</w:t>
      </w:r>
    </w:p>
    <w:p>
      <w:pPr>
        <w:pStyle w:val="ListBullet"/>
      </w:pPr>
      <w:r>
        <w:t>Phase 1b reveals unexpected hepatotoxicity at RP2D in combination — class risk materializes</w:t>
      </w:r>
    </w:p>
    <w:p>
      <w:pPr>
        <w:pStyle w:val="ListBullet"/>
      </w:pPr>
      <w:r>
        <w:t>Biomarker+ definition proves non-actionable (no validated diagnostic, no IVD partner) — patient selection in Phase 2 becomes impractical</w:t>
      </w:r>
    </w:p>
    <w:p>
      <w:pPr>
        <w:pStyle w:val="ListBullet"/>
      </w:pPr>
      <w:r>
        <w:t>BMS or AZ acquires another TNFR2 program or a competing co-stimulatory mechanism, crowding the exit optionality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Rating-movement conditions and bottom-line recommendation</w:t>
            </w:r>
          </w:p>
        </w:tc>
      </w:tr>
    </w:tbl>
    <w:p>
      <w:r>
        <w:t>Move to Acquire if:</w:t>
      </w:r>
    </w:p>
    <w:p>
      <w:pPr>
        <w:pStyle w:val="ListBullet"/>
      </w:pPr>
      <w:r>
        <w:t>Phase 1b biomarker+ cohort in NSCLC or Mesothelioma confirms mPFS signal (&gt;7 months) with clear biomarker validated for patient selection</w:t>
      </w:r>
    </w:p>
    <w:p>
      <w:pPr>
        <w:pStyle w:val="ListBullet"/>
      </w:pPr>
      <w:r>
        <w:t>HiFiBiO agrees to single-asset Emunkitug license/acquisition structure and IP package is confirmed</w:t>
      </w:r>
    </w:p>
    <w:p>
      <w:r>
        <w:t>Move to Deprioritize if:</w:t>
      </w:r>
    </w:p>
    <w:p>
      <w:pPr>
        <w:pStyle w:val="ListBullet"/>
      </w:pPr>
      <w:r>
        <w:t>Phase 1b shows no activity in biomarker+ cohort, or biomarker definition proves unvalidatable</w:t>
      </w:r>
    </w:p>
    <w:p>
      <w:pPr>
        <w:pStyle w:val="ListBullet"/>
      </w:pPr>
      <w:r>
        <w:t>Unexpected hepatotoxicity or G3+ TNFR2-related toxicity signals emerge at therapeutic doses</w:t>
      </w:r>
    </w:p>
    <w:p>
      <w:r>
        <w:rPr>
          <w:b/>
        </w:rPr>
        <w:t>Bottom line: Emunkitug is the most compelling of the Batch 2 assets: first-in-class TNFR2 agonist with Phase 1a complete, clean safety in 72 patients, and early efficacy signals in IO-refractory NSCLC and Mesothelioma. Move to active diligence immediately; Acquire decision gates on Phase 1b biomarker+ confirmation and IP package.</w:t>
      </w:r>
    </w:p>
    <w:p>
      <w:r>
        <w:t>Date prepared: 2026-06-22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Panel determination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Panel determination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Key swing factor</w:t>
            </w:r>
          </w:p>
        </w:tc>
      </w:tr>
      <w:tr>
        <w:tc>
          <w:tcPr>
            <w:tcW w:type="dxa" w:w="4320"/>
          </w:tcPr>
          <w:p>
            <w:r>
              <w:t>Prioritize</w:t>
            </w:r>
          </w:p>
        </w:tc>
        <w:tc>
          <w:tcPr>
            <w:tcW w:type="dxa" w:w="4320"/>
          </w:tcPr>
          <w:p>
            <w:r>
              <w:t>Biomarker+ enrichment strategy — the Phase 1a efficacy signals are compelling but cohort sizes are small; biomarker validation in Phase 1b is the decisive swing factor.</w:t>
            </w:r>
          </w:p>
        </w:tc>
      </w:tr>
    </w:tbl>
    <w:p>
      <w:r>
        <w:t>Panel Prioritized Emunkitug based on first-in-class TNFR2 agonist differentiation, clean Phase 1a safety in 72 patients, and early signals in 3 high-unmet-need IO-refractory indications. The mPFS data in Mesothelioma (9.2 mo biomarker+) is particularly striking. Biomarker validation is the key open risk before committing capital.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