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VMB-100 | Versameb | Asset evaluation report</w:t>
      </w:r>
    </w:p>
    <w:p>
      <w:r>
        <w:t>mRNA therapeutic (IGF-1) | Asset evaluation report</w:t>
      </w:r>
    </w:p>
    <w:p>
      <w:r>
        <w:t>Screening view: VMB-100 is a clinically-cleared IGF-1 mRNA therapy for stress urinary incontinence with a strong patent estate and a single-injection local-delivery story, but it sits in off-priority urology and is presented as an equity raise rather than an acquirable single asset, which caps its near-term LSB relevance.</w:t>
      </w:r>
    </w:p>
    <w:p>
      <w:r>
        <w:t>Lead asset framing: VMB-100 is Versameb's lead IGF-1 mRNA candidate built on the VERSagile platform, IND-cleared for a Phase 2a single/multiple-ascending-dose study in women with stress urinary incontinence (SUI).</w:t>
      </w:r>
    </w:p>
    <w:p>
      <w:r>
        <w:t>Why it lands at Deprioritize: It lands at Deprioritize because urology/SUI is outside LSB's preferred therapeutic areas and the package shows no human efficacy yet, despite a credible preclinical story, strong IP, and clinical readiness. The deck is also structured as a private equity offering, not a single-asset license with IP transfer, which is a direct mismatch with LSB's acquisition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Overall rating</w:t>
            </w:r>
          </w:p>
        </w:tc>
        <w:tc>
          <w:tcPr>
            <w:tcW w:type="dxa" w:w="1728"/>
          </w:tcPr>
          <w:p>
            <w:r>
              <w:rPr>
                <w:b/>
              </w:rPr>
              <w:t>Disease fit</w:t>
            </w:r>
          </w:p>
        </w:tc>
        <w:tc>
          <w:tcPr>
            <w:tcW w:type="dxa" w:w="1728"/>
          </w:tcPr>
          <w:p>
            <w:r>
              <w:rPr>
                <w:b/>
              </w:rPr>
              <w:t>Modality fit</w:t>
            </w:r>
          </w:p>
        </w:tc>
        <w:tc>
          <w:tcPr>
            <w:tcW w:type="dxa" w:w="1728"/>
          </w:tcPr>
          <w:p>
            <w:r>
              <w:rPr>
                <w:b/>
              </w:rPr>
              <w:t>Conviction</w:t>
            </w:r>
          </w:p>
        </w:tc>
        <w:tc>
          <w:tcPr>
            <w:tcW w:type="dxa" w:w="1728"/>
          </w:tcPr>
          <w:p>
            <w:r>
              <w:rPr>
                <w:b/>
              </w:rPr>
              <w:t>Recommended posture</w:t>
            </w:r>
          </w:p>
        </w:tc>
      </w:tr>
      <w:tr>
        <w:tc>
          <w:tcPr>
            <w:tcW w:type="dxa" w:w="1728"/>
          </w:tcPr>
          <w:p>
            <w:r>
              <w:t>Deprioritize</w:t>
            </w:r>
          </w:p>
        </w:tc>
        <w:tc>
          <w:tcPr>
            <w:tcW w:type="dxa" w:w="1728"/>
          </w:tcPr>
          <w:p>
            <w:r>
              <w:t>Off-priority</w:t>
            </w:r>
          </w:p>
        </w:tc>
        <w:tc>
          <w:tcPr>
            <w:tcW w:type="dxa" w:w="1728"/>
          </w:tcPr>
          <w:p>
            <w:r>
              <w:t>Workable</w:t>
            </w:r>
          </w:p>
        </w:tc>
        <w:tc>
          <w:tcPr>
            <w:tcW w:type="dxa" w:w="1728"/>
          </w:tcPr>
          <w:p>
            <w:r>
              <w:t>Low</w:t>
            </w:r>
          </w:p>
        </w:tc>
        <w:tc>
          <w:tcPr>
            <w:tcW w:type="dxa" w:w="1728"/>
          </w:tcPr>
          <w:p>
            <w:r>
              <w:t>Watch-list only; revisit if offered as a standalone license in a priority indication.</w:t>
            </w:r>
          </w:p>
        </w:tc>
      </w:tr>
    </w:tbl>
    <w:tbl>
      <w:tblPr>
        <w:tblStyle w:val="TableGrid"/>
        <w:tblW w:type="auto" w:w="0"/>
        <w:tblLook w:firstColumn="1" w:firstRow="1" w:lastColumn="0" w:lastRow="0" w:noHBand="0" w:noVBand="1" w:val="04A0"/>
      </w:tblPr>
      <w:tblGrid>
        <w:gridCol w:w="8640"/>
      </w:tblGrid>
      <w:tr>
        <w:tc>
          <w:tcPr>
            <w:tcW w:type="dxa" w:w="8640"/>
          </w:tcPr>
          <w:p>
            <w:r>
              <w:rPr>
                <w:b/>
                <w:sz w:val="24"/>
              </w:rPr>
              <w:t>Executive conclusion</w:t>
            </w:r>
          </w:p>
        </w:tc>
      </w:tr>
    </w:tbl>
    <w:p>
      <w:r>
        <w:t>Versameb's VMB-100 is a mechanistically coherent, clinically-cleared mRNA asset with an unusually strong IP position (8 families, coverage to 2042-2044, extensions toward 2050-2053) and a differentiated single-dose local-delivery profile. However, the lead indication (SUI/urology) is off-priority for LSB, there is no human efficacy data yet (Phase 2a only now initiating), and the materials describe a 5+10 mCHF equity raise rather than an asset available for full acquisition with IP transfer. On the current screen it is a Deprioritize.</w:t>
      </w:r>
    </w:p>
    <w:tbl>
      <w:tblPr>
        <w:tblStyle w:val="TableGrid"/>
        <w:tblW w:type="auto" w:w="0"/>
        <w:tblLook w:firstColumn="1" w:firstRow="1" w:lastColumn="0" w:lastRow="0" w:noHBand="0" w:noVBand="1" w:val="04A0"/>
      </w:tblPr>
      <w:tblGrid>
        <w:gridCol w:w="8640"/>
      </w:tblGrid>
      <w:tr>
        <w:tc>
          <w:tcPr>
            <w:tcW w:type="dxa" w:w="8640"/>
          </w:tcPr>
          <w:p>
            <w:r>
              <w:rPr>
                <w:b/>
                <w:sz w:val="24"/>
              </w:rPr>
              <w:t>Asset snapshot</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Asset code</w:t>
            </w:r>
          </w:p>
        </w:tc>
        <w:tc>
          <w:tcPr>
            <w:tcW w:type="dxa" w:w="4320"/>
          </w:tcPr>
          <w:p>
            <w:r>
              <w:t>VMB-100</w:t>
            </w:r>
          </w:p>
        </w:tc>
      </w:tr>
      <w:tr>
        <w:tc>
          <w:tcPr>
            <w:tcW w:type="dxa" w:w="4320"/>
          </w:tcPr>
          <w:p>
            <w:r>
              <w:t>Sponsor / source</w:t>
            </w:r>
          </w:p>
        </w:tc>
        <w:tc>
          <w:tcPr>
            <w:tcW w:type="dxa" w:w="4320"/>
          </w:tcPr>
          <w:p>
            <w:r>
              <w:t>Versameb Ltd.</w:t>
            </w:r>
          </w:p>
        </w:tc>
      </w:tr>
      <w:tr>
        <w:tc>
          <w:tcPr>
            <w:tcW w:type="dxa" w:w="4320"/>
          </w:tcPr>
          <w:p>
            <w:r>
              <w:t>Mechanism</w:t>
            </w:r>
          </w:p>
        </w:tc>
        <w:tc>
          <w:tcPr>
            <w:tcW w:type="dxa" w:w="4320"/>
          </w:tcPr>
          <w:p>
            <w:r>
              <w:t>Locally injected IGF-1 mRNA driving sustained IGF-1 expression and urinary sphincter muscle regeneration (VERSagile platform)</w:t>
            </w:r>
          </w:p>
        </w:tc>
      </w:tr>
      <w:tr>
        <w:tc>
          <w:tcPr>
            <w:tcW w:type="dxa" w:w="4320"/>
          </w:tcPr>
          <w:p>
            <w:r>
              <w:t>Modality</w:t>
            </w:r>
          </w:p>
        </w:tc>
        <w:tc>
          <w:tcPr>
            <w:tcW w:type="dxa" w:w="4320"/>
          </w:tcPr>
          <w:p>
            <w:r>
              <w:t>mRNA therapeutic</w:t>
            </w:r>
          </w:p>
        </w:tc>
      </w:tr>
      <w:tr>
        <w:tc>
          <w:tcPr>
            <w:tcW w:type="dxa" w:w="4320"/>
          </w:tcPr>
          <w:p>
            <w:r>
              <w:t>Lead indication</w:t>
            </w:r>
          </w:p>
        </w:tc>
        <w:tc>
          <w:tcPr>
            <w:tcW w:type="dxa" w:w="4320"/>
          </w:tcPr>
          <w:p>
            <w:r>
              <w:t>Stress urinary incontinence (SUI) in women</w:t>
            </w:r>
          </w:p>
        </w:tc>
      </w:tr>
      <w:tr>
        <w:tc>
          <w:tcPr>
            <w:tcW w:type="dxa" w:w="4320"/>
          </w:tcPr>
          <w:p>
            <w:r>
              <w:t>Other indications</w:t>
            </w:r>
          </w:p>
        </w:tc>
        <w:tc>
          <w:tcPr>
            <w:tcW w:type="dxa" w:w="4320"/>
          </w:tcPr>
          <w:p>
            <w:r>
              <w:t>Orthopedics (VMB-039, disc degeneration); Oncology (VMB-614, p53/MDM2 &amp; KRAS/CRAF); Rare disease/FOP (VMB-604) - all discovery/preclinical</w:t>
            </w:r>
          </w:p>
        </w:tc>
      </w:tr>
      <w:tr>
        <w:tc>
          <w:tcPr>
            <w:tcW w:type="dxa" w:w="4320"/>
          </w:tcPr>
          <w:p>
            <w:r>
              <w:t>Stage</w:t>
            </w:r>
          </w:p>
        </w:tc>
        <w:tc>
          <w:tcPr>
            <w:tcW w:type="dxa" w:w="4320"/>
          </w:tcPr>
          <w:p>
            <w:r>
              <w:t>VMB-100 IND cleared (2H 2023); Phase 2a (SAD/MAD, N=30) initiating per deck</w:t>
            </w:r>
          </w:p>
        </w:tc>
      </w:tr>
      <w:tr>
        <w:tc>
          <w:tcPr>
            <w:tcW w:type="dxa" w:w="4320"/>
          </w:tcPr>
          <w:p>
            <w:r>
              <w:t>Source base</w:t>
            </w:r>
          </w:p>
        </w:tc>
        <w:tc>
          <w:tcPr>
            <w:tcW w:type="dxa" w:w="4320"/>
          </w:tcPr>
          <w:p>
            <w:r>
              <w:t>Versameb non-confidential deck, May 2026 (24 slides)</w:t>
            </w:r>
          </w:p>
        </w:tc>
      </w:tr>
      <w:tr>
        <w:tc>
          <w:tcPr>
            <w:tcW w:type="dxa" w:w="4320"/>
          </w:tcPr>
          <w:p>
            <w:r>
              <w:t>Priority fit</w:t>
            </w:r>
          </w:p>
        </w:tc>
        <w:tc>
          <w:tcPr>
            <w:tcW w:type="dxa" w:w="4320"/>
          </w:tcPr>
          <w:p>
            <w:r>
              <w:t>Off-priority disease (urology) / workable RNA modality</w:t>
            </w:r>
          </w:p>
        </w:tc>
      </w:tr>
      <w:tr>
        <w:tc>
          <w:tcPr>
            <w:tcW w:type="dxa" w:w="4320"/>
          </w:tcPr>
          <w:p>
            <w:r>
              <w:t>Near-term value trigger</w:t>
            </w:r>
          </w:p>
        </w:tc>
        <w:tc>
          <w:tcPr>
            <w:tcW w:type="dxa" w:w="4320"/>
          </w:tcPr>
          <w:p>
            <w:r>
              <w:t>Versameb offers VMB-100 as a standalone acquisition/license in a priority indication, or Phase 2a delivers human efficacy.</w:t>
            </w:r>
          </w:p>
        </w:tc>
      </w:tr>
    </w:tbl>
    <w:tbl>
      <w:tblPr>
        <w:tblStyle w:val="TableGrid"/>
        <w:tblW w:type="auto" w:w="0"/>
        <w:tblLook w:firstColumn="1" w:firstRow="1" w:lastColumn="0" w:lastRow="0" w:noHBand="0" w:noVBand="1" w:val="04A0"/>
      </w:tblPr>
      <w:tblGrid>
        <w:gridCol w:w="8640"/>
      </w:tblGrid>
      <w:tr>
        <w:tc>
          <w:tcPr>
            <w:tcW w:type="dxa" w:w="8640"/>
          </w:tcPr>
          <w:p>
            <w:r>
              <w:rPr>
                <w:b/>
                <w:sz w:val="24"/>
              </w:rPr>
              <w:t>Disease and modality priority fit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Rating</w:t>
            </w:r>
          </w:p>
        </w:tc>
        <w:tc>
          <w:tcPr>
            <w:tcW w:type="dxa" w:w="2160"/>
          </w:tcPr>
          <w:p>
            <w:r>
              <w:rPr>
                <w:b/>
              </w:rPr>
              <w:t>What supports the rating</w:t>
            </w:r>
          </w:p>
        </w:tc>
        <w:tc>
          <w:tcPr>
            <w:tcW w:type="dxa" w:w="2160"/>
          </w:tcPr>
          <w:p>
            <w:r>
              <w:rPr>
                <w:b/>
              </w:rPr>
              <w:t>What still needs to be true</w:t>
            </w:r>
          </w:p>
        </w:tc>
      </w:tr>
      <w:tr>
        <w:tc>
          <w:tcPr>
            <w:tcW w:type="dxa" w:w="2160"/>
          </w:tcPr>
          <w:p>
            <w:r>
              <w:t>Disease priority</w:t>
            </w:r>
          </w:p>
        </w:tc>
        <w:tc>
          <w:tcPr>
            <w:tcW w:type="dxa" w:w="2160"/>
          </w:tcPr>
          <w:p>
            <w:r>
              <w:t>Off-priority</w:t>
            </w:r>
          </w:p>
        </w:tc>
        <w:tc>
          <w:tcPr>
            <w:tcW w:type="dxa" w:w="2160"/>
          </w:tcPr>
          <w:p>
            <w:r>
              <w:t>SUI is a large, underserved market with no approved drug, but urology is not among LSB's preferred TAs (I&amp;I, oncology, neuro, pulmonary/fibrosis, metabolic, rare).</w:t>
            </w:r>
          </w:p>
        </w:tc>
        <w:tc>
          <w:tcPr>
            <w:tcW w:type="dxa" w:w="2160"/>
          </w:tcPr>
          <w:p>
            <w:r>
              <w:t>LSB would need to broaden into urology, or Versameb would need to lead with a priority-TA indication (e.g. a rare-disease or oncology program).</w:t>
            </w:r>
          </w:p>
        </w:tc>
      </w:tr>
      <w:tr>
        <w:tc>
          <w:tcPr>
            <w:tcW w:type="dxa" w:w="2160"/>
          </w:tcPr>
          <w:p>
            <w:r>
              <w:t>Modality priority</w:t>
            </w:r>
          </w:p>
        </w:tc>
        <w:tc>
          <w:tcPr>
            <w:tcW w:type="dxa" w:w="2160"/>
          </w:tcPr>
          <w:p>
            <w:r>
              <w:t>Workable</w:t>
            </w:r>
          </w:p>
        </w:tc>
        <w:tc>
          <w:tcPr>
            <w:tcW w:type="dxa" w:w="2160"/>
          </w:tcPr>
          <w:p>
            <w:r>
              <w:t>mRNA with local intramuscular delivery and claimed high-yield synthetic production is a workable modality with a plausible CMC path.</w:t>
            </w:r>
          </w:p>
        </w:tc>
        <w:tc>
          <w:tcPr>
            <w:tcW w:type="dxa" w:w="2160"/>
          </w:tcPr>
          <w:p>
            <w:r>
              <w:t>Manufacturing, durability of single-dose effect, and immunogenicity must hold up in humans at therapeutic exposures.</w:t>
            </w:r>
          </w:p>
        </w:tc>
      </w:tr>
      <w:tr>
        <w:tc>
          <w:tcPr>
            <w:tcW w:type="dxa" w:w="2160"/>
          </w:tcPr>
          <w:p>
            <w:r>
              <w:t>Availability / deal structure</w:t>
            </w:r>
          </w:p>
        </w:tc>
        <w:tc>
          <w:tcPr>
            <w:tcW w:type="dxa" w:w="2160"/>
          </w:tcPr>
          <w:p>
            <w:r>
              <w:t>Misfit</w:t>
            </w:r>
          </w:p>
        </w:tc>
        <w:tc>
          <w:tcPr>
            <w:tcW w:type="dxa" w:w="2160"/>
          </w:tcPr>
          <w:p>
            <w:r>
              <w:t>Materials describe a 5+10 mCHF private equity offering to fund Versameb's own Phase 2a, not a single-asset license with IP transfer to a Newco.</w:t>
            </w:r>
          </w:p>
        </w:tc>
        <w:tc>
          <w:tcPr>
            <w:tcW w:type="dxa" w:w="2160"/>
          </w:tcPr>
          <w:p>
            <w:r>
              <w:t>Versameb must be willing to divest/license VMB-100 as a standalone asset on low/no-upfront terms.</w:t>
            </w:r>
          </w:p>
        </w:tc>
      </w:tr>
    </w:tbl>
    <w:tbl>
      <w:tblPr>
        <w:tblStyle w:val="TableGrid"/>
        <w:tblW w:type="auto" w:w="0"/>
        <w:tblLook w:firstColumn="1" w:firstRow="1" w:lastColumn="0" w:lastRow="0" w:noHBand="0" w:noVBand="1" w:val="04A0"/>
      </w:tblPr>
      <w:tblGrid>
        <w:gridCol w:w="8640"/>
      </w:tblGrid>
      <w:tr>
        <w:tc>
          <w:tcPr>
            <w:tcW w:type="dxa" w:w="8640"/>
          </w:tcPr>
          <w:p>
            <w:r>
              <w:rPr>
                <w:b/>
                <w:sz w:val="24"/>
              </w:rPr>
              <w:t>Selected source evidence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Source page</w:t>
            </w:r>
          </w:p>
        </w:tc>
        <w:tc>
          <w:tcPr>
            <w:tcW w:type="dxa" w:w="2160"/>
          </w:tcPr>
          <w:p>
            <w:r>
              <w:rPr>
                <w:b/>
              </w:rPr>
              <w:t>Signal</w:t>
            </w:r>
          </w:p>
        </w:tc>
        <w:tc>
          <w:tcPr>
            <w:tcW w:type="dxa" w:w="2160"/>
          </w:tcPr>
          <w:p>
            <w:r>
              <w:rPr>
                <w:b/>
              </w:rPr>
              <w:t>Decision implication</w:t>
            </w:r>
          </w:p>
        </w:tc>
        <w:tc>
          <w:tcPr>
            <w:tcW w:type="dxa" w:w="2160"/>
          </w:tcPr>
          <w:p>
            <w:r>
              <w:rPr>
                <w:b/>
              </w:rPr>
              <w:t>Screen read</w:t>
            </w:r>
          </w:p>
        </w:tc>
      </w:tr>
      <w:tr>
        <w:tc>
          <w:tcPr>
            <w:tcW w:type="dxa" w:w="2160"/>
          </w:tcPr>
          <w:p>
            <w:r>
              <w:t>Versameb deck p.11</w:t>
            </w:r>
          </w:p>
        </w:tc>
        <w:tc>
          <w:tcPr>
            <w:tcW w:type="dxa" w:w="2160"/>
          </w:tcPr>
          <w:p>
            <w:r>
              <w:t>Pipeline shows VMB-100 IND-cleared with Phase 2a initiation in SUI; other programs (ortho, onc, rare) are discovery/preclinical with INDs targeted 2026.</w:t>
            </w:r>
          </w:p>
        </w:tc>
        <w:tc>
          <w:tcPr>
            <w:tcW w:type="dxa" w:w="2160"/>
          </w:tcPr>
          <w:p>
            <w:r>
              <w:t>Only VMB-100 is clinical-stage; the rest do not yet meet LSB stage criteria.</w:t>
            </w:r>
          </w:p>
        </w:tc>
        <w:tc>
          <w:tcPr>
            <w:tcW w:type="dxa" w:w="2160"/>
          </w:tcPr>
          <w:p>
            <w:r>
              <w:t>Mixed</w:t>
            </w:r>
          </w:p>
        </w:tc>
      </w:tr>
      <w:tr>
        <w:tc>
          <w:tcPr>
            <w:tcW w:type="dxa" w:w="2160"/>
          </w:tcPr>
          <w:p>
            <w:r>
              <w:t>Versameb deck pp.15-16</w:t>
            </w:r>
          </w:p>
        </w:tc>
        <w:tc>
          <w:tcPr>
            <w:tcW w:type="dxa" w:w="2160"/>
          </w:tcPr>
          <w:p>
            <w:r>
              <w:t>In a rodent SUI model, single-dose VMB-100 restored leak-point pressure and regenerated sphincter muscle, reportedly outperforming duloxetine.</w:t>
            </w:r>
          </w:p>
        </w:tc>
        <w:tc>
          <w:tcPr>
            <w:tcW w:type="dxa" w:w="2160"/>
          </w:tcPr>
          <w:p>
            <w:r>
              <w:t>Provides a coherent preclinical efficacy rationale but no human data.</w:t>
            </w:r>
          </w:p>
        </w:tc>
        <w:tc>
          <w:tcPr>
            <w:tcW w:type="dxa" w:w="2160"/>
          </w:tcPr>
          <w:p>
            <w:r>
              <w:t>Positive</w:t>
            </w:r>
          </w:p>
        </w:tc>
      </w:tr>
      <w:tr>
        <w:tc>
          <w:tcPr>
            <w:tcW w:type="dxa" w:w="2160"/>
          </w:tcPr>
          <w:p>
            <w:r>
              <w:t>Versameb deck p.17</w:t>
            </w:r>
          </w:p>
        </w:tc>
        <w:tc>
          <w:tcPr>
            <w:tcW w:type="dxa" w:w="2160"/>
          </w:tcPr>
          <w:p>
            <w:r>
              <w:t>FDA IND cleared; Phase 2a is a 30-patient SAD/MAD safety study, efficacy only as secondary endpoints, 21-24 month duration.</w:t>
            </w:r>
          </w:p>
        </w:tc>
        <w:tc>
          <w:tcPr>
            <w:tcW w:type="dxa" w:w="2160"/>
          </w:tcPr>
          <w:p>
            <w:r>
              <w:t>Regulatory readiness is real, but a value-informing efficacy readout is years out and not the primary endpoint.</w:t>
            </w:r>
          </w:p>
        </w:tc>
        <w:tc>
          <w:tcPr>
            <w:tcW w:type="dxa" w:w="2160"/>
          </w:tcPr>
          <w:p>
            <w:r>
              <w:t>Mixed</w:t>
            </w:r>
          </w:p>
        </w:tc>
      </w:tr>
      <w:tr>
        <w:tc>
          <w:tcPr>
            <w:tcW w:type="dxa" w:w="2160"/>
          </w:tcPr>
          <w:p>
            <w:r>
              <w:t>Versameb deck p.27</w:t>
            </w:r>
          </w:p>
        </w:tc>
        <w:tc>
          <w:tcPr>
            <w:tcW w:type="dxa" w:w="2160"/>
          </w:tcPr>
          <w:p>
            <w:r>
              <w:t>8 patent families across 3 platforms, COM + methods, coverage to 2042-2044 with expected extension to 2050-2053, managed by Wilson Sonsini.</w:t>
            </w:r>
          </w:p>
        </w:tc>
        <w:tc>
          <w:tcPr>
            <w:tcW w:type="dxa" w:w="2160"/>
          </w:tcPr>
          <w:p>
            <w:r>
              <w:t>Strong, durable IP that comfortably clears the 10-year runway and COM pre-screen filters.</w:t>
            </w:r>
          </w:p>
        </w:tc>
        <w:tc>
          <w:tcPr>
            <w:tcW w:type="dxa" w:w="2160"/>
          </w:tcPr>
          <w:p>
            <w:r>
              <w:t>Positive</w:t>
            </w:r>
          </w:p>
        </w:tc>
      </w:tr>
      <w:tr>
        <w:tc>
          <w:tcPr>
            <w:tcW w:type="dxa" w:w="2160"/>
          </w:tcPr>
          <w:p>
            <w:r>
              <w:t>Versameb deck p.28</w:t>
            </w:r>
          </w:p>
        </w:tc>
        <w:tc>
          <w:tcPr>
            <w:tcW w:type="dxa" w:w="2160"/>
          </w:tcPr>
          <w:p>
            <w:r>
              <w:t>The ask is a 5+10 mCHF private capital (equity) offering to fund Versameb's own Phase 2a cohorts and platform PoC.</w:t>
            </w:r>
          </w:p>
        </w:tc>
        <w:tc>
          <w:tcPr>
            <w:tcW w:type="dxa" w:w="2160"/>
          </w:tcPr>
          <w:p>
            <w:r>
              <w:t>This is an equity raise, not a single-asset license with IP transfer - a direct mismatch with the LSB acquisition model.</w:t>
            </w:r>
          </w:p>
        </w:tc>
        <w:tc>
          <w:tcPr>
            <w:tcW w:type="dxa" w:w="2160"/>
          </w:tcPr>
          <w:p>
            <w:r>
              <w:t>Negative</w:t>
            </w:r>
          </w:p>
        </w:tc>
      </w:tr>
    </w:tbl>
    <w:tbl>
      <w:tblPr>
        <w:tblStyle w:val="TableGrid"/>
        <w:tblW w:type="auto" w:w="0"/>
        <w:tblLook w:firstColumn="1" w:firstRow="1" w:lastColumn="0" w:lastRow="0" w:noHBand="0" w:noVBand="1" w:val="04A0"/>
      </w:tblPr>
      <w:tblGrid>
        <w:gridCol w:w="8640"/>
      </w:tblGrid>
      <w:tr>
        <w:tc>
          <w:tcPr>
            <w:tcW w:type="dxa" w:w="8640"/>
          </w:tcPr>
          <w:p>
            <w:r>
              <w:rPr>
                <w:b/>
                <w:sz w:val="24"/>
              </w:rPr>
              <w:t>Regulatory path, commercial framing, and thesis test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Thesis gate</w:t>
            </w:r>
          </w:p>
        </w:tc>
        <w:tc>
          <w:tcPr>
            <w:tcW w:type="dxa" w:w="2160"/>
          </w:tcPr>
          <w:p>
            <w:r>
              <w:rPr>
                <w:b/>
              </w:rPr>
              <w:t>Read</w:t>
            </w:r>
          </w:p>
        </w:tc>
        <w:tc>
          <w:tcPr>
            <w:tcW w:type="dxa" w:w="2160"/>
          </w:tcPr>
          <w:p>
            <w:r>
              <w:rPr>
                <w:b/>
              </w:rPr>
              <w:t>Commentary</w:t>
            </w:r>
          </w:p>
        </w:tc>
        <w:tc>
          <w:tcPr>
            <w:tcW w:type="dxa" w:w="2160"/>
          </w:tcPr>
          <w:p>
            <w:r>
              <w:rPr>
                <w:b/>
              </w:rPr>
              <w:t>Implication</w:t>
            </w:r>
          </w:p>
        </w:tc>
      </w:tr>
      <w:tr>
        <w:tc>
          <w:tcPr>
            <w:tcW w:type="dxa" w:w="2160"/>
          </w:tcPr>
          <w:p>
            <w:r>
              <w:t>Acquisition: Low/no upfront</w:t>
            </w:r>
          </w:p>
        </w:tc>
        <w:tc>
          <w:tcPr>
            <w:tcW w:type="dxa" w:w="2160"/>
          </w:tcPr>
          <w:p>
            <w:r>
              <w:t>Not met</w:t>
            </w:r>
          </w:p>
        </w:tc>
        <w:tc>
          <w:tcPr>
            <w:tcW w:type="dxa" w:w="2160"/>
          </w:tcPr>
          <w:p>
            <w:r>
              <w:t>Asset is being financed via equity raise, not offered as a low/no-upfront single-asset license.</w:t>
            </w:r>
          </w:p>
        </w:tc>
        <w:tc>
          <w:tcPr>
            <w:tcW w:type="dxa" w:w="2160"/>
          </w:tcPr>
          <w:p>
            <w:r>
              <w:t>Core deal-structure premise is not satisfied as presented.</w:t>
            </w:r>
          </w:p>
        </w:tc>
      </w:tr>
      <w:tr>
        <w:tc>
          <w:tcPr>
            <w:tcW w:type="dxa" w:w="2160"/>
          </w:tcPr>
          <w:p>
            <w:r>
              <w:t>Time to value &lt;= 3-5 years</w:t>
            </w:r>
          </w:p>
        </w:tc>
        <w:tc>
          <w:tcPr>
            <w:tcW w:type="dxa" w:w="2160"/>
          </w:tcPr>
          <w:p>
            <w:r>
              <w:t>Stretched</w:t>
            </w:r>
          </w:p>
        </w:tc>
        <w:tc>
          <w:tcPr>
            <w:tcW w:type="dxa" w:w="2160"/>
          </w:tcPr>
          <w:p>
            <w:r>
              <w:t>Phase 2a runs 21-24 months with efficacy as a secondary endpoint; a transactable inflection is plausible but not crisp.</w:t>
            </w:r>
          </w:p>
        </w:tc>
        <w:tc>
          <w:tcPr>
            <w:tcW w:type="dxa" w:w="2160"/>
          </w:tcPr>
          <w:p>
            <w:r>
              <w:t>Time-to-value is workable only if a clean efficacy signal emerges early.</w:t>
            </w:r>
          </w:p>
        </w:tc>
      </w:tr>
      <w:tr>
        <w:tc>
          <w:tcPr>
            <w:tcW w:type="dxa" w:w="2160"/>
          </w:tcPr>
          <w:p>
            <w:r>
              <w:t>Dev cost &lt;= $25M</w:t>
            </w:r>
          </w:p>
        </w:tc>
        <w:tc>
          <w:tcPr>
            <w:tcW w:type="dxa" w:w="2160"/>
          </w:tcPr>
          <w:p>
            <w:r>
              <w:t>Plausible</w:t>
            </w:r>
          </w:p>
        </w:tc>
        <w:tc>
          <w:tcPr>
            <w:tcW w:type="dxa" w:w="2160"/>
          </w:tcPr>
          <w:p>
            <w:r>
              <w:t>A focused SUI Phase 2a is capital-light (sponsor frames ~15 mCHF for the program), within range.</w:t>
            </w:r>
          </w:p>
        </w:tc>
        <w:tc>
          <w:tcPr>
            <w:tcW w:type="dxa" w:w="2160"/>
          </w:tcPr>
          <w:p>
            <w:r>
              <w:t>Capital efficiency is a genuine positive if scope stays narrow.</w:t>
            </w:r>
          </w:p>
        </w:tc>
      </w:tr>
      <w:tr>
        <w:tc>
          <w:tcPr>
            <w:tcW w:type="dxa" w:w="2160"/>
          </w:tcPr>
          <w:p>
            <w:r>
              <w:t>High POS exit: pharma M&amp;A/BD fit</w:t>
            </w:r>
          </w:p>
        </w:tc>
        <w:tc>
          <w:tcPr>
            <w:tcW w:type="dxa" w:w="2160"/>
          </w:tcPr>
          <w:p>
            <w:r>
              <w:t>Stretched</w:t>
            </w:r>
          </w:p>
        </w:tc>
        <w:tc>
          <w:tcPr>
            <w:tcW w:type="dxa" w:w="2160"/>
          </w:tcPr>
          <w:p>
            <w:r>
              <w:t>SUI/urology is not a core large-pharma M&amp;A priority area; exit buyer set is thinner than in oncology or I&amp;I.</w:t>
            </w:r>
          </w:p>
        </w:tc>
        <w:tc>
          <w:tcPr>
            <w:tcW w:type="dxa" w:w="2160"/>
          </w:tcPr>
          <w:p>
            <w:r>
              <w:t>Weak strategic-exit fit reduces willingness to underwrite despite the large stated market.</w:t>
            </w:r>
          </w:p>
        </w:tc>
      </w:tr>
    </w:tbl>
    <w:p>
      <w:r>
        <w:t>Best-fit entry indication: Women with stress urinary incontinence at risk of sphincter weakness where a single-injection regenerative therapy could defer or replace surgery.</w:t>
      </w:r>
    </w:p>
    <w:p>
      <w:r>
        <w:t>Differentiation claim: Current SoC is physical therapy and invasive surgery with no approved drug; a durable single-dose mRNA regenerative therapy would be first-in-class if human efficacy translates.</w:t>
      </w:r>
    </w:p>
    <w:p>
      <w:r>
        <w:t>Most coherent first story: A first pharmacologic, single-injection treatment for SUI that regenerates the urinary sphincter and reduces surgery dependence.</w:t>
      </w:r>
    </w:p>
    <w:p>
      <w:r>
        <w:t>What broadening too early would risk: Spreading thin across orthopedics, oncology and rare-disease discovery programs would dilute the one clinical-stage proof point (VMB-100) and stretch limited capital.</w:t>
      </w:r>
    </w:p>
    <w:tbl>
      <w:tblPr>
        <w:tblStyle w:val="TableGrid"/>
        <w:tblW w:type="auto" w:w="0"/>
        <w:tblLook w:firstColumn="1" w:firstRow="1" w:lastColumn="0" w:lastRow="0" w:noHBand="0" w:noVBand="1" w:val="04A0"/>
      </w:tblPr>
      <w:tblGrid>
        <w:gridCol w:w="8640"/>
      </w:tblGrid>
      <w:tr>
        <w:tc>
          <w:tcPr>
            <w:tcW w:type="dxa" w:w="8640"/>
          </w:tcPr>
          <w:p>
            <w:r>
              <w:rPr>
                <w:b/>
                <w:sz w:val="24"/>
              </w:rPr>
              <w:t>Key risks, diligence questions, and out-of-rating watchouts</w:t>
            </w:r>
          </w:p>
        </w:tc>
      </w:tr>
    </w:tbl>
    <w:p>
      <w:r>
        <w:t>Key risks and unresolved questions</w:t>
      </w:r>
    </w:p>
    <w:p>
      <w:pPr>
        <w:pStyle w:val="ListBullet"/>
      </w:pPr>
      <w:r>
        <w:t>Off-priority disease area (urology/SUI) outside LSB's preferred TAs.</w:t>
      </w:r>
    </w:p>
    <w:p>
      <w:pPr>
        <w:pStyle w:val="ListBullet"/>
      </w:pPr>
      <w:r>
        <w:t>No human efficacy yet; Phase 2a only now initiating with efficacy as a secondary endpoint.</w:t>
      </w:r>
    </w:p>
    <w:p>
      <w:pPr>
        <w:pStyle w:val="ListBullet"/>
      </w:pPr>
      <w:r>
        <w:t>Asset presented as an equity raise, not an acquirable single asset with IP transfer.</w:t>
      </w:r>
    </w:p>
    <w:p>
      <w:pPr>
        <w:pStyle w:val="ListBullet"/>
      </w:pPr>
      <w:r>
        <w:t>Thin large-pharma M&amp;A precedent in SUI/urology weakens the exit thesis.</w:t>
      </w:r>
    </w:p>
    <w:p>
      <w:r>
        <w:t>Priority diligence requests</w:t>
      </w:r>
    </w:p>
    <w:p>
      <w:pPr>
        <w:pStyle w:val="ListBullet"/>
      </w:pPr>
      <w:r>
        <w:t>Clarify whether VMB-100 can be acquired/licensed as a standalone asset with full IP transfer on low/no-upfront terms.</w:t>
      </w:r>
    </w:p>
    <w:p>
      <w:pPr>
        <w:pStyle w:val="ListBullet"/>
      </w:pPr>
      <w:r>
        <w:t>Provide the Phase 2a protocol, powering for efficacy, and the earliest value-informing readout timing.</w:t>
      </w:r>
    </w:p>
    <w:p>
      <w:pPr>
        <w:pStyle w:val="ListBullet"/>
      </w:pPr>
      <w:r>
        <w:t>Confirm CMC scalability, single-dose durability, and immunogenicity data supporting the local-delivery claims.</w:t>
      </w:r>
    </w:p>
    <w:p>
      <w:r>
        <w:t>Out-of-rating watchouts</w:t>
      </w:r>
    </w:p>
    <w:p>
      <w:pPr>
        <w:pStyle w:val="ListBullet"/>
      </w:pPr>
      <w:r>
        <w:t>Off-priority urology focus.</w:t>
      </w:r>
    </w:p>
    <w:p>
      <w:pPr>
        <w:pStyle w:val="ListBullet"/>
      </w:pPr>
      <w:r>
        <w:t>Equity-offering deal structure rather than asset divestiture.</w:t>
      </w:r>
    </w:p>
    <w:p>
      <w:pPr>
        <w:pStyle w:val="ListBullet"/>
      </w:pPr>
      <w:r>
        <w:t>Human efficacy entirely unproven at this stage.</w:t>
      </w:r>
    </w:p>
    <w:tbl>
      <w:tblPr>
        <w:tblStyle w:val="TableGrid"/>
        <w:tblW w:type="auto" w:w="0"/>
        <w:tblLook w:firstColumn="1" w:firstRow="1" w:lastColumn="0" w:lastRow="0" w:noHBand="0" w:noVBand="1" w:val="04A0"/>
      </w:tblPr>
      <w:tblGrid>
        <w:gridCol w:w="8640"/>
      </w:tblGrid>
      <w:tr>
        <w:tc>
          <w:tcPr>
            <w:tcW w:type="dxa" w:w="8640"/>
          </w:tcPr>
          <w:p>
            <w:r>
              <w:rPr>
                <w:b/>
                <w:sz w:val="24"/>
              </w:rPr>
              <w:t>Rating-movement conditions and bottom-line recommendation</w:t>
            </w:r>
          </w:p>
        </w:tc>
      </w:tr>
    </w:tbl>
    <w:p>
      <w:r>
        <w:t>Move to Acquire if:</w:t>
      </w:r>
    </w:p>
    <w:p>
      <w:pPr>
        <w:pStyle w:val="ListBullet"/>
      </w:pPr>
      <w:r>
        <w:t>Versameb agrees to divest/license VMB-100 as a standalone asset with IP transfer on LSB-compatible terms, AND</w:t>
      </w:r>
    </w:p>
    <w:p>
      <w:pPr>
        <w:pStyle w:val="ListBullet"/>
      </w:pPr>
      <w:r>
        <w:t>LSB broadens priorities into urology, or Versameb leads with a priority-TA program with comparable readiness.</w:t>
      </w:r>
    </w:p>
    <w:p>
      <w:r>
        <w:t>Move to Deprioritize if:</w:t>
      </w:r>
    </w:p>
    <w:p>
      <w:pPr>
        <w:pStyle w:val="ListBullet"/>
      </w:pPr>
      <w:r>
        <w:t>Asset remains available only via equity investment in the parent company.</w:t>
      </w:r>
    </w:p>
    <w:p>
      <w:pPr>
        <w:pStyle w:val="ListBullet"/>
      </w:pPr>
      <w:r>
        <w:t>Phase 2a efficacy signal is absent or marginal.</w:t>
      </w:r>
    </w:p>
    <w:p>
      <w:r>
        <w:rPr>
          <w:b/>
        </w:rPr>
        <w:t>Bottom line: Deprioritize. VMB-100 is a well-protected, clinically-cleared mRNA asset with a credible regenerative thesis, but off-priority urology, the absence of human efficacy, and an equity-raise (rather than asset-license) structure keep it off the active LSB screen for now.</w:t>
      </w:r>
    </w:p>
    <w:p>
      <w:r>
        <w:t>Date prepared: 2026-06-21</w:t>
      </w:r>
    </w:p>
    <w:tbl>
      <w:tblPr>
        <w:tblStyle w:val="TableGrid"/>
        <w:tblW w:type="auto" w:w="0"/>
        <w:tblLook w:firstColumn="1" w:firstRow="1" w:lastColumn="0" w:lastRow="0" w:noHBand="0" w:noVBand="1" w:val="04A0"/>
      </w:tblPr>
      <w:tblGrid>
        <w:gridCol w:w="8640"/>
      </w:tblGrid>
      <w:tr>
        <w:tc>
          <w:tcPr>
            <w:tcW w:type="dxa" w:w="8640"/>
          </w:tcPr>
          <w:p>
            <w:r>
              <w:rPr>
                <w:b/>
                <w:sz w:val="24"/>
              </w:rPr>
              <w:t>Panel determination</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Panel determination</w:t>
            </w:r>
          </w:p>
        </w:tc>
        <w:tc>
          <w:tcPr>
            <w:tcW w:type="dxa" w:w="4320"/>
          </w:tcPr>
          <w:p>
            <w:r>
              <w:rPr>
                <w:b/>
              </w:rPr>
              <w:t>Key swing factor</w:t>
            </w:r>
          </w:p>
        </w:tc>
      </w:tr>
      <w:tr>
        <w:tc>
          <w:tcPr>
            <w:tcW w:type="dxa" w:w="4320"/>
          </w:tcPr>
          <w:p>
            <w:r>
              <w:t>Deprioritize</w:t>
            </w:r>
          </w:p>
        </w:tc>
        <w:tc>
          <w:tcPr>
            <w:tcW w:type="dxa" w:w="4320"/>
          </w:tcPr>
          <w:p>
            <w:r>
              <w:t>Not available as a single-asset acquisition (equity offering) combined with off-priority urology focus.</w:t>
            </w:r>
          </w:p>
        </w:tc>
      </w:tr>
    </w:tbl>
    <w:p>
      <w:r>
        <w:t>Despite strong IP and clinical readiness, the panel deprioritizes: the lead indication is off-priority urology, the asset is offered as an equity raise rather than an acquirable single asset, and there is no human efficacy yet. It could move to Hold if Versameb offered VMB-100 as a standalone license in terms compatible with the Newco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