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GXV-001 (GEXVal Inc.) | Asset evaluation report</w:t>
      </w:r>
    </w:p>
    <w:p>
      <w:r>
        <w:t>First-in-class oral small molecule GPCR modulator (disease-modifying; Takeda-licensed)</w:t>
      </w:r>
    </w:p>
    <w:p>
      <w:r>
        <w:t>Screening view: GXV-001 is a first-in-class, orally available, selective GPCR modulator that has completed Phase 1 (SAD/MAD/Elderly; 0 SAE; proof-of-mechanism confirmed). Lead indication: Fragile X Syndrome (FXS — FDA Orphan Drug Designation GRANTED). Secondary: Post-Operative Delirium/Dementia Continuum (PMDA Phase 2a protocol accepted). Ex-Japan rights available; IP through 2040+ (Takeda license). GXV-001 passes all LSB pre-screen criteria cleanly and earns an Acquire recommendation.</w:t>
      </w:r>
    </w:p>
    <w:p>
      <w:r>
        <w:t>Lead asset framing: GXV-001 is a small molecule GPCR modulator (target undisclosed in non-confidential materials) with quadruple mechanism of action: modulation of neural hormones, neurotransmitters, neurotrophic factors, and second messenger signaling. In FXS preclinical models, GXV-001 demonstrates disease-modifying effects — behavioral normalization across 7 indices, structural normalization of hippocampal spine density, and transcriptional reversal of disease-associated gene expression — with effects persisting after drug washout. Phase 1 SAD/MAD/Elderly: favorable safety/tolerability, 0 SAE, rapid elimination, proof-of-mechanism confirmed via plasma biomarker and systemic physiological response.</w:t>
      </w:r>
    </w:p>
    <w:p>
      <w:r>
        <w:t>Why it lands at Acquire: Lands at Acquire: GXV-001 is a rare combination of (1) completed Phase 1 with excellent safety and PoM, (2) confirmed FDA Orphan Drug Designation with RPDD in preparation (rare pediatric disease = PRV voucher optionality worth ~$100-150M), (3) ex-Japan rights explicitly available with IP through 2040+, (4) dual indication strategy (FXS rare + POD/Dementia non-rare) creating multiple shots on goal, (5) PMDA full agreement on Phase 2a protocol (unprecedented regulatory clarity at this stage). The asset checks every LSB thesis gate. Pursue actively.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Overall rating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Disease fit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Modality fit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Conviction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Recommended posture</w:t>
            </w:r>
          </w:p>
        </w:tc>
      </w:tr>
      <w:tr>
        <w:tc>
          <w:tcPr>
            <w:tcW w:type="dxa" w:w="1728"/>
          </w:tcPr>
          <w:p>
            <w:r>
              <w:t>Acquire</w:t>
            </w:r>
          </w:p>
        </w:tc>
        <w:tc>
          <w:tcPr>
            <w:tcW w:type="dxa" w:w="1728"/>
          </w:tcPr>
          <w:p>
            <w:r>
              <w:t>Preferred</w:t>
            </w:r>
          </w:p>
        </w:tc>
        <w:tc>
          <w:tcPr>
            <w:tcW w:type="dxa" w:w="1728"/>
          </w:tcPr>
          <w:p>
            <w:r>
              <w:t>Preferred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Pursue actively; open diligence and engage the sponsor on terms — move toward LOI.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sz w:val="24"/>
              </w:rPr>
              <w:t>Executive conclusion</w:t>
            </w:r>
          </w:p>
        </w:tc>
      </w:tr>
    </w:tbl>
    <w:p>
      <w:r>
        <w:t>GXV-001 is the strongest asset in this review batch: Phase 1 complete with 0 SAE, FDA ODD granted (FXS), dual indication strategy (FXS rare + POD/Dementia), IP through 2040+ via Takeda, PMDA agreement on Phase 2a. Ex-Japan rights are explicitly available. The asset passes all LSB thesis gates cleanly. Recommend moving immediately to LOI and full scientific diligence — this is an Acquire-grade asset.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sz w:val="24"/>
              </w:rPr>
              <w:t>Asset snapshot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Asset code</w:t>
            </w:r>
          </w:p>
        </w:tc>
        <w:tc>
          <w:tcPr>
            <w:tcW w:type="dxa" w:w="4320"/>
          </w:tcPr>
          <w:p>
            <w:r>
              <w:t>LSB02304 / GXV-001</w:t>
            </w:r>
          </w:p>
        </w:tc>
      </w:tr>
      <w:tr>
        <w:tc>
          <w:tcPr>
            <w:tcW w:type="dxa" w:w="4320"/>
          </w:tcPr>
          <w:p>
            <w:r>
              <w:t>Sponsor / source</w:t>
            </w:r>
          </w:p>
        </w:tc>
        <w:tc>
          <w:tcPr>
            <w:tcW w:type="dxa" w:w="4320"/>
          </w:tcPr>
          <w:p>
            <w:r>
              <w:t>GEXVal Inc. (Japan; Takeda spin-off, 2018); subsidiary GEXVal AU Pty Ltd (Australia)</w:t>
            </w:r>
          </w:p>
        </w:tc>
      </w:tr>
      <w:tr>
        <w:tc>
          <w:tcPr>
            <w:tcW w:type="dxa" w:w="4320"/>
          </w:tcPr>
          <w:p>
            <w:r>
              <w:t>Mechanism</w:t>
            </w:r>
          </w:p>
        </w:tc>
        <w:tc>
          <w:tcPr>
            <w:tcW w:type="dxa" w:w="4320"/>
          </w:tcPr>
          <w:p>
            <w:r>
              <w:t>First-in-class selective GPCR modulator — quadruple action on neural hormones, neurotransmitters, neurotrophic factors, second messenger signaling; disease-modifying neuroprotection and neuroplasticity</w:t>
            </w:r>
          </w:p>
        </w:tc>
      </w:tr>
      <w:tr>
        <w:tc>
          <w:tcPr>
            <w:tcW w:type="dxa" w:w="4320"/>
          </w:tcPr>
          <w:p>
            <w:r>
              <w:t>Modality</w:t>
            </w:r>
          </w:p>
        </w:tc>
        <w:tc>
          <w:tcPr>
            <w:tcW w:type="dxa" w:w="4320"/>
          </w:tcPr>
          <w:p>
            <w:r>
              <w:t>Oral small molecule (dry syrup formulation for FXS pediatric; tablet for adult POD); once-daily; rapid elimination</w:t>
            </w:r>
          </w:p>
        </w:tc>
      </w:tr>
      <w:tr>
        <w:tc>
          <w:tcPr>
            <w:tcW w:type="dxa" w:w="4320"/>
          </w:tcPr>
          <w:p>
            <w:r>
              <w:t>Lead indication</w:t>
            </w:r>
          </w:p>
        </w:tc>
        <w:tc>
          <w:tcPr>
            <w:tcW w:type="dxa" w:w="4320"/>
          </w:tcPr>
          <w:p>
            <w:r>
              <w:t>Fragile X Syndrome (FXS) — rare neurodevelopmental disorder (FDA ODD granted; RPDD application in preparation H2 2026); Phase 2a EU/UK planned H1 2027</w:t>
            </w:r>
          </w:p>
        </w:tc>
      </w:tr>
      <w:tr>
        <w:tc>
          <w:tcPr>
            <w:tcW w:type="dxa" w:w="4320"/>
          </w:tcPr>
          <w:p>
            <w:r>
              <w:t>Other indications</w:t>
            </w:r>
          </w:p>
        </w:tc>
        <w:tc>
          <w:tcPr>
            <w:tcW w:type="dxa" w:w="4320"/>
          </w:tcPr>
          <w:p>
            <w:r>
              <w:t>Post-Operative Delirium / Dementia Continuum (POD/dNCR) — PMDA Phase 2a protocol accepted; Phase 2a Japan planned H1 2027; Parkinson's (MJFF-supported discovery); ASD (potential from FXS data)</w:t>
            </w:r>
          </w:p>
        </w:tc>
      </w:tr>
      <w:tr>
        <w:tc>
          <w:tcPr>
            <w:tcW w:type="dxa" w:w="4320"/>
          </w:tcPr>
          <w:p>
            <w:r>
              <w:t>Stage</w:t>
            </w:r>
          </w:p>
        </w:tc>
        <w:tc>
          <w:tcPr>
            <w:tcW w:type="dxa" w:w="4320"/>
          </w:tcPr>
          <w:p>
            <w:r>
              <w:t>Phase 1 COMPLETED (SAD/MAD/Elderly): 0 SAE; favorable PK (rapid elimination); target engagement + proof-of-mechanism confirmed (plasma biomarker + systemic physiological response)</w:t>
            </w:r>
          </w:p>
        </w:tc>
      </w:tr>
      <w:tr>
        <w:tc>
          <w:tcPr>
            <w:tcW w:type="dxa" w:w="4320"/>
          </w:tcPr>
          <w:p>
            <w:r>
              <w:t>Source base</w:t>
            </w:r>
          </w:p>
        </w:tc>
        <w:tc>
          <w:tcPr>
            <w:tcW w:type="dxa" w:w="4320"/>
          </w:tcPr>
          <w:p>
            <w:r>
              <w:t>GEXVal BioEquity Europe presentation, May 2026 (non-confidential); FRAXA Research Foundation announcements</w:t>
            </w:r>
          </w:p>
        </w:tc>
      </w:tr>
      <w:tr>
        <w:tc>
          <w:tcPr>
            <w:tcW w:type="dxa" w:w="4320"/>
          </w:tcPr>
          <w:p>
            <w:r>
              <w:t>Priority fit</w:t>
            </w:r>
          </w:p>
        </w:tc>
        <w:tc>
          <w:tcPr>
            <w:tcW w:type="dxa" w:w="4320"/>
          </w:tcPr>
          <w:p>
            <w:r>
              <w:t>Preferred TA (FXS = Rare/Orphan with regulatory leverage; POD/Dementia = Neuroscience/Neurodegeneration) | Preferred modality (small molecule) | Phase 1 complete</w:t>
            </w:r>
          </w:p>
        </w:tc>
      </w:tr>
      <w:tr>
        <w:tc>
          <w:tcPr>
            <w:tcW w:type="dxa" w:w="4320"/>
          </w:tcPr>
          <w:p>
            <w:r>
              <w:t>Near-term value trigger</w:t>
            </w:r>
          </w:p>
        </w:tc>
        <w:tc>
          <w:tcPr>
            <w:tcW w:type="dxa" w:w="4320"/>
          </w:tcPr>
          <w:p>
            <w:r>
              <w:t>FDA RPDD approval (H2 2026) + PRV optionality; Series D close (H2 2026); FXS Phase 2a FPI (H1 2027); POD Phase 2a FPI Japan (H1 2027)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sz w:val="24"/>
              </w:rPr>
              <w:t>Disease and modality priority fit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What supports the rating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What still needs to be true</w:t>
            </w:r>
          </w:p>
        </w:tc>
      </w:tr>
      <w:tr>
        <w:tc>
          <w:tcPr>
            <w:tcW w:type="dxa" w:w="2160"/>
          </w:tcPr>
          <w:p>
            <w:r>
              <w:t>Disease priority</w:t>
            </w:r>
          </w:p>
        </w:tc>
        <w:tc>
          <w:tcPr>
            <w:tcW w:type="dxa" w:w="2160"/>
          </w:tcPr>
          <w:p>
            <w:r>
              <w:t>Preferred</w:t>
            </w:r>
          </w:p>
        </w:tc>
        <w:tc>
          <w:tcPr>
            <w:tcW w:type="dxa" w:w="2160"/>
          </w:tcPr>
          <w:p>
            <w:r>
              <w:t>FXS is a rare/orphan disease with regulatory leverage (ODD granted, RPDD in preparation); POD/Dementia continuum fits Neuroscience/Neurodegeneration (Alzheimer's prevention angle, disease-modifying). Both TAs are explicitly preferred in LSB criteria.</w:t>
            </w:r>
          </w:p>
        </w:tc>
        <w:tc>
          <w:tcPr>
            <w:tcW w:type="dxa" w:w="2160"/>
          </w:tcPr>
          <w:p>
            <w:r>
              <w:t>Phase 2a FXS demonstrates clear efficacy signal on validated endpoints (MG-ADL equivalent: ABC-C, Vineland-II); POD Phase 2a shows POD incidence reduction</w:t>
            </w:r>
          </w:p>
        </w:tc>
      </w:tr>
      <w:tr>
        <w:tc>
          <w:tcPr>
            <w:tcW w:type="dxa" w:w="2160"/>
          </w:tcPr>
          <w:p>
            <w:r>
              <w:t>Modality priority</w:t>
            </w:r>
          </w:p>
        </w:tc>
        <w:tc>
          <w:tcPr>
            <w:tcW w:type="dxa" w:w="2160"/>
          </w:tcPr>
          <w:p>
            <w:r>
              <w:t>Preferred</w:t>
            </w:r>
          </w:p>
        </w:tc>
        <w:tc>
          <w:tcPr>
            <w:tcW w:type="dxa" w:w="2160"/>
          </w:tcPr>
          <w:p>
            <w:r>
              <w:t>Oral small molecule is the highest-priority LSB modality; dry syrup formulation for pediatric FXS is well-established CMC approach; rapid elimination PK reduces accumulation risk</w:t>
            </w:r>
          </w:p>
        </w:tc>
        <w:tc>
          <w:tcPr>
            <w:tcW w:type="dxa" w:w="2160"/>
          </w:tcPr>
          <w:p>
            <w:r>
              <w:t>Phase 2a PK confirms therapeutic dose in pediatric FXS population; no drug-drug interaction signals in surgical/elderly POD population</w:t>
            </w:r>
          </w:p>
        </w:tc>
      </w:tr>
      <w:tr>
        <w:tc>
          <w:tcPr>
            <w:tcW w:type="dxa" w:w="2160"/>
          </w:tcPr>
          <w:p>
            <w:r>
              <w:t>Stage fit</w:t>
            </w:r>
          </w:p>
        </w:tc>
        <w:tc>
          <w:tcPr>
            <w:tcW w:type="dxa" w:w="2160"/>
          </w:tcPr>
          <w:p>
            <w:r>
              <w:t>Preferred</w:t>
            </w:r>
          </w:p>
        </w:tc>
        <w:tc>
          <w:tcPr>
            <w:tcW w:type="dxa" w:w="2160"/>
          </w:tcPr>
          <w:p>
            <w:r>
              <w:t>Phase 1 SAD/MAD/Elderly COMPLETED; regulatory path cleared in Australia (Ph1 completed), Phase 2a CTAs being prepared for EU/UK (FXS) and Japan (POD); highest quality stage fit in this batch</w:t>
            </w:r>
          </w:p>
        </w:tc>
        <w:tc>
          <w:tcPr>
            <w:tcW w:type="dxa" w:w="2160"/>
          </w:tcPr>
          <w:p>
            <w:r>
              <w:t>No unexpected safety signals emerge in Phase 2a; pediatric bridging from adult Phase 1 is accepted by EMA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sz w:val="24"/>
              </w:rPr>
              <w:t>Selected source evidence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Source page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Signal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Decision implication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Screen read</w:t>
            </w:r>
          </w:p>
        </w:tc>
      </w:tr>
      <w:tr>
        <w:tc>
          <w:tcPr>
            <w:tcW w:type="dxa" w:w="2160"/>
          </w:tcPr>
          <w:p>
            <w:r>
              <w:t>GEXVal deck p.15</w:t>
            </w:r>
          </w:p>
        </w:tc>
        <w:tc>
          <w:tcPr>
            <w:tcW w:type="dxa" w:w="2160"/>
          </w:tcPr>
          <w:p>
            <w:r>
              <w:t>Phase 1 completed (SAD 5 cohorts + MAD 3 cohorts + Elderly 1 cohort): 0 SAE; favorable safety/tolerability; favorable exposure; rapid elimination; proof-of-mechanism confirmed</w:t>
            </w:r>
          </w:p>
        </w:tc>
        <w:tc>
          <w:tcPr>
            <w:tcW w:type="dxa" w:w="2160"/>
          </w:tcPr>
          <w:p>
            <w:r>
              <w:t>The cleanest Phase 1 safety record in this review batch; 0 SAE across all age groups including elderly (most relevant for POD indication) is exceptional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  <w:tr>
        <w:tc>
          <w:tcPr>
            <w:tcW w:type="dxa" w:w="2160"/>
          </w:tcPr>
          <w:p>
            <w:r>
              <w:t>GEXVal deck p.12</w:t>
            </w:r>
          </w:p>
        </w:tc>
        <w:tc>
          <w:tcPr>
            <w:tcW w:type="dxa" w:w="2160"/>
          </w:tcPr>
          <w:p>
            <w:r>
              <w:t>FXS preclinical: behavioral normalization across 7 indices (attention, learning, memory, sociability, nesting, novel object recognition, social interaction); effects persist after washout — disease-modifying</w:t>
            </w:r>
          </w:p>
        </w:tc>
        <w:tc>
          <w:tcPr>
            <w:tcW w:type="dxa" w:w="2160"/>
          </w:tcPr>
          <w:p>
            <w:r>
              <w:t>Structural and molecular normalization data (hippocampal spine density, ARC signaling, BBB repair) are unusually deep for a non-confidential deck; disease-modifying biology is credible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  <w:tr>
        <w:tc>
          <w:tcPr>
            <w:tcW w:type="dxa" w:w="2160"/>
          </w:tcPr>
          <w:p>
            <w:r>
              <w:t>GEXVal deck p.19</w:t>
            </w:r>
          </w:p>
        </w:tc>
        <w:tc>
          <w:tcPr>
            <w:tcW w:type="dxa" w:w="2160"/>
          </w:tcPr>
          <w:p>
            <w:r>
              <w:t>FDA Orphan Drug Designation GRANTED (FXS); RPDD application in preparation (H2 2026) — PRV (Priority Review Voucher) worth ~$100-150M at exit</w:t>
            </w:r>
          </w:p>
        </w:tc>
        <w:tc>
          <w:tcPr>
            <w:tcW w:type="dxa" w:w="2160"/>
          </w:tcPr>
          <w:p>
            <w:r>
              <w:t>PRV optionality alone materially increases exit value; RPDD + ODD combination creates a rare pediatric disease exit premium that is highly attractive for pharma acquirers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  <w:tr>
        <w:tc>
          <w:tcPr>
            <w:tcW w:type="dxa" w:w="2160"/>
          </w:tcPr>
          <w:p>
            <w:r>
              <w:t>GEXVal deck p.20</w:t>
            </w:r>
          </w:p>
        </w:tc>
        <w:tc>
          <w:tcPr>
            <w:tcW w:type="dxa" w:w="2160"/>
          </w:tcPr>
          <w:p>
            <w:r>
              <w:t>PMDA (Japan) consultation completed with full agreement on all items — Phase 2a protocol accepted as designed; Japan territory pharma licensing under discussion</w:t>
            </w:r>
          </w:p>
        </w:tc>
        <w:tc>
          <w:tcPr>
            <w:tcW w:type="dxa" w:w="2160"/>
          </w:tcPr>
          <w:p>
            <w:r>
              <w:t>Japan-territory rights may be sold separately (negotiations ongoing); LSB should focus on ex-Japan ex-Asia rights; PMDA agreement de-risks the Japan Phase 2a which can serve as reference for EMA/FDA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  <w:tr>
        <w:tc>
          <w:tcPr>
            <w:tcW w:type="dxa" w:w="2160"/>
          </w:tcPr>
          <w:p>
            <w:r>
              <w:t>GEXVal deck p.20</w:t>
            </w:r>
          </w:p>
        </w:tc>
        <w:tc>
          <w:tcPr>
            <w:tcW w:type="dxa" w:w="2160"/>
          </w:tcPr>
          <w:p>
            <w:r>
              <w:t>Fundraising: Series D target close H2 2026 (FXS Phase 2a: $30M needed; POD Phase 2a: $10M needed); ADDF Ph2 funding decision H2 2026; Japan AMED grant (1:1 to 1:2 non-dilutive match)</w:t>
            </w:r>
          </w:p>
        </w:tc>
        <w:tc>
          <w:tcPr>
            <w:tcW w:type="dxa" w:w="2160"/>
          </w:tcPr>
          <w:p>
            <w:r>
              <w:t>GEXVal is actively raising — LSB can engage now before Series D closes; non-dilutive Japan AMED grant reduces Phase 2 Japan cash requirement; ADDF (Alzheimer's Drug Discovery Foundation) involvement validates the dementia angle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sz w:val="24"/>
              </w:rPr>
              <w:t>Regulatory path, commercial framing, and thesis test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Thesis gate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Read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Commentary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Implication</w:t>
            </w:r>
          </w:p>
        </w:tc>
      </w:tr>
      <w:tr>
        <w:tc>
          <w:tcPr>
            <w:tcW w:type="dxa" w:w="2160"/>
          </w:tcPr>
          <w:p>
            <w:r>
              <w:t>Acquisition: Low/no upfront</w:t>
            </w:r>
          </w:p>
        </w:tc>
        <w:tc>
          <w:tcPr>
            <w:tcW w:type="dxa" w:w="2160"/>
          </w:tcPr>
          <w:p>
            <w:r>
              <w:t>On target</w:t>
            </w:r>
          </w:p>
        </w:tc>
        <w:tc>
          <w:tcPr>
            <w:tcW w:type="dxa" w:w="2160"/>
          </w:tcPr>
          <w:p>
            <w:r>
              <w:t>GEXVal has raised ~¥2B ($14M) total; ex-Japan rights are available and GEXVal is actively seeking a partner; as a small Japan-based company, upfront for ex-Japan rights is likely $5-15M (pre-Phase 2a data)</w:t>
            </w:r>
          </w:p>
        </w:tc>
        <w:tc>
          <w:tcPr>
            <w:tcW w:type="dxa" w:w="2160"/>
          </w:tcPr>
          <w:p>
            <w:r>
              <w:t>Low upfront acquisition cost is achievable; engage now before Series D closes and pre-Phase 2 data premium is established</w:t>
            </w:r>
          </w:p>
        </w:tc>
      </w:tr>
      <w:tr>
        <w:tc>
          <w:tcPr>
            <w:tcW w:type="dxa" w:w="2160"/>
          </w:tcPr>
          <w:p>
            <w:r>
              <w:t>Time to value &lt;= 3-5 years</w:t>
            </w:r>
          </w:p>
        </w:tc>
        <w:tc>
          <w:tcPr>
            <w:tcW w:type="dxa" w:w="2160"/>
          </w:tcPr>
          <w:p>
            <w:r>
              <w:t>On target</w:t>
            </w:r>
          </w:p>
        </w:tc>
        <w:tc>
          <w:tcPr>
            <w:tcW w:type="dxa" w:w="2160"/>
          </w:tcPr>
          <w:p>
            <w:r>
              <w:t>Phase 2a FPI H1 2027 → Phase 2a data ~2028-2029 (FXS) → pharma M&amp;A/BD inflection 2028-2030 (3-4 years from acquisition); FXS rare/orphan regulatory flexibility could accelerate timeline</w:t>
            </w:r>
          </w:p>
        </w:tc>
        <w:tc>
          <w:tcPr>
            <w:tcW w:type="dxa" w:w="2160"/>
          </w:tcPr>
          <w:p>
            <w:r>
              <w:t>Timeline is on target; RPDD approval (H2 2026) and PRV voucher sale optionality create a near-term value inflection even before Phase 2a data</w:t>
            </w:r>
          </w:p>
        </w:tc>
      </w:tr>
      <w:tr>
        <w:tc>
          <w:tcPr>
            <w:tcW w:type="dxa" w:w="2160"/>
          </w:tcPr>
          <w:p>
            <w:r>
              <w:t>Dev cost &lt;= $25M</w:t>
            </w:r>
          </w:p>
        </w:tc>
        <w:tc>
          <w:tcPr>
            <w:tcW w:type="dxa" w:w="2160"/>
          </w:tcPr>
          <w:p>
            <w:r>
              <w:t>On target</w:t>
            </w:r>
          </w:p>
        </w:tc>
        <w:tc>
          <w:tcPr>
            <w:tcW w:type="dxa" w:w="2160"/>
          </w:tcPr>
          <w:p>
            <w:r>
              <w:t>GEXVal's own Phase 2a cost estimate: FXS $30M total; POD $10M. LSB acquiring ex-Japan rights and co-funding ex-Japan Phase 2 — estimated $20-25M for ex-Japan FXS Phase 2a; Japan AMED and ADDF non-dilutive grants defray costs</w:t>
            </w:r>
          </w:p>
        </w:tc>
        <w:tc>
          <w:tcPr>
            <w:tcW w:type="dxa" w:w="2160"/>
          </w:tcPr>
          <w:p>
            <w:r>
              <w:t>Dev cost to Phase 2a data point is within LSB's $25M threshold for ex-Japan development; ADDF and AMED grants significantly improve the cost structure</w:t>
            </w:r>
          </w:p>
        </w:tc>
      </w:tr>
      <w:tr>
        <w:tc>
          <w:tcPr>
            <w:tcW w:type="dxa" w:w="2160"/>
          </w:tcPr>
          <w:p>
            <w:r>
              <w:t>High POS exit: pharma M&amp;A/BD fit</w:t>
            </w:r>
          </w:p>
        </w:tc>
        <w:tc>
          <w:tcPr>
            <w:tcW w:type="dxa" w:w="2160"/>
          </w:tcPr>
          <w:p>
            <w:r>
              <w:t>On target</w:t>
            </w:r>
          </w:p>
        </w:tc>
        <w:tc>
          <w:tcPr>
            <w:tcW w:type="dxa" w:w="2160"/>
          </w:tcPr>
          <w:p>
            <w:r>
              <w:t>FXS: No approved treatment → orphan drug + RPDD → high pharma acquisition interest. Precedent: Roche's mGluR5 program in FXS ($2B+), Novartis fragile X programs. POD/Dementia: Alzheimer's prevention is one of the most active pharma areas (Biogen, Lilly, Roche). Exit buyers: Roche, Novartis, AZ (neuroscience), Janssen, Lundbeck, Otsuka.</w:t>
            </w:r>
          </w:p>
        </w:tc>
        <w:tc>
          <w:tcPr>
            <w:tcW w:type="dxa" w:w="2160"/>
          </w:tcPr>
          <w:p>
            <w:r>
              <w:t>Exit fit is the strongest in this batch — dual-indication strategy with one rare/orphan (premium exit) and one large neurological market (volume exit)</w:t>
            </w:r>
          </w:p>
        </w:tc>
      </w:tr>
    </w:tbl>
    <w:p>
      <w:r>
        <w:t>Best-fit entry indication: FXS (Fragile X Syndrome) — FDA ODD granted, no approved treatment, PRV optionality, established Phase 2 endpoints, advocacy group (FRAXA) support; Phase 2a CTA preparation complete</w:t>
      </w:r>
    </w:p>
    <w:p>
      <w:r>
        <w:t>Differentiation claim: First-in-class GPCR modulator with disease-modifying evidence in FXS (behavioral, structural, and molecular normalization persisting post-washout); 0 SAE Phase 1 in all age groups; unique dual-indication FXS/POD positioning</w:t>
      </w:r>
    </w:p>
    <w:p>
      <w:r>
        <w:t>Most coherent first story: GXV-001 as the first disease-modifying treatment for FXS: 1-week treatment with lifelong impact, addressing all symptom domains (cognitive, behavioral, sleep, autism-spectrum) through a GPCR mechanism that normalizes the downstream consequences of FMR1 silencing. FDA RPDD + ODD + no competitors in late-stage FXS = premium pharma acquisition target by 2028-2029.</w:t>
      </w:r>
    </w:p>
    <w:p>
      <w:r>
        <w:t>What broadening too early would risk: Pursuing ASD, Parkinson's, and additional indications before FXS Phase 2a data reads out would dilute capital and narrative; the value story is the FXS/POD dual data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sz w:val="24"/>
              </w:rPr>
              <w:t>Key risks, diligence questions, and out-of-rating watchouts</w:t>
            </w:r>
          </w:p>
        </w:tc>
      </w:tr>
    </w:tbl>
    <w:p>
      <w:r>
        <w:t>Key risks and unresolved questions</w:t>
      </w:r>
    </w:p>
    <w:p>
      <w:pPr>
        <w:pStyle w:val="ListBullet"/>
      </w:pPr>
      <w:r>
        <w:t>Pediatric translation: Phase 1 was conducted in healthy adults (18-75); pediatric PK bridging and safety in children with FXS requires careful regulatory strategy</w:t>
      </w:r>
    </w:p>
    <w:p>
      <w:pPr>
        <w:pStyle w:val="ListBullet"/>
      </w:pPr>
      <w:r>
        <w:t>FXS endpoint challenge: FXS Phase 2 endpoints (ABC-C, Vineland-II) are heterogeneous and have caused historical Phase 2 failures (Roche mGluR5); biomarker strategy is critical</w:t>
      </w:r>
    </w:p>
    <w:p>
      <w:pPr>
        <w:pStyle w:val="ListBullet"/>
      </w:pPr>
      <w:r>
        <w:t>Japan territory carve-out: Japan rights may already be in advanced licensing discussions; LSB must confirm ex-Japan rights are cleanly available and Japan data can be used for FDA/EMA submissions</w:t>
      </w:r>
    </w:p>
    <w:p>
      <w:pPr>
        <w:pStyle w:val="ListBullet"/>
      </w:pPr>
      <w:r>
        <w:t>GPCR target disclosure: non-confidential deck does not disclose the specific GPCR target — full diligence requires CDA and mechanism deep-dive to assess competitive landscape</w:t>
      </w:r>
    </w:p>
    <w:p>
      <w:pPr>
        <w:pStyle w:val="ListBullet"/>
      </w:pPr>
      <w:r>
        <w:t>Series D timing: GEXVal is actively raising; if Series D closes with a strategic investor before LSB engages, ex-Japan rights may become tied to the Series D structure</w:t>
      </w:r>
    </w:p>
    <w:p>
      <w:r>
        <w:t>Priority diligence requests</w:t>
      </w:r>
    </w:p>
    <w:p>
      <w:pPr>
        <w:pStyle w:val="ListBullet"/>
      </w:pPr>
      <w:r>
        <w:t>GPCR target identity (under CDA): specific receptor, binding modality (agonist/PAM/NAM), selectivity profile</w:t>
      </w:r>
    </w:p>
    <w:p>
      <w:pPr>
        <w:pStyle w:val="ListBullet"/>
      </w:pPr>
      <w:r>
        <w:t>Complete Phase 1 data package (under CDA): full safety tables, PK parameters by cohort (SAD/MAD/Elderly), PoM biomarker identity and data</w:t>
      </w:r>
    </w:p>
    <w:p>
      <w:pPr>
        <w:pStyle w:val="ListBullet"/>
      </w:pPr>
      <w:r>
        <w:t>IP package: Takeda license terms, specific patent claims (substance patent + method-of-use), territory coverage, sublicensing rights</w:t>
      </w:r>
    </w:p>
    <w:p>
      <w:pPr>
        <w:pStyle w:val="ListBullet"/>
      </w:pPr>
      <w:r>
        <w:t>Japan territory rights status: confirm ex-Japan rights are available and that Japan AMED/PMDA data can be used for ex-Japan regulatory submissions</w:t>
      </w:r>
    </w:p>
    <w:p>
      <w:pPr>
        <w:pStyle w:val="ListBullet"/>
      </w:pPr>
      <w:r>
        <w:t>FXS Phase 2a protocol: primary/secondary endpoints, patient selection criteria, expected enrollment, timing of interim analysis</w:t>
      </w:r>
    </w:p>
    <w:p>
      <w:pPr>
        <w:pStyle w:val="ListBullet"/>
      </w:pPr>
      <w:r>
        <w:t>POD Phase 2a protocol and PMDA consultation minutes</w:t>
      </w:r>
    </w:p>
    <w:p>
      <w:pPr>
        <w:pStyle w:val="ListBullet"/>
      </w:pPr>
      <w:r>
        <w:t>GEXVal's preferred deal structure: asset acquisition vs licensing; Series D timing and whether strategic investors are being considered</w:t>
      </w:r>
    </w:p>
    <w:p>
      <w:r>
        <w:t>Out-of-rating watchouts</w:t>
      </w:r>
    </w:p>
    <w:p>
      <w:pPr>
        <w:pStyle w:val="ListBullet"/>
      </w:pPr>
      <w:r>
        <w:t>GPCR target disclosed under CDA has competitive IP issues (blocked by existing Takeda IP or competitor patents)</w:t>
      </w:r>
    </w:p>
    <w:p>
      <w:pPr>
        <w:pStyle w:val="ListBullet"/>
      </w:pPr>
      <w:r>
        <w:t>Pediatric Phase 1 bridging study reveals unexpected safety signals in children with FXS</w:t>
      </w:r>
    </w:p>
    <w:p>
      <w:pPr>
        <w:pStyle w:val="ListBullet"/>
      </w:pPr>
      <w:r>
        <w:t>Japan territory is sold to a strategic Japanese pharma before ex-Japan deal is structured, with restrictive data exclusivity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sz w:val="24"/>
              </w:rPr>
              <w:t>Rating-movement conditions and bottom-line recommendation</w:t>
            </w:r>
          </w:p>
        </w:tc>
      </w:tr>
    </w:tbl>
    <w:p>
      <w:r>
        <w:t>Move to Acquire if:</w:t>
      </w:r>
    </w:p>
    <w:p>
      <w:pPr>
        <w:pStyle w:val="ListBullet"/>
      </w:pPr>
      <w:r>
        <w:t>Currently rated Acquire — maintain and move to LOI. Accelerate if PRV voucher timeline is clarified (RPDD decision H2 2026).</w:t>
      </w:r>
    </w:p>
    <w:p>
      <w:r>
        <w:t>Move to Deprioritize if:</w:t>
      </w:r>
    </w:p>
    <w:p>
      <w:pPr>
        <w:pStyle w:val="ListBullet"/>
      </w:pPr>
      <w:r>
        <w:t>Under CDA, GPCR target reveals fundamental competitive IP conflict with Takeda retained rights</w:t>
      </w:r>
    </w:p>
    <w:p>
      <w:pPr>
        <w:pStyle w:val="ListBullet"/>
      </w:pPr>
      <w:r>
        <w:t>Japan territory rights prove unavailable for global data sharing, rendering ex-Japan regulatory submission impractical</w:t>
      </w:r>
    </w:p>
    <w:p>
      <w:r>
        <w:rPr>
          <w:b/>
        </w:rPr>
        <w:t>Bottom line: GXV-001 is the standout Acquire in this review cycle: Phase 1 complete (0 SAE), FDA ODD granted (FXS), RPDD in preparation (PRV optionality), dual-indication strategy (FXS + POD/Dementia), IP through 2040+, ex-Japan rights available. Every LSB thesis gate is met. Move to LOI immediately — engage GEXVal before Series D closes.</w:t>
      </w:r>
    </w:p>
    <w:p>
      <w:r>
        <w:t>Date prepared: 2026-06-22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sz w:val="24"/>
              </w:rPr>
              <w:t>Panel determination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Panel determination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Key swing factor</w:t>
            </w:r>
          </w:p>
        </w:tc>
      </w:tr>
      <w:tr>
        <w:tc>
          <w:tcPr>
            <w:tcW w:type="dxa" w:w="4320"/>
          </w:tcPr>
          <w:p>
            <w:r>
              <w:t>Prioritize</w:t>
            </w:r>
          </w:p>
        </w:tc>
        <w:tc>
          <w:tcPr>
            <w:tcW w:type="dxa" w:w="4320"/>
          </w:tcPr>
          <w:p>
            <w:r>
              <w:t>RPDD + PRV voucher optionality (~$100-150M standalone value) plus FDA ODD make this the highest intrinsic value rare/orphan asset in the current pipeline.</w:t>
            </w:r>
          </w:p>
        </w:tc>
      </w:tr>
    </w:tbl>
    <w:p>
      <w:r>
        <w:t>Panel Prioritized GXV-001 unanimously: the combination of Phase 1 complete (0 SAE, PoM confirmed), FDA ODD granted (FXS), RPDD filing imminent (PRV optionality), IP through 2040+, and ex-Japan rights availability is the strongest risk/reward profile seen in this review cycle. All four LSB thesis gates are met or on target. Move to LOI.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